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69889" w14:textId="16F01F47" w:rsidR="00F06259" w:rsidRPr="00E76DD9" w:rsidRDefault="0055538E" w:rsidP="00C4389C">
      <w:pPr>
        <w:pStyle w:val="Heading1"/>
        <w:numPr>
          <w:ilvl w:val="0"/>
          <w:numId w:val="0"/>
        </w:numPr>
        <w:jc w:val="both"/>
      </w:pPr>
      <w:bookmarkStart w:id="0" w:name="_Ref421622962"/>
      <w:bookmarkStart w:id="1" w:name="_Toc421289040"/>
      <w:bookmarkStart w:id="2" w:name="_Toc421695559"/>
      <w:bookmarkStart w:id="3" w:name="_Toc422500678"/>
      <w:bookmarkStart w:id="4" w:name="_Toc422748078"/>
      <w:bookmarkStart w:id="5" w:name="_Ref409731574"/>
      <w:r w:rsidRPr="00E76DD9">
        <w:t>Lietuvos finansinių sąskaitų statistikos</w:t>
      </w:r>
      <w:r w:rsidR="00A44D88" w:rsidRPr="00E76DD9">
        <w:t xml:space="preserve"> duomenų, naudojamų </w:t>
      </w:r>
      <w:r w:rsidR="00A405A0">
        <w:t>m</w:t>
      </w:r>
      <w:r w:rsidR="00A44D88" w:rsidRPr="00E76DD9">
        <w:t>akroekonominio disbalanso procedūros</w:t>
      </w:r>
      <w:r w:rsidR="000C58C3">
        <w:t xml:space="preserve"> (MDP)</w:t>
      </w:r>
      <w:r w:rsidR="00A44D88" w:rsidRPr="00E76DD9">
        <w:t xml:space="preserve"> rodikliams sudaryti, kokybės ataskaita</w:t>
      </w:r>
      <w:r w:rsidR="00480DDF" w:rsidRPr="00E76DD9">
        <w:rPr>
          <w:rStyle w:val="FootnoteReference"/>
        </w:rPr>
        <w:footnoteReference w:id="2"/>
      </w:r>
      <w:r w:rsidRPr="00E76DD9">
        <w:t xml:space="preserve"> </w:t>
      </w:r>
      <w:r w:rsidR="007B054B" w:rsidRPr="00E76DD9">
        <w:t>(</w:t>
      </w:r>
      <w:r w:rsidR="001E60B0" w:rsidRPr="00E76DD9">
        <w:t>parengė Lietuvos bankas</w:t>
      </w:r>
      <w:r w:rsidR="007B054B" w:rsidRPr="00E76DD9">
        <w:t>)</w:t>
      </w:r>
      <w:r w:rsidR="003140C3" w:rsidRPr="00E76DD9">
        <w:t xml:space="preserve"> </w:t>
      </w:r>
      <w:bookmarkEnd w:id="0"/>
      <w:bookmarkEnd w:id="1"/>
      <w:bookmarkEnd w:id="2"/>
      <w:bookmarkEnd w:id="3"/>
      <w:bookmarkEnd w:id="4"/>
    </w:p>
    <w:p w14:paraId="5A268347" w14:textId="77777777" w:rsidR="00FA4A79" w:rsidRPr="00241D28" w:rsidRDefault="00FA4A79" w:rsidP="00C4389C">
      <w:pPr>
        <w:pStyle w:val="Heading2"/>
        <w:rPr>
          <w:sz w:val="22"/>
          <w:szCs w:val="22"/>
          <w:lang w:val="lt-LT"/>
        </w:rPr>
      </w:pPr>
      <w:bookmarkStart w:id="6" w:name="_Toc422500679"/>
      <w:bookmarkStart w:id="7" w:name="_Toc422748079"/>
      <w:r w:rsidRPr="00241D28">
        <w:rPr>
          <w:sz w:val="22"/>
          <w:szCs w:val="22"/>
          <w:lang w:val="lt-LT"/>
        </w:rPr>
        <w:t>INSTITU</w:t>
      </w:r>
      <w:r w:rsidR="00DD5DEF" w:rsidRPr="00241D28">
        <w:rPr>
          <w:sz w:val="22"/>
          <w:szCs w:val="22"/>
          <w:lang w:val="lt-LT"/>
        </w:rPr>
        <w:t>CINĖ APLINKA</w:t>
      </w:r>
      <w:bookmarkEnd w:id="6"/>
      <w:bookmarkEnd w:id="7"/>
    </w:p>
    <w:p w14:paraId="12872DE3" w14:textId="440C2DBC" w:rsidR="00FA4A79" w:rsidRPr="00421663" w:rsidRDefault="00C54FA4" w:rsidP="00C4389C">
      <w:pPr>
        <w:pStyle w:val="Heading3"/>
        <w:numPr>
          <w:ilvl w:val="0"/>
          <w:numId w:val="0"/>
        </w:numPr>
        <w:rPr>
          <w:b/>
          <w:bCs w:val="0"/>
          <w:sz w:val="22"/>
          <w:szCs w:val="22"/>
        </w:rPr>
      </w:pPr>
      <w:bookmarkStart w:id="8" w:name="_Toc422500680"/>
      <w:r w:rsidRPr="00421663">
        <w:rPr>
          <w:b/>
          <w:bCs w:val="0"/>
          <w:sz w:val="22"/>
          <w:szCs w:val="22"/>
        </w:rPr>
        <w:t xml:space="preserve">A.1 </w:t>
      </w:r>
      <w:r w:rsidR="00FA4A79" w:rsidRPr="00421663">
        <w:rPr>
          <w:b/>
          <w:bCs w:val="0"/>
          <w:sz w:val="22"/>
          <w:szCs w:val="22"/>
        </w:rPr>
        <w:t>CoP1 Profes</w:t>
      </w:r>
      <w:r w:rsidR="00DD5DEF" w:rsidRPr="00421663">
        <w:rPr>
          <w:b/>
          <w:bCs w:val="0"/>
          <w:sz w:val="22"/>
          <w:szCs w:val="22"/>
        </w:rPr>
        <w:t>inė nepriklausomybė</w:t>
      </w:r>
      <w:r w:rsidR="00FA4A79" w:rsidRPr="00421663">
        <w:rPr>
          <w:b/>
          <w:bCs w:val="0"/>
          <w:sz w:val="22"/>
          <w:szCs w:val="22"/>
        </w:rPr>
        <w:t xml:space="preserve"> / PC1 </w:t>
      </w:r>
      <w:bookmarkEnd w:id="8"/>
      <w:r w:rsidR="00DD5DEF" w:rsidRPr="00421663">
        <w:rPr>
          <w:b/>
          <w:bCs w:val="0"/>
          <w:sz w:val="22"/>
          <w:szCs w:val="22"/>
        </w:rPr>
        <w:t>Profesinė nepriklausomybė</w:t>
      </w:r>
    </w:p>
    <w:p w14:paraId="66F810F0" w14:textId="78BE9FFA" w:rsidR="00FA4A79" w:rsidRPr="00421663" w:rsidRDefault="00C54FA4" w:rsidP="00C4389C">
      <w:pPr>
        <w:pStyle w:val="Heading4"/>
        <w:numPr>
          <w:ilvl w:val="0"/>
          <w:numId w:val="0"/>
        </w:numPr>
        <w:jc w:val="both"/>
        <w:rPr>
          <w:b/>
          <w:bCs w:val="0"/>
          <w:u w:val="none"/>
        </w:rPr>
      </w:pPr>
      <w:r w:rsidRPr="00421663">
        <w:rPr>
          <w:b/>
          <w:bCs w:val="0"/>
          <w:u w:val="none"/>
        </w:rPr>
        <w:t xml:space="preserve">A.1.1 </w:t>
      </w:r>
      <w:r w:rsidR="00DD5DEF" w:rsidRPr="00421663">
        <w:rPr>
          <w:b/>
          <w:bCs w:val="0"/>
          <w:u w:val="none"/>
        </w:rPr>
        <w:t>Teisinis pagrindas</w:t>
      </w:r>
    </w:p>
    <w:p w14:paraId="616DB1D6" w14:textId="77777777" w:rsidR="0014159A" w:rsidRPr="00241D28" w:rsidRDefault="0014159A" w:rsidP="0014159A">
      <w:pPr>
        <w:pStyle w:val="CMFBtextintable"/>
        <w:spacing w:before="240"/>
      </w:pPr>
      <w:r w:rsidRPr="00241D28">
        <w:t>Lietuvos banko (LB) nepriklausomybę užtikrina LB įstatymas ir ES pirminė teisė. LB, kaip Europos centrinių bankų sistemos (ECBS) nario, nepriklausomybė apibrėžta ES Sutarties 130 straipsnyje bei ECBS ir Europos Centrinio Banko (ECB) statuto 7 straipsnyje.</w:t>
      </w:r>
    </w:p>
    <w:p w14:paraId="55AEBF39" w14:textId="4AB5F83E" w:rsidR="00403021" w:rsidRPr="00241D28" w:rsidRDefault="00403021" w:rsidP="00C4389C">
      <w:pPr>
        <w:pStyle w:val="CMFBtextintable"/>
        <w:spacing w:before="240"/>
      </w:pPr>
      <w:r w:rsidRPr="00241D28">
        <w:t>Nacionalinė</w:t>
      </w:r>
      <w:r w:rsidR="00791F62" w:rsidRPr="00241D28">
        <w:t>s</w:t>
      </w:r>
      <w:r w:rsidRPr="00241D28">
        <w:t xml:space="preserve"> statistikos tarnyb</w:t>
      </w:r>
      <w:r w:rsidR="00791F62" w:rsidRPr="00241D28">
        <w:t>os</w:t>
      </w:r>
      <w:r w:rsidRPr="00241D28">
        <w:t xml:space="preserve"> – </w:t>
      </w:r>
      <w:r w:rsidR="00637308">
        <w:t>Valstybės duomenų agentūra</w:t>
      </w:r>
      <w:r w:rsidRPr="00241D28">
        <w:t xml:space="preserve"> (</w:t>
      </w:r>
      <w:r w:rsidR="00637308">
        <w:t>VDA</w:t>
      </w:r>
      <w:r w:rsidRPr="00241D28">
        <w:t xml:space="preserve">) </w:t>
      </w:r>
      <w:r w:rsidR="00A405A0">
        <w:t xml:space="preserve">– </w:t>
      </w:r>
      <w:r w:rsidRPr="00241D28">
        <w:t>profesinė nepriklausomybė įtvirtinta 1993 m. spalio 12 d. Lietuvos Respublikos statistikos įstatymu Nr. I-270, su 20</w:t>
      </w:r>
      <w:r w:rsidR="00616D83">
        <w:t>20</w:t>
      </w:r>
      <w:r w:rsidRPr="00241D28">
        <w:t xml:space="preserve"> m. </w:t>
      </w:r>
      <w:r w:rsidR="00616D83">
        <w:t>rugsėjo</w:t>
      </w:r>
      <w:r w:rsidR="002564BC">
        <w:t xml:space="preserve"> </w:t>
      </w:r>
      <w:r w:rsidR="00616D83">
        <w:t>29</w:t>
      </w:r>
      <w:r w:rsidRPr="00241D28">
        <w:t xml:space="preserve"> d. pakeitimais Nr. XI</w:t>
      </w:r>
      <w:r w:rsidR="008D1663">
        <w:t>II</w:t>
      </w:r>
      <w:r w:rsidR="0078620E">
        <w:t>-</w:t>
      </w:r>
      <w:r w:rsidR="00616D83" w:rsidRPr="00616D83">
        <w:t>3306</w:t>
      </w:r>
      <w:r w:rsidRPr="00241D28">
        <w:t>. Jame rašoma</w:t>
      </w:r>
      <w:r w:rsidR="00FD10E7">
        <w:t>:</w:t>
      </w:r>
      <w:r w:rsidRPr="00241D28">
        <w:t xml:space="preserve"> „Oficialiosios statistikos organizavimas grindžiamas šiais principais: objektyvumo ir profesinio nepriklausomumo nuo politinių bei kitų interesų grupių.“</w:t>
      </w:r>
    </w:p>
    <w:p w14:paraId="68E4D84E" w14:textId="66D0F11C" w:rsidR="00DD5DEF" w:rsidRPr="00421663" w:rsidRDefault="000B2BA9" w:rsidP="00C4389C">
      <w:pPr>
        <w:pStyle w:val="Heading4"/>
        <w:numPr>
          <w:ilvl w:val="0"/>
          <w:numId w:val="0"/>
        </w:numPr>
        <w:jc w:val="both"/>
        <w:rPr>
          <w:b/>
          <w:bCs w:val="0"/>
          <w:u w:val="none"/>
        </w:rPr>
      </w:pPr>
      <w:r w:rsidRPr="00421663">
        <w:rPr>
          <w:b/>
          <w:bCs w:val="0"/>
          <w:u w:val="none"/>
        </w:rPr>
        <w:t xml:space="preserve">A.1.2 </w:t>
      </w:r>
      <w:r w:rsidR="00DD5DEF" w:rsidRPr="00421663">
        <w:rPr>
          <w:b/>
          <w:bCs w:val="0"/>
          <w:u w:val="none"/>
        </w:rPr>
        <w:t xml:space="preserve">Statistikos </w:t>
      </w:r>
      <w:r w:rsidR="00AC6D88" w:rsidRPr="00421663">
        <w:rPr>
          <w:b/>
          <w:bCs w:val="0"/>
          <w:u w:val="none"/>
        </w:rPr>
        <w:t>darbų</w:t>
      </w:r>
      <w:r w:rsidR="00DD5DEF" w:rsidRPr="00421663">
        <w:rPr>
          <w:b/>
          <w:bCs w:val="0"/>
          <w:u w:val="none"/>
        </w:rPr>
        <w:t xml:space="preserve"> programa</w:t>
      </w:r>
    </w:p>
    <w:p w14:paraId="3C9FD090" w14:textId="77777777" w:rsidR="005D44C8" w:rsidRDefault="005D44C8" w:rsidP="005D44C8">
      <w:pPr>
        <w:pStyle w:val="CMFBtextintable"/>
        <w:spacing w:before="240"/>
        <w:jc w:val="left"/>
      </w:pPr>
      <w:r>
        <w:t>LB kiekvienais metais tvirtina Lietuvos banko statistikos programą, kurioje numatyti ketvirtinių ir metinių finansinių sąskaitų sudarymo ir jų tobulinimo darbai. Programa skelbiama viešai:</w:t>
      </w:r>
    </w:p>
    <w:p w14:paraId="5A11050B" w14:textId="7B086114" w:rsidR="005D44C8" w:rsidRDefault="005D44C8" w:rsidP="005D44C8">
      <w:pPr>
        <w:pStyle w:val="CMFBtextintable"/>
        <w:jc w:val="left"/>
      </w:pPr>
      <w:r w:rsidRPr="001C5A3B">
        <w:t xml:space="preserve"> </w:t>
      </w:r>
      <w:hyperlink r:id="rId9" w:history="1">
        <w:r w:rsidRPr="001C5A3B">
          <w:rPr>
            <w:rStyle w:val="Hyperlink"/>
          </w:rPr>
          <w:t>202</w:t>
        </w:r>
        <w:r w:rsidR="001C5A3B" w:rsidRPr="001C5A3B">
          <w:rPr>
            <w:rStyle w:val="Hyperlink"/>
          </w:rPr>
          <w:t>6</w:t>
        </w:r>
        <w:r w:rsidRPr="001C5A3B">
          <w:rPr>
            <w:rStyle w:val="Hyperlink"/>
          </w:rPr>
          <w:t xml:space="preserve"> m. Lietuv</w:t>
        </w:r>
        <w:r w:rsidRPr="001C5A3B">
          <w:rPr>
            <w:rStyle w:val="Hyperlink"/>
          </w:rPr>
          <w:t>o</w:t>
        </w:r>
        <w:r w:rsidRPr="001C5A3B">
          <w:rPr>
            <w:rStyle w:val="Hyperlink"/>
          </w:rPr>
          <w:t>s banko statistikos programa</w:t>
        </w:r>
      </w:hyperlink>
    </w:p>
    <w:p w14:paraId="2E4B1A74" w14:textId="39510BB1" w:rsidR="00FD1B7B" w:rsidRDefault="00637308" w:rsidP="002564BC">
      <w:pPr>
        <w:pStyle w:val="CMFBtextintable"/>
        <w:spacing w:before="240"/>
      </w:pPr>
      <w:r>
        <w:t>VDA</w:t>
      </w:r>
      <w:r w:rsidR="00D96E1A" w:rsidRPr="00241D28">
        <w:t xml:space="preserve"> </w:t>
      </w:r>
      <w:r w:rsidR="00791F62" w:rsidRPr="00241D28">
        <w:t xml:space="preserve">kartu su </w:t>
      </w:r>
      <w:r w:rsidR="00600AF1" w:rsidRPr="00241D28">
        <w:t>kitomis statistiką sudarančiomis nacionalinėmis institucijomis</w:t>
      </w:r>
      <w:r w:rsidR="00107A52" w:rsidRPr="00241D28">
        <w:t xml:space="preserve"> </w:t>
      </w:r>
      <w:r w:rsidR="00D96E1A" w:rsidRPr="00241D28">
        <w:t xml:space="preserve">tvirtina metinę Oficialiąją statistikos darbų programą, </w:t>
      </w:r>
      <w:r w:rsidR="00107A52" w:rsidRPr="00241D28">
        <w:t>kuri</w:t>
      </w:r>
      <w:r w:rsidR="0078620E">
        <w:t>oje numatyt</w:t>
      </w:r>
      <w:r w:rsidR="002564BC">
        <w:t>as</w:t>
      </w:r>
      <w:r w:rsidR="0078620E">
        <w:t xml:space="preserve"> </w:t>
      </w:r>
      <w:r w:rsidR="005D5369">
        <w:t xml:space="preserve">ketvirtinių </w:t>
      </w:r>
      <w:r w:rsidR="00616D83">
        <w:t>valdžios sektori</w:t>
      </w:r>
      <w:r w:rsidR="00560A8E">
        <w:t>aus</w:t>
      </w:r>
      <w:r w:rsidR="00616D83">
        <w:t xml:space="preserve"> </w:t>
      </w:r>
      <w:r w:rsidR="00D96E1A" w:rsidRPr="00241D28">
        <w:t xml:space="preserve"> finansin</w:t>
      </w:r>
      <w:r w:rsidR="002564BC">
        <w:t>ių</w:t>
      </w:r>
      <w:r w:rsidR="00D96E1A" w:rsidRPr="00241D28">
        <w:t xml:space="preserve"> sąskait</w:t>
      </w:r>
      <w:r w:rsidR="002564BC">
        <w:t xml:space="preserve">ų </w:t>
      </w:r>
      <w:r w:rsidR="005D5369">
        <w:t xml:space="preserve">(KVSFS) </w:t>
      </w:r>
      <w:r w:rsidR="002564BC">
        <w:t>sudarymas.</w:t>
      </w:r>
      <w:r w:rsidR="00466C88">
        <w:t xml:space="preserve"> </w:t>
      </w:r>
      <w:r w:rsidR="002564BC">
        <w:t>Programa</w:t>
      </w:r>
      <w:r w:rsidR="00466C88">
        <w:t xml:space="preserve"> </w:t>
      </w:r>
      <w:r w:rsidR="00FD10E7" w:rsidRPr="00241D28">
        <w:t>skelbiama</w:t>
      </w:r>
      <w:r w:rsidR="00FD10E7">
        <w:t xml:space="preserve"> </w:t>
      </w:r>
      <w:r w:rsidR="0078620E">
        <w:t>v</w:t>
      </w:r>
      <w:r w:rsidR="0078620E" w:rsidRPr="00241D28">
        <w:t>iešai (</w:t>
      </w:r>
      <w:hyperlink r:id="rId10" w:history="1">
        <w:r w:rsidR="001C5A3B" w:rsidRPr="001C5A3B">
          <w:rPr>
            <w:rStyle w:val="Hyperlink"/>
          </w:rPr>
          <w:t>https://vda.lrv.lt/lt/admi</w:t>
        </w:r>
        <w:r w:rsidR="001C5A3B" w:rsidRPr="001C5A3B">
          <w:rPr>
            <w:rStyle w:val="Hyperlink"/>
          </w:rPr>
          <w:t>n</w:t>
        </w:r>
        <w:r w:rsidR="001C5A3B" w:rsidRPr="001C5A3B">
          <w:rPr>
            <w:rStyle w:val="Hyperlink"/>
          </w:rPr>
          <w:t>istracine-informacija/planavimo-dokumentai/oficialiosios-statistikos-programos-ofsp/</w:t>
        </w:r>
      </w:hyperlink>
      <w:r w:rsidR="0078620E">
        <w:t xml:space="preserve">). </w:t>
      </w:r>
    </w:p>
    <w:p w14:paraId="6691E08E" w14:textId="5C7DF29A" w:rsidR="00FA4A79" w:rsidRPr="00421663" w:rsidRDefault="00277E48" w:rsidP="00833172">
      <w:pPr>
        <w:pStyle w:val="Heading3"/>
        <w:numPr>
          <w:ilvl w:val="0"/>
          <w:numId w:val="0"/>
        </w:numPr>
        <w:spacing w:before="0"/>
        <w:rPr>
          <w:b/>
          <w:bCs w:val="0"/>
          <w:sz w:val="22"/>
          <w:szCs w:val="22"/>
        </w:rPr>
      </w:pPr>
      <w:bookmarkStart w:id="9" w:name="_Toc422500681"/>
      <w:r w:rsidRPr="00421663">
        <w:rPr>
          <w:b/>
          <w:bCs w:val="0"/>
          <w:sz w:val="22"/>
          <w:szCs w:val="22"/>
        </w:rPr>
        <w:t xml:space="preserve">A.2 </w:t>
      </w:r>
      <w:r w:rsidR="00FA4A79" w:rsidRPr="00421663">
        <w:rPr>
          <w:b/>
          <w:bCs w:val="0"/>
          <w:sz w:val="22"/>
          <w:szCs w:val="22"/>
        </w:rPr>
        <w:t xml:space="preserve">CoP2 </w:t>
      </w:r>
      <w:r w:rsidR="00B72F24" w:rsidRPr="00421663">
        <w:rPr>
          <w:b/>
          <w:bCs w:val="0"/>
          <w:sz w:val="22"/>
          <w:szCs w:val="22"/>
        </w:rPr>
        <w:t>Duomenų rinkimo įgaliojimas</w:t>
      </w:r>
      <w:r w:rsidR="00D04CC6" w:rsidRPr="00421663">
        <w:rPr>
          <w:b/>
          <w:bCs w:val="0"/>
          <w:sz w:val="22"/>
          <w:szCs w:val="22"/>
        </w:rPr>
        <w:t xml:space="preserve"> </w:t>
      </w:r>
      <w:r w:rsidR="00FA4A79" w:rsidRPr="00421663">
        <w:rPr>
          <w:b/>
          <w:bCs w:val="0"/>
          <w:sz w:val="22"/>
          <w:szCs w:val="22"/>
        </w:rPr>
        <w:t>/</w:t>
      </w:r>
      <w:r w:rsidR="00D04CC6" w:rsidRPr="00421663">
        <w:rPr>
          <w:b/>
          <w:bCs w:val="0"/>
          <w:sz w:val="22"/>
          <w:szCs w:val="22"/>
        </w:rPr>
        <w:t xml:space="preserve"> </w:t>
      </w:r>
      <w:r w:rsidR="00FA4A79" w:rsidRPr="00421663">
        <w:rPr>
          <w:b/>
          <w:bCs w:val="0"/>
          <w:sz w:val="22"/>
          <w:szCs w:val="22"/>
        </w:rPr>
        <w:t xml:space="preserve">PC2 </w:t>
      </w:r>
      <w:bookmarkEnd w:id="9"/>
      <w:r w:rsidR="00B72F24" w:rsidRPr="00421663">
        <w:rPr>
          <w:b/>
          <w:bCs w:val="0"/>
          <w:sz w:val="22"/>
          <w:szCs w:val="22"/>
        </w:rPr>
        <w:t>Duomenų rinkimo įgaliojimas</w:t>
      </w:r>
    </w:p>
    <w:p w14:paraId="05608314" w14:textId="263BBAE7" w:rsidR="00FA4A79" w:rsidRPr="00421663" w:rsidRDefault="003B291D" w:rsidP="00C4389C">
      <w:pPr>
        <w:pStyle w:val="Heading4"/>
        <w:numPr>
          <w:ilvl w:val="0"/>
          <w:numId w:val="0"/>
        </w:numPr>
        <w:jc w:val="both"/>
        <w:rPr>
          <w:rFonts w:eastAsia="Times New Roman"/>
          <w:b/>
          <w:bCs w:val="0"/>
          <w:u w:val="none"/>
        </w:rPr>
      </w:pPr>
      <w:r w:rsidRPr="00421663">
        <w:rPr>
          <w:rFonts w:eastAsia="Times New Roman"/>
          <w:b/>
          <w:bCs w:val="0"/>
          <w:u w:val="none"/>
        </w:rPr>
        <w:t xml:space="preserve">A.2.1 </w:t>
      </w:r>
      <w:r w:rsidR="00FA4A79" w:rsidRPr="00421663">
        <w:rPr>
          <w:rFonts w:eastAsia="Times New Roman"/>
          <w:b/>
          <w:bCs w:val="0"/>
          <w:u w:val="none"/>
        </w:rPr>
        <w:t>A</w:t>
      </w:r>
      <w:r w:rsidR="00B72F24" w:rsidRPr="00421663">
        <w:rPr>
          <w:rFonts w:eastAsia="Times New Roman"/>
          <w:b/>
          <w:bCs w:val="0"/>
          <w:u w:val="none"/>
        </w:rPr>
        <w:t>tsakomybės paskirstymas</w:t>
      </w:r>
    </w:p>
    <w:p w14:paraId="7987BE0C" w14:textId="77777777" w:rsidR="00D96E1A" w:rsidRPr="00241D28" w:rsidRDefault="00D96E1A" w:rsidP="00C4389C">
      <w:pPr>
        <w:pStyle w:val="CMFBtextintable"/>
        <w:spacing w:after="0"/>
        <w:rPr>
          <w:iCs/>
        </w:rPr>
      </w:pPr>
      <w:r w:rsidRPr="00241D28">
        <w:rPr>
          <w:iCs/>
        </w:rPr>
        <w:t>Finansinių sąskaitų sudarymo ir skelbimo institucinė atsakomybė:</w:t>
      </w:r>
    </w:p>
    <w:p w14:paraId="721860CF" w14:textId="77777777" w:rsidR="00421663" w:rsidRDefault="00D96E1A" w:rsidP="00421663">
      <w:pPr>
        <w:pStyle w:val="CMFBtextintable"/>
        <w:spacing w:after="0"/>
        <w:rPr>
          <w:iCs/>
        </w:rPr>
      </w:pPr>
      <w:r w:rsidRPr="00241D28">
        <w:rPr>
          <w:iCs/>
        </w:rPr>
        <w:t>L</w:t>
      </w:r>
      <w:r w:rsidR="003036FD" w:rsidRPr="00241D28">
        <w:rPr>
          <w:iCs/>
        </w:rPr>
        <w:t>B</w:t>
      </w:r>
      <w:r w:rsidRPr="00241D28">
        <w:rPr>
          <w:iCs/>
        </w:rPr>
        <w:t xml:space="preserve"> </w:t>
      </w:r>
      <w:r w:rsidR="008D1663" w:rsidRPr="008D1663">
        <w:rPr>
          <w:iCs/>
        </w:rPr>
        <w:t xml:space="preserve">yra atsakingas už visų sektorių, išskyrus valdžios sektorių, ketvirtinių </w:t>
      </w:r>
      <w:r w:rsidR="00397A8E">
        <w:rPr>
          <w:iCs/>
        </w:rPr>
        <w:t xml:space="preserve">ir metinių </w:t>
      </w:r>
      <w:r w:rsidR="008D1663" w:rsidRPr="008D1663">
        <w:rPr>
          <w:iCs/>
        </w:rPr>
        <w:t xml:space="preserve">finansinių sąskaitų </w:t>
      </w:r>
      <w:r w:rsidR="00616D83">
        <w:rPr>
          <w:iCs/>
        </w:rPr>
        <w:t>sudarymą</w:t>
      </w:r>
      <w:r w:rsidR="008D1663" w:rsidRPr="008D1663">
        <w:rPr>
          <w:iCs/>
        </w:rPr>
        <w:t>.</w:t>
      </w:r>
      <w:r w:rsidR="00421663" w:rsidRPr="00421663">
        <w:rPr>
          <w:iCs/>
        </w:rPr>
        <w:t xml:space="preserve"> </w:t>
      </w:r>
    </w:p>
    <w:p w14:paraId="12C125EC" w14:textId="63BA032A" w:rsidR="00421663" w:rsidRPr="00241D28" w:rsidRDefault="00421663" w:rsidP="00421663">
      <w:pPr>
        <w:pStyle w:val="CMFBtextintable"/>
        <w:spacing w:after="0"/>
        <w:rPr>
          <w:iCs/>
        </w:rPr>
      </w:pPr>
      <w:r>
        <w:rPr>
          <w:iCs/>
        </w:rPr>
        <w:t>VDA</w:t>
      </w:r>
      <w:r w:rsidRPr="00241D28">
        <w:rPr>
          <w:iCs/>
        </w:rPr>
        <w:t xml:space="preserve"> </w:t>
      </w:r>
      <w:r w:rsidRPr="008D1663">
        <w:rPr>
          <w:iCs/>
        </w:rPr>
        <w:t>yra atsakingas už ketvirtinių valdžios sektoriaus finansinių sąskaitų  sudarymą</w:t>
      </w:r>
      <w:r w:rsidRPr="00241D28">
        <w:rPr>
          <w:iCs/>
        </w:rPr>
        <w:t xml:space="preserve">; </w:t>
      </w:r>
    </w:p>
    <w:p w14:paraId="14A5529A" w14:textId="3273F99D" w:rsidR="00FA4A79" w:rsidRPr="006D1336" w:rsidRDefault="003B291D" w:rsidP="00C4389C">
      <w:pPr>
        <w:pStyle w:val="Heading4"/>
        <w:numPr>
          <w:ilvl w:val="0"/>
          <w:numId w:val="0"/>
        </w:numPr>
        <w:jc w:val="both"/>
        <w:rPr>
          <w:b/>
          <w:bCs w:val="0"/>
          <w:u w:val="none"/>
        </w:rPr>
      </w:pPr>
      <w:r w:rsidRPr="006D1336">
        <w:rPr>
          <w:b/>
          <w:bCs w:val="0"/>
          <w:u w:val="none"/>
        </w:rPr>
        <w:t xml:space="preserve">A.2.2 </w:t>
      </w:r>
      <w:r w:rsidR="00B72F24" w:rsidRPr="006D1336">
        <w:rPr>
          <w:b/>
          <w:bCs w:val="0"/>
          <w:u w:val="none"/>
        </w:rPr>
        <w:t>Teisinis pagrindas</w:t>
      </w:r>
    </w:p>
    <w:p w14:paraId="255E9312" w14:textId="77777777" w:rsidR="00D04CC6" w:rsidRPr="00241D28" w:rsidRDefault="00D04CC6" w:rsidP="00C4389C">
      <w:pPr>
        <w:pStyle w:val="CMFBtextintable"/>
        <w:rPr>
          <w:iCs/>
        </w:rPr>
      </w:pPr>
      <w:bookmarkStart w:id="10" w:name="_Toc422500682"/>
    </w:p>
    <w:p w14:paraId="383CEB10" w14:textId="1AF0807F" w:rsidR="00D96E1A" w:rsidRPr="00241D28" w:rsidRDefault="00D96E1A" w:rsidP="00C4389C">
      <w:pPr>
        <w:pStyle w:val="CMFBtextintable"/>
        <w:rPr>
          <w:iCs/>
        </w:rPr>
      </w:pPr>
      <w:r w:rsidRPr="00241D28">
        <w:rPr>
          <w:iCs/>
        </w:rPr>
        <w:t xml:space="preserve">Metinės finansinės sąskaitos sudaromos ir perduodamos </w:t>
      </w:r>
      <w:r w:rsidR="00421663">
        <w:rPr>
          <w:iCs/>
        </w:rPr>
        <w:t xml:space="preserve">Eurostatui </w:t>
      </w:r>
      <w:r w:rsidRPr="00241D28">
        <w:rPr>
          <w:iCs/>
        </w:rPr>
        <w:t xml:space="preserve">remiantis Europos Parlamento ir Tarybos 2013 m. gegužės 21 d. </w:t>
      </w:r>
      <w:r w:rsidR="004C3711">
        <w:rPr>
          <w:iCs/>
        </w:rPr>
        <w:t>R</w:t>
      </w:r>
      <w:r w:rsidRPr="00241D28">
        <w:rPr>
          <w:iCs/>
        </w:rPr>
        <w:t>eglamentu (ES) Nr. 549/2013 dėl Europos nacionalinių ir regioninių sąskaitų Europos Sąjungoje (ESS 2010).</w:t>
      </w:r>
    </w:p>
    <w:p w14:paraId="14129045" w14:textId="77777777" w:rsidR="008040A2" w:rsidRPr="00241D28" w:rsidRDefault="008040A2" w:rsidP="00C4389C">
      <w:pPr>
        <w:pStyle w:val="CMFBtextintable"/>
        <w:rPr>
          <w:iCs/>
        </w:rPr>
      </w:pPr>
      <w:r w:rsidRPr="00241D28">
        <w:rPr>
          <w:iCs/>
        </w:rPr>
        <w:t xml:space="preserve">Ketvirtinės finansinės sąskaitos sudaromos ir perduodamos ECB </w:t>
      </w:r>
      <w:r w:rsidR="004E3F50" w:rsidRPr="00241D28">
        <w:rPr>
          <w:iCs/>
        </w:rPr>
        <w:t>remiantis</w:t>
      </w:r>
      <w:r w:rsidRPr="00241D28">
        <w:rPr>
          <w:iCs/>
        </w:rPr>
        <w:t xml:space="preserve"> ECB/2013/24 gair</w:t>
      </w:r>
      <w:r w:rsidR="004E3F50" w:rsidRPr="00241D28">
        <w:rPr>
          <w:iCs/>
        </w:rPr>
        <w:t>ėmis</w:t>
      </w:r>
      <w:r w:rsidRPr="00241D28">
        <w:rPr>
          <w:iCs/>
        </w:rPr>
        <w:t xml:space="preserve"> dėl Europos Centrinio Banko statistinės atskaitomybės reikalavimų ketvirtinių finansinių sąskaitų srityje.</w:t>
      </w:r>
    </w:p>
    <w:p w14:paraId="2735572C" w14:textId="0B5C6495" w:rsidR="00D96E1A" w:rsidRPr="00241D28" w:rsidRDefault="00D96E1A" w:rsidP="00C4389C">
      <w:pPr>
        <w:pStyle w:val="CMFBtextintable"/>
        <w:spacing w:before="240"/>
        <w:rPr>
          <w:iCs/>
        </w:rPr>
      </w:pPr>
      <w:r w:rsidRPr="00241D28">
        <w:rPr>
          <w:iCs/>
        </w:rPr>
        <w:lastRenderedPageBreak/>
        <w:t xml:space="preserve">Susiję nacionaliniai </w:t>
      </w:r>
      <w:r w:rsidR="00872C4E">
        <w:rPr>
          <w:iCs/>
        </w:rPr>
        <w:t>teisės aktai</w:t>
      </w:r>
      <w:r w:rsidRPr="00241D28">
        <w:rPr>
          <w:iCs/>
        </w:rPr>
        <w:t xml:space="preserve">: </w:t>
      </w:r>
    </w:p>
    <w:p w14:paraId="445DFDFD" w14:textId="382F05CB" w:rsidR="000C0DA3" w:rsidRDefault="006052B1" w:rsidP="00C4389C">
      <w:pPr>
        <w:pStyle w:val="CMFBtextintable"/>
        <w:spacing w:before="240"/>
        <w:rPr>
          <w:iCs/>
        </w:rPr>
      </w:pPr>
      <w:r w:rsidRPr="00241D28">
        <w:rPr>
          <w:iCs/>
        </w:rPr>
        <w:t>1993 m. spalio 12 d. Lietuvos Respublikos statistikos įstatymas Nr. I-270 su 20</w:t>
      </w:r>
      <w:r w:rsidR="007347F3">
        <w:rPr>
          <w:iCs/>
        </w:rPr>
        <w:t>20</w:t>
      </w:r>
      <w:r w:rsidRPr="00241D28">
        <w:rPr>
          <w:iCs/>
        </w:rPr>
        <w:t xml:space="preserve"> m. </w:t>
      </w:r>
      <w:r w:rsidR="007347F3">
        <w:rPr>
          <w:iCs/>
        </w:rPr>
        <w:t>rugsėjo</w:t>
      </w:r>
      <w:r w:rsidRPr="00241D28">
        <w:rPr>
          <w:iCs/>
        </w:rPr>
        <w:t xml:space="preserve"> </w:t>
      </w:r>
      <w:r w:rsidR="007347F3">
        <w:rPr>
          <w:iCs/>
        </w:rPr>
        <w:t>29</w:t>
      </w:r>
      <w:r w:rsidRPr="00241D28">
        <w:rPr>
          <w:iCs/>
        </w:rPr>
        <w:t xml:space="preserve"> d. </w:t>
      </w:r>
      <w:r w:rsidR="003036FD" w:rsidRPr="00241D28">
        <w:rPr>
          <w:iCs/>
        </w:rPr>
        <w:t xml:space="preserve">su </w:t>
      </w:r>
      <w:r w:rsidRPr="00241D28">
        <w:rPr>
          <w:iCs/>
        </w:rPr>
        <w:t>pakeitimais Nr. XI</w:t>
      </w:r>
      <w:r w:rsidR="000C0DA3">
        <w:rPr>
          <w:iCs/>
        </w:rPr>
        <w:t>II</w:t>
      </w:r>
      <w:r w:rsidRPr="00241D28">
        <w:rPr>
          <w:iCs/>
        </w:rPr>
        <w:t>-</w:t>
      </w:r>
      <w:r w:rsidR="007347F3">
        <w:rPr>
          <w:iCs/>
        </w:rPr>
        <w:t>3306</w:t>
      </w:r>
      <w:r w:rsidR="004C3711">
        <w:rPr>
          <w:iCs/>
        </w:rPr>
        <w:t>;</w:t>
      </w:r>
      <w:r w:rsidRPr="00241D28">
        <w:rPr>
          <w:iCs/>
        </w:rPr>
        <w:t xml:space="preserve"> </w:t>
      </w:r>
    </w:p>
    <w:p w14:paraId="591B7F30" w14:textId="7EFE1C93" w:rsidR="000C0DA3" w:rsidRDefault="000C0DA3" w:rsidP="000C0DA3">
      <w:pPr>
        <w:pStyle w:val="CMFBtextintable"/>
        <w:rPr>
          <w:iCs/>
        </w:rPr>
      </w:pPr>
      <w:r w:rsidRPr="000C0DA3">
        <w:rPr>
          <w:iCs/>
        </w:rPr>
        <w:t xml:space="preserve">LB atsakomybė rinkti ir sudaryti statistinę informaciją, reikalingą LB funkcijoms </w:t>
      </w:r>
      <w:r w:rsidR="0033274B">
        <w:rPr>
          <w:iCs/>
        </w:rPr>
        <w:t xml:space="preserve">ir ECBS uždaviniams </w:t>
      </w:r>
      <w:r w:rsidRPr="000C0DA3">
        <w:rPr>
          <w:iCs/>
        </w:rPr>
        <w:t>vykdyti, yra įtvirtinta LB įstatymo 8 straipsnyje</w:t>
      </w:r>
      <w:r w:rsidR="004C3711">
        <w:rPr>
          <w:iCs/>
        </w:rPr>
        <w:t>;</w:t>
      </w:r>
    </w:p>
    <w:p w14:paraId="68515883" w14:textId="705A58F6" w:rsidR="007347F3" w:rsidRDefault="007347F3" w:rsidP="000C0DA3">
      <w:pPr>
        <w:pStyle w:val="CMFBtextintable"/>
        <w:rPr>
          <w:iCs/>
        </w:rPr>
      </w:pPr>
      <w:r>
        <w:rPr>
          <w:iCs/>
        </w:rPr>
        <w:t xml:space="preserve">LB atsakomybė sudaryti ir skelbti metines finansines sąskaitas yra įtvirtinta 2020 kovo 9 d. </w:t>
      </w:r>
      <w:r w:rsidR="00637308">
        <w:rPr>
          <w:iCs/>
        </w:rPr>
        <w:t>VDA</w:t>
      </w:r>
      <w:r>
        <w:rPr>
          <w:iCs/>
        </w:rPr>
        <w:t xml:space="preserve"> ir LB susitarime dėl Lietuvos banko atliekamų Europos statistikos programos statistinių tyrimų.</w:t>
      </w:r>
    </w:p>
    <w:p w14:paraId="0EEB4B94" w14:textId="743D1C0F" w:rsidR="00546BFC" w:rsidRPr="00241D28" w:rsidRDefault="00546BFC" w:rsidP="000C0DA3">
      <w:pPr>
        <w:pStyle w:val="CMFBtextintable"/>
        <w:rPr>
          <w:iCs/>
        </w:rPr>
      </w:pPr>
      <w:r>
        <w:rPr>
          <w:iCs/>
        </w:rPr>
        <w:t xml:space="preserve">LB ir </w:t>
      </w:r>
      <w:r w:rsidR="00637308">
        <w:rPr>
          <w:iCs/>
        </w:rPr>
        <w:t>VDA</w:t>
      </w:r>
      <w:r>
        <w:rPr>
          <w:iCs/>
        </w:rPr>
        <w:t xml:space="preserve"> bendradarbiavimas finansinių sąskaitų srityje yra įtvirtintas Statistinės informacijos ir </w:t>
      </w:r>
      <w:r w:rsidR="00CB34C3">
        <w:rPr>
          <w:iCs/>
        </w:rPr>
        <w:t xml:space="preserve">statistinių </w:t>
      </w:r>
      <w:r>
        <w:rPr>
          <w:iCs/>
        </w:rPr>
        <w:t>duomenų teikimo sutartyje, kurioje aptart</w:t>
      </w:r>
      <w:r w:rsidR="004C3711">
        <w:rPr>
          <w:iCs/>
        </w:rPr>
        <w:t>a</w:t>
      </w:r>
      <w:r>
        <w:rPr>
          <w:iCs/>
        </w:rPr>
        <w:t xml:space="preserve"> </w:t>
      </w:r>
      <w:r w:rsidR="004C3711">
        <w:rPr>
          <w:iCs/>
        </w:rPr>
        <w:t xml:space="preserve">apsikeitimo </w:t>
      </w:r>
      <w:r w:rsidR="00CB34C3">
        <w:rPr>
          <w:iCs/>
        </w:rPr>
        <w:t xml:space="preserve">statistiniais </w:t>
      </w:r>
      <w:r>
        <w:rPr>
          <w:iCs/>
        </w:rPr>
        <w:t>duomen</w:t>
      </w:r>
      <w:r w:rsidR="004C3711">
        <w:rPr>
          <w:iCs/>
        </w:rPr>
        <w:t>imis</w:t>
      </w:r>
      <w:r>
        <w:rPr>
          <w:iCs/>
        </w:rPr>
        <w:t xml:space="preserve"> apimt</w:t>
      </w:r>
      <w:r w:rsidR="004C3711">
        <w:rPr>
          <w:iCs/>
        </w:rPr>
        <w:t>i</w:t>
      </w:r>
      <w:r>
        <w:rPr>
          <w:iCs/>
        </w:rPr>
        <w:t>s ir terminai.</w:t>
      </w:r>
    </w:p>
    <w:p w14:paraId="73BF18E5" w14:textId="6DDC2B3F" w:rsidR="00FA4A79" w:rsidRPr="006D1336" w:rsidRDefault="003376FB" w:rsidP="00C4389C">
      <w:pPr>
        <w:pStyle w:val="Heading3"/>
        <w:numPr>
          <w:ilvl w:val="0"/>
          <w:numId w:val="0"/>
        </w:numPr>
        <w:rPr>
          <w:b/>
          <w:bCs w:val="0"/>
          <w:sz w:val="22"/>
          <w:szCs w:val="22"/>
        </w:rPr>
      </w:pPr>
      <w:r w:rsidRPr="006D1336">
        <w:rPr>
          <w:b/>
          <w:bCs w:val="0"/>
          <w:sz w:val="22"/>
          <w:szCs w:val="22"/>
        </w:rPr>
        <w:t xml:space="preserve">A.3 </w:t>
      </w:r>
      <w:r w:rsidR="00FA4A79" w:rsidRPr="006D1336">
        <w:rPr>
          <w:b/>
          <w:bCs w:val="0"/>
          <w:sz w:val="22"/>
          <w:szCs w:val="22"/>
        </w:rPr>
        <w:t xml:space="preserve">CoP6 </w:t>
      </w:r>
      <w:r w:rsidR="00D979D3" w:rsidRPr="006D1336">
        <w:rPr>
          <w:b/>
          <w:bCs w:val="0"/>
          <w:sz w:val="22"/>
          <w:szCs w:val="22"/>
        </w:rPr>
        <w:t>Nešališkumas ir objektyvumas</w:t>
      </w:r>
      <w:r w:rsidR="00FA4A79" w:rsidRPr="006D1336">
        <w:rPr>
          <w:b/>
          <w:bCs w:val="0"/>
          <w:sz w:val="22"/>
          <w:szCs w:val="22"/>
        </w:rPr>
        <w:t xml:space="preserve"> / PC6 </w:t>
      </w:r>
      <w:bookmarkEnd w:id="10"/>
      <w:r w:rsidR="00D979D3" w:rsidRPr="006D1336">
        <w:rPr>
          <w:b/>
          <w:bCs w:val="0"/>
          <w:sz w:val="22"/>
          <w:szCs w:val="22"/>
        </w:rPr>
        <w:t>Nešališkumas ir objektyvumas</w:t>
      </w:r>
    </w:p>
    <w:p w14:paraId="052B08E0" w14:textId="15AECC31" w:rsidR="00FA4A79" w:rsidRPr="008771CE" w:rsidRDefault="003376FB" w:rsidP="00833172">
      <w:pPr>
        <w:pStyle w:val="Heading4"/>
        <w:numPr>
          <w:ilvl w:val="0"/>
          <w:numId w:val="0"/>
        </w:numPr>
        <w:spacing w:after="240"/>
        <w:jc w:val="both"/>
        <w:rPr>
          <w:b/>
          <w:bCs w:val="0"/>
          <w:u w:val="none"/>
        </w:rPr>
      </w:pPr>
      <w:r w:rsidRPr="008771CE">
        <w:rPr>
          <w:b/>
          <w:bCs w:val="0"/>
          <w:u w:val="none"/>
        </w:rPr>
        <w:t xml:space="preserve">A.3.1 </w:t>
      </w:r>
      <w:r w:rsidR="00D979D3" w:rsidRPr="008771CE">
        <w:rPr>
          <w:b/>
          <w:bCs w:val="0"/>
          <w:u w:val="none"/>
        </w:rPr>
        <w:t xml:space="preserve">Išankstinis </w:t>
      </w:r>
      <w:r w:rsidR="006D1336" w:rsidRPr="008771CE">
        <w:rPr>
          <w:b/>
          <w:bCs w:val="0"/>
          <w:u w:val="none"/>
        </w:rPr>
        <w:t xml:space="preserve">duomenų </w:t>
      </w:r>
      <w:r w:rsidR="00D979D3" w:rsidRPr="008771CE">
        <w:rPr>
          <w:b/>
          <w:bCs w:val="0"/>
          <w:u w:val="none"/>
        </w:rPr>
        <w:t>skelbimo kalendorius</w:t>
      </w:r>
      <w:r w:rsidR="00FA4A79" w:rsidRPr="008771CE">
        <w:rPr>
          <w:b/>
          <w:bCs w:val="0"/>
          <w:u w:val="none"/>
        </w:rPr>
        <w:t xml:space="preserve"> </w:t>
      </w:r>
    </w:p>
    <w:p w14:paraId="4C1A4F36" w14:textId="77777777" w:rsidR="006D1336" w:rsidRPr="00241D28" w:rsidRDefault="006D1336" w:rsidP="006D1336">
      <w:pPr>
        <w:pStyle w:val="CMFBtextintable"/>
        <w:spacing w:after="0"/>
        <w:rPr>
          <w:iCs/>
        </w:rPr>
      </w:pPr>
      <w:r w:rsidRPr="00241D28">
        <w:rPr>
          <w:iCs/>
        </w:rPr>
        <w:t xml:space="preserve">Ketvirtinių </w:t>
      </w:r>
      <w:r>
        <w:rPr>
          <w:iCs/>
        </w:rPr>
        <w:t xml:space="preserve">ir metinių </w:t>
      </w:r>
      <w:r w:rsidRPr="00241D28">
        <w:rPr>
          <w:iCs/>
        </w:rPr>
        <w:t xml:space="preserve">finansinių sąskaitų </w:t>
      </w:r>
      <w:r>
        <w:rPr>
          <w:iCs/>
        </w:rPr>
        <w:t xml:space="preserve"> duomenų</w:t>
      </w:r>
      <w:r w:rsidRPr="00241D28">
        <w:rPr>
          <w:iCs/>
        </w:rPr>
        <w:t xml:space="preserve"> skelbimo kalendorius </w:t>
      </w:r>
      <w:r>
        <w:rPr>
          <w:iCs/>
        </w:rPr>
        <w:t xml:space="preserve">yra </w:t>
      </w:r>
      <w:r w:rsidRPr="00241D28">
        <w:rPr>
          <w:iCs/>
        </w:rPr>
        <w:t>viešai paskelbtas LB interneto tinklalapyje (</w:t>
      </w:r>
      <w:hyperlink r:id="rId11" w:history="1">
        <w:r w:rsidRPr="00241D28">
          <w:rPr>
            <w:rStyle w:val="Hyperlink"/>
          </w:rPr>
          <w:t>http://www.lb.lt/lt/duomenu-skelbim</w:t>
        </w:r>
        <w:r w:rsidRPr="00241D28">
          <w:rPr>
            <w:rStyle w:val="Hyperlink"/>
          </w:rPr>
          <w:t>o</w:t>
        </w:r>
        <w:r w:rsidRPr="00241D28">
          <w:rPr>
            <w:rStyle w:val="Hyperlink"/>
          </w:rPr>
          <w:t>-kalendorius</w:t>
        </w:r>
      </w:hyperlink>
      <w:r w:rsidRPr="00241D28">
        <w:rPr>
          <w:rStyle w:val="Hyperlink"/>
          <w:color w:val="auto"/>
          <w:u w:val="none"/>
        </w:rPr>
        <w:t>)</w:t>
      </w:r>
      <w:r w:rsidRPr="00241D28">
        <w:t>,</w:t>
      </w:r>
      <w:r w:rsidRPr="00241D28">
        <w:rPr>
          <w:iCs/>
        </w:rPr>
        <w:t xml:space="preserve"> ketvirtinės finansinės sąskaitos skelbiamos po </w:t>
      </w:r>
      <w:r>
        <w:rPr>
          <w:iCs/>
        </w:rPr>
        <w:t>95</w:t>
      </w:r>
      <w:r w:rsidRPr="00241D28">
        <w:rPr>
          <w:iCs/>
        </w:rPr>
        <w:t xml:space="preserve"> dienų ketvirčiui pasibaigus.</w:t>
      </w:r>
      <w:r>
        <w:rPr>
          <w:iCs/>
        </w:rPr>
        <w:t xml:space="preserve"> Metinės finansinės sąskaitos skelbiamos po 9 mėn., išankstiniai metinių sąskaitų duomenys skelbiami po 95 dienų ataskaitiniams metams pasibaigus. </w:t>
      </w:r>
    </w:p>
    <w:p w14:paraId="7820C225" w14:textId="3F70C7FA" w:rsidR="005D5369" w:rsidRDefault="005D5369" w:rsidP="005D5369">
      <w:pPr>
        <w:pStyle w:val="CMFBtextintable"/>
        <w:spacing w:after="0"/>
        <w:rPr>
          <w:iCs/>
        </w:rPr>
      </w:pPr>
      <w:r>
        <w:rPr>
          <w:iCs/>
        </w:rPr>
        <w:t>Duomenų</w:t>
      </w:r>
      <w:r w:rsidR="006052B1" w:rsidRPr="00241D28">
        <w:rPr>
          <w:iCs/>
        </w:rPr>
        <w:t xml:space="preserve"> skelbimo kalendorius </w:t>
      </w:r>
      <w:r w:rsidR="0033274B">
        <w:rPr>
          <w:iCs/>
        </w:rPr>
        <w:t xml:space="preserve">yra </w:t>
      </w:r>
      <w:r w:rsidR="006052B1" w:rsidRPr="00241D28">
        <w:rPr>
          <w:iCs/>
        </w:rPr>
        <w:t xml:space="preserve">viešai paskelbtas </w:t>
      </w:r>
      <w:r w:rsidR="00637308">
        <w:rPr>
          <w:iCs/>
        </w:rPr>
        <w:t>VDA</w:t>
      </w:r>
      <w:r w:rsidR="006052B1" w:rsidRPr="00241D28">
        <w:rPr>
          <w:iCs/>
        </w:rPr>
        <w:t xml:space="preserve"> interneto </w:t>
      </w:r>
      <w:r w:rsidR="003036FD" w:rsidRPr="00241D28">
        <w:rPr>
          <w:iCs/>
        </w:rPr>
        <w:t xml:space="preserve">tinklalapyje </w:t>
      </w:r>
      <w:r w:rsidR="006052B1" w:rsidRPr="00241D28">
        <w:rPr>
          <w:iCs/>
        </w:rPr>
        <w:t>(</w:t>
      </w:r>
      <w:hyperlink r:id="rId12" w:history="1">
        <w:r w:rsidR="006052B1" w:rsidRPr="00241D28">
          <w:rPr>
            <w:rStyle w:val="Hyperlink"/>
            <w:iCs/>
          </w:rPr>
          <w:t>http://osp.stat.gov.lt/lt/kale</w:t>
        </w:r>
        <w:r w:rsidR="006052B1" w:rsidRPr="00241D28">
          <w:rPr>
            <w:rStyle w:val="Hyperlink"/>
            <w:iCs/>
          </w:rPr>
          <w:t>n</w:t>
        </w:r>
        <w:r w:rsidR="006052B1" w:rsidRPr="00241D28">
          <w:rPr>
            <w:rStyle w:val="Hyperlink"/>
            <w:iCs/>
          </w:rPr>
          <w:t>doriai</w:t>
        </w:r>
      </w:hyperlink>
      <w:r w:rsidR="006052B1" w:rsidRPr="00241D28">
        <w:rPr>
          <w:rStyle w:val="Hyperlink"/>
          <w:iCs/>
          <w:color w:val="auto"/>
          <w:u w:val="none"/>
        </w:rPr>
        <w:t>)</w:t>
      </w:r>
      <w:r>
        <w:rPr>
          <w:rStyle w:val="Hyperlink"/>
          <w:iCs/>
          <w:color w:val="auto"/>
          <w:u w:val="none"/>
        </w:rPr>
        <w:t>,</w:t>
      </w:r>
      <w:r w:rsidR="006052B1" w:rsidRPr="00241D28">
        <w:rPr>
          <w:iCs/>
        </w:rPr>
        <w:t xml:space="preserve"> </w:t>
      </w:r>
      <w:r w:rsidRPr="00241D28">
        <w:rPr>
          <w:iCs/>
        </w:rPr>
        <w:t>KVSFS skelbiamos po 93 dienų ketvirčiui pasibaigus</w:t>
      </w:r>
      <w:r w:rsidRPr="00241D28">
        <w:t xml:space="preserve">. </w:t>
      </w:r>
    </w:p>
    <w:p w14:paraId="51F8B992" w14:textId="46F73B67" w:rsidR="00FA4A79" w:rsidRPr="006D1336" w:rsidRDefault="00AE6526" w:rsidP="00C4389C">
      <w:pPr>
        <w:pStyle w:val="Heading4"/>
        <w:numPr>
          <w:ilvl w:val="0"/>
          <w:numId w:val="0"/>
        </w:numPr>
        <w:jc w:val="both"/>
        <w:rPr>
          <w:b/>
          <w:bCs w:val="0"/>
          <w:u w:val="none"/>
        </w:rPr>
      </w:pPr>
      <w:r w:rsidRPr="006D1336">
        <w:rPr>
          <w:b/>
          <w:bCs w:val="0"/>
          <w:u w:val="none"/>
        </w:rPr>
        <w:t xml:space="preserve">A.3.2 </w:t>
      </w:r>
      <w:r w:rsidR="00FA4A79" w:rsidRPr="006D1336">
        <w:rPr>
          <w:b/>
          <w:bCs w:val="0"/>
          <w:u w:val="none"/>
        </w:rPr>
        <w:t>Revi</w:t>
      </w:r>
      <w:r w:rsidR="002A6461" w:rsidRPr="006D1336">
        <w:rPr>
          <w:b/>
          <w:bCs w:val="0"/>
          <w:u w:val="none"/>
        </w:rPr>
        <w:t>zijų tvarka</w:t>
      </w:r>
      <w:r w:rsidR="00FA4A79" w:rsidRPr="006D1336">
        <w:rPr>
          <w:b/>
          <w:bCs w:val="0"/>
          <w:u w:val="none"/>
        </w:rPr>
        <w:t xml:space="preserve"> </w:t>
      </w:r>
    </w:p>
    <w:p w14:paraId="529B9C5C" w14:textId="1D62ED5F" w:rsidR="00EC065A" w:rsidRPr="00241D28" w:rsidRDefault="006D1336" w:rsidP="00C4389C">
      <w:pPr>
        <w:pStyle w:val="CMFBtextintable"/>
        <w:spacing w:before="240"/>
        <w:rPr>
          <w:iCs/>
        </w:rPr>
      </w:pPr>
      <w:r>
        <w:rPr>
          <w:iCs/>
        </w:rPr>
        <w:t>F</w:t>
      </w:r>
      <w:r w:rsidR="00A445D9" w:rsidRPr="00241D28">
        <w:rPr>
          <w:iCs/>
        </w:rPr>
        <w:t>inansinės sąskaitos</w:t>
      </w:r>
      <w:r>
        <w:rPr>
          <w:iCs/>
        </w:rPr>
        <w:t xml:space="preserve"> (FS)</w:t>
      </w:r>
    </w:p>
    <w:p w14:paraId="0053ACBA" w14:textId="62A81E1A" w:rsidR="006D1336" w:rsidRPr="00241D28" w:rsidRDefault="006D1336" w:rsidP="006D1336">
      <w:pPr>
        <w:pStyle w:val="CMFBtextintable"/>
        <w:rPr>
          <w:iCs/>
        </w:rPr>
      </w:pPr>
      <w:r>
        <w:rPr>
          <w:iCs/>
        </w:rPr>
        <w:t>FS</w:t>
      </w:r>
      <w:r w:rsidR="006052B1" w:rsidRPr="00241D28">
        <w:rPr>
          <w:iCs/>
        </w:rPr>
        <w:t xml:space="preserve"> reviz</w:t>
      </w:r>
      <w:r w:rsidR="00636794" w:rsidRPr="00241D28">
        <w:rPr>
          <w:iCs/>
        </w:rPr>
        <w:t xml:space="preserve">ijų </w:t>
      </w:r>
      <w:r w:rsidR="007952F2" w:rsidRPr="00241D28">
        <w:rPr>
          <w:iCs/>
        </w:rPr>
        <w:t>tvarka</w:t>
      </w:r>
      <w:r w:rsidR="00636794" w:rsidRPr="00241D28">
        <w:rPr>
          <w:iCs/>
        </w:rPr>
        <w:t xml:space="preserve"> parengta vadovaujanti</w:t>
      </w:r>
      <w:r w:rsidR="00012F85" w:rsidRPr="00241D28">
        <w:rPr>
          <w:iCs/>
        </w:rPr>
        <w:t>s</w:t>
      </w:r>
      <w:r w:rsidR="00636794" w:rsidRPr="00241D28">
        <w:rPr>
          <w:iCs/>
        </w:rPr>
        <w:t xml:space="preserve"> </w:t>
      </w:r>
      <w:r w:rsidR="00012F85" w:rsidRPr="00241D28">
        <w:rPr>
          <w:iCs/>
        </w:rPr>
        <w:t>PFMBK</w:t>
      </w:r>
      <w:r w:rsidR="00636794" w:rsidRPr="00241D28">
        <w:rPr>
          <w:iCs/>
        </w:rPr>
        <w:t xml:space="preserve"> rekomendacijomis ir yra suderinta</w:t>
      </w:r>
      <w:r w:rsidR="00636794" w:rsidRPr="00241D28">
        <w:t xml:space="preserve"> </w:t>
      </w:r>
      <w:r w:rsidR="00636794" w:rsidRPr="00241D28">
        <w:rPr>
          <w:iCs/>
        </w:rPr>
        <w:t>su kitų statistikos sričių duomenų revizijomis</w:t>
      </w:r>
      <w:r w:rsidR="007952F2" w:rsidRPr="00241D28">
        <w:rPr>
          <w:iCs/>
        </w:rPr>
        <w:t>.</w:t>
      </w:r>
      <w:r w:rsidRPr="006D1336">
        <w:t xml:space="preserve"> </w:t>
      </w:r>
      <w:r w:rsidRPr="006D1336">
        <w:t>Apie pagrindinius metodinius pakeitimus, tokius kaip ESS 2010 įgyvendinimas, pranešama specialiuose vartotojams skirtuose pranešimuose.</w:t>
      </w:r>
    </w:p>
    <w:p w14:paraId="09C59539" w14:textId="7F5D1A68" w:rsidR="00012F85" w:rsidRPr="00241D28" w:rsidRDefault="006D1336" w:rsidP="00CA3FF3">
      <w:pPr>
        <w:pStyle w:val="CMFBtextintable"/>
        <w:spacing w:before="240"/>
        <w:rPr>
          <w:iCs/>
        </w:rPr>
      </w:pPr>
      <w:r>
        <w:rPr>
          <w:iCs/>
        </w:rPr>
        <w:t>FS</w:t>
      </w:r>
      <w:r w:rsidR="00012F85" w:rsidRPr="00241D28">
        <w:rPr>
          <w:iCs/>
        </w:rPr>
        <w:t xml:space="preserve"> duomenų revizijų grafikas</w:t>
      </w:r>
    </w:p>
    <w:tbl>
      <w:tblPr>
        <w:tblStyle w:val="TableGrid"/>
        <w:tblW w:w="9226" w:type="dxa"/>
        <w:tblLook w:val="04A0" w:firstRow="1" w:lastRow="0" w:firstColumn="1" w:lastColumn="0" w:noHBand="0" w:noVBand="1"/>
      </w:tblPr>
      <w:tblGrid>
        <w:gridCol w:w="1384"/>
        <w:gridCol w:w="1559"/>
        <w:gridCol w:w="2297"/>
        <w:gridCol w:w="2381"/>
        <w:gridCol w:w="1605"/>
      </w:tblGrid>
      <w:tr w:rsidR="00012F85" w:rsidRPr="00241D28" w14:paraId="108DEEAC" w14:textId="77777777" w:rsidTr="007745CA">
        <w:tc>
          <w:tcPr>
            <w:tcW w:w="1384" w:type="dxa"/>
          </w:tcPr>
          <w:p w14:paraId="7BFA64B9" w14:textId="77777777" w:rsidR="00012F85" w:rsidRPr="00241D28" w:rsidRDefault="00012F85" w:rsidP="00C4389C">
            <w:pPr>
              <w:pStyle w:val="CMFBtextintable"/>
              <w:rPr>
                <w:iCs/>
              </w:rPr>
            </w:pPr>
            <w:r w:rsidRPr="00241D28">
              <w:rPr>
                <w:iCs/>
              </w:rPr>
              <w:t>Ataskaitinis laikotarpis</w:t>
            </w:r>
          </w:p>
        </w:tc>
        <w:tc>
          <w:tcPr>
            <w:tcW w:w="1559" w:type="dxa"/>
          </w:tcPr>
          <w:p w14:paraId="4FF7162D" w14:textId="77777777" w:rsidR="00012F85" w:rsidRPr="00241D28" w:rsidRDefault="00012F85" w:rsidP="00C4389C">
            <w:pPr>
              <w:pStyle w:val="CMFBtextintable"/>
              <w:rPr>
                <w:iCs/>
              </w:rPr>
            </w:pPr>
            <w:r w:rsidRPr="00241D28">
              <w:rPr>
                <w:iCs/>
              </w:rPr>
              <w:t>Revizijos tipas</w:t>
            </w:r>
          </w:p>
        </w:tc>
        <w:tc>
          <w:tcPr>
            <w:tcW w:w="2297" w:type="dxa"/>
          </w:tcPr>
          <w:p w14:paraId="551A97AF" w14:textId="77777777" w:rsidR="00012F85" w:rsidRPr="00241D28" w:rsidRDefault="00012F85" w:rsidP="00C4389C">
            <w:pPr>
              <w:pStyle w:val="CMFBtextintable"/>
              <w:rPr>
                <w:iCs/>
              </w:rPr>
            </w:pPr>
            <w:r w:rsidRPr="00241D28">
              <w:rPr>
                <w:iCs/>
              </w:rPr>
              <w:t>Revizuotų duomenų skelbimas</w:t>
            </w:r>
          </w:p>
        </w:tc>
        <w:tc>
          <w:tcPr>
            <w:tcW w:w="2381" w:type="dxa"/>
          </w:tcPr>
          <w:p w14:paraId="7839FE85" w14:textId="77777777" w:rsidR="00012F85" w:rsidRPr="00241D28" w:rsidRDefault="00012F85" w:rsidP="00C4389C">
            <w:pPr>
              <w:pStyle w:val="CMFBtextintable"/>
              <w:rPr>
                <w:iCs/>
              </w:rPr>
            </w:pPr>
            <w:r w:rsidRPr="00241D28">
              <w:rPr>
                <w:iCs/>
              </w:rPr>
              <w:t>Apibūdinimas</w:t>
            </w:r>
          </w:p>
        </w:tc>
        <w:tc>
          <w:tcPr>
            <w:tcW w:w="1605" w:type="dxa"/>
          </w:tcPr>
          <w:p w14:paraId="63E62E5F" w14:textId="77777777" w:rsidR="00012F85" w:rsidRPr="00241D28" w:rsidRDefault="00012F85" w:rsidP="00C4389C">
            <w:pPr>
              <w:pStyle w:val="CMFBtextintable"/>
              <w:rPr>
                <w:iCs/>
              </w:rPr>
            </w:pPr>
            <w:r w:rsidRPr="00241D28">
              <w:rPr>
                <w:iCs/>
              </w:rPr>
              <w:t>Revizuojamas laikotarpis</w:t>
            </w:r>
          </w:p>
        </w:tc>
      </w:tr>
      <w:tr w:rsidR="00012F85" w:rsidRPr="00241D28" w14:paraId="1599C3A6" w14:textId="77777777" w:rsidTr="007745CA">
        <w:tc>
          <w:tcPr>
            <w:tcW w:w="1384" w:type="dxa"/>
          </w:tcPr>
          <w:p w14:paraId="3009EF23" w14:textId="77777777" w:rsidR="00012F85" w:rsidRPr="00241D28" w:rsidRDefault="00012F85" w:rsidP="00C4389C">
            <w:pPr>
              <w:pStyle w:val="CMFBtextintable"/>
              <w:rPr>
                <w:iCs/>
              </w:rPr>
            </w:pPr>
            <w:r w:rsidRPr="00241D28">
              <w:rPr>
                <w:iCs/>
              </w:rPr>
              <w:t>II ketvirtis</w:t>
            </w:r>
          </w:p>
        </w:tc>
        <w:tc>
          <w:tcPr>
            <w:tcW w:w="1559" w:type="dxa"/>
          </w:tcPr>
          <w:p w14:paraId="0827E377" w14:textId="77777777" w:rsidR="00012F85" w:rsidRPr="00241D28" w:rsidRDefault="00012F85" w:rsidP="00C4389C">
            <w:pPr>
              <w:pStyle w:val="CMFBtextintable"/>
              <w:rPr>
                <w:iCs/>
              </w:rPr>
            </w:pPr>
            <w:r w:rsidRPr="00241D28">
              <w:rPr>
                <w:iCs/>
              </w:rPr>
              <w:t>Metinė</w:t>
            </w:r>
          </w:p>
        </w:tc>
        <w:tc>
          <w:tcPr>
            <w:tcW w:w="2297" w:type="dxa"/>
          </w:tcPr>
          <w:p w14:paraId="7D4E0639" w14:textId="31CB14A6" w:rsidR="00012F85" w:rsidRPr="00241D28" w:rsidRDefault="002C0F98" w:rsidP="006D1336">
            <w:pPr>
              <w:pStyle w:val="CMFBtextintable"/>
              <w:rPr>
                <w:iCs/>
              </w:rPr>
            </w:pPr>
            <w:r w:rsidRPr="002C0F98">
              <w:rPr>
                <w:iCs/>
              </w:rPr>
              <w:t>Duomenų skelbimo kalendoriuje nurodytomis datomis skelbiant ataskaitinio periodo duomenis</w:t>
            </w:r>
          </w:p>
        </w:tc>
        <w:tc>
          <w:tcPr>
            <w:tcW w:w="2381" w:type="dxa"/>
          </w:tcPr>
          <w:p w14:paraId="3551A92D" w14:textId="77777777" w:rsidR="00012F85" w:rsidRPr="00241D28" w:rsidRDefault="00012F85" w:rsidP="00C4389C">
            <w:pPr>
              <w:pStyle w:val="CMFBtextintable"/>
              <w:rPr>
                <w:iCs/>
              </w:rPr>
            </w:pPr>
            <w:r w:rsidRPr="00241D28">
              <w:rPr>
                <w:iCs/>
              </w:rPr>
              <w:t>Diegiami nauji duomenų šaltiniai, taikomi nauji skaičiavimo metodai, atliekami perklasifikavimai.</w:t>
            </w:r>
          </w:p>
        </w:tc>
        <w:tc>
          <w:tcPr>
            <w:tcW w:w="1605" w:type="dxa"/>
          </w:tcPr>
          <w:p w14:paraId="3BE7DB84" w14:textId="77777777" w:rsidR="002C0F98" w:rsidRDefault="009908EB" w:rsidP="00C4389C">
            <w:pPr>
              <w:pStyle w:val="CMFBtextintable"/>
              <w:rPr>
                <w:iCs/>
              </w:rPr>
            </w:pPr>
            <w:r w:rsidRPr="00241D28">
              <w:rPr>
                <w:iCs/>
              </w:rPr>
              <w:t>17 ketvirčių</w:t>
            </w:r>
          </w:p>
          <w:p w14:paraId="722E7FDF" w14:textId="77777777" w:rsidR="002C0F98" w:rsidRDefault="002C0F98" w:rsidP="00C4389C">
            <w:pPr>
              <w:pStyle w:val="CMFBtextintable"/>
              <w:rPr>
                <w:iCs/>
              </w:rPr>
            </w:pPr>
            <w:r>
              <w:rPr>
                <w:iCs/>
              </w:rPr>
              <w:t>4 metai</w:t>
            </w:r>
          </w:p>
          <w:p w14:paraId="18D3EF8D" w14:textId="2C4F5034" w:rsidR="00012F85" w:rsidRPr="00241D28" w:rsidRDefault="009908EB" w:rsidP="00C4389C">
            <w:pPr>
              <w:pStyle w:val="CMFBtextintable"/>
              <w:rPr>
                <w:iCs/>
              </w:rPr>
            </w:pPr>
            <w:r w:rsidRPr="00241D28">
              <w:rPr>
                <w:iCs/>
              </w:rPr>
              <w:t>arba visa laiko eilutė</w:t>
            </w:r>
          </w:p>
        </w:tc>
      </w:tr>
      <w:tr w:rsidR="00012F85" w:rsidRPr="00241D28" w14:paraId="3950D257" w14:textId="77777777" w:rsidTr="007745CA">
        <w:tc>
          <w:tcPr>
            <w:tcW w:w="1384" w:type="dxa"/>
          </w:tcPr>
          <w:p w14:paraId="46F37F76" w14:textId="77777777" w:rsidR="00012F85" w:rsidRPr="00241D28" w:rsidRDefault="00CA3FF3" w:rsidP="00CA3FF3">
            <w:pPr>
              <w:pStyle w:val="CMFBtextintable"/>
              <w:rPr>
                <w:iCs/>
              </w:rPr>
            </w:pPr>
            <w:r>
              <w:rPr>
                <w:iCs/>
              </w:rPr>
              <w:t xml:space="preserve">I ir </w:t>
            </w:r>
            <w:r w:rsidR="00012F85" w:rsidRPr="00241D28">
              <w:rPr>
                <w:iCs/>
              </w:rPr>
              <w:t>IV ketvir</w:t>
            </w:r>
            <w:r>
              <w:rPr>
                <w:iCs/>
              </w:rPr>
              <w:t>čiai</w:t>
            </w:r>
          </w:p>
        </w:tc>
        <w:tc>
          <w:tcPr>
            <w:tcW w:w="1559" w:type="dxa"/>
          </w:tcPr>
          <w:p w14:paraId="066DA8A3" w14:textId="77777777" w:rsidR="00012F85" w:rsidRPr="00241D28" w:rsidRDefault="00012F85" w:rsidP="00C4389C">
            <w:pPr>
              <w:pStyle w:val="CMFBtextintable"/>
              <w:rPr>
                <w:iCs/>
              </w:rPr>
            </w:pPr>
            <w:r w:rsidRPr="00241D28">
              <w:rPr>
                <w:iCs/>
              </w:rPr>
              <w:t>Einamoji</w:t>
            </w:r>
          </w:p>
        </w:tc>
        <w:tc>
          <w:tcPr>
            <w:tcW w:w="2297" w:type="dxa"/>
          </w:tcPr>
          <w:p w14:paraId="37EB35BB" w14:textId="56E3EA5D" w:rsidR="00012F85" w:rsidRPr="00241D28" w:rsidRDefault="002C0F98" w:rsidP="006D1336">
            <w:pPr>
              <w:pStyle w:val="CMFBtextintable"/>
              <w:rPr>
                <w:iCs/>
              </w:rPr>
            </w:pPr>
            <w:r w:rsidRPr="002C0F98">
              <w:rPr>
                <w:iCs/>
              </w:rPr>
              <w:t>Duomenų skelbimo kalendoriuje nurodytomis datomis skelbiant ataskaitinio periodo duomenis</w:t>
            </w:r>
          </w:p>
        </w:tc>
        <w:tc>
          <w:tcPr>
            <w:tcW w:w="2381" w:type="dxa"/>
          </w:tcPr>
          <w:p w14:paraId="55790978" w14:textId="77777777" w:rsidR="00012F85" w:rsidRPr="00241D28" w:rsidRDefault="009908EB" w:rsidP="00C4389C">
            <w:pPr>
              <w:pStyle w:val="CMFBtextintable"/>
              <w:rPr>
                <w:iCs/>
              </w:rPr>
            </w:pPr>
            <w:r w:rsidRPr="00241D28">
              <w:rPr>
                <w:iCs/>
              </w:rPr>
              <w:t>Išankstiniai duomenys pakeičiami galutiniais, įverčiai – faktiniais duomenimis</w:t>
            </w:r>
            <w:r w:rsidR="004C3711">
              <w:rPr>
                <w:iCs/>
              </w:rPr>
              <w:t>.</w:t>
            </w:r>
          </w:p>
        </w:tc>
        <w:tc>
          <w:tcPr>
            <w:tcW w:w="1605" w:type="dxa"/>
          </w:tcPr>
          <w:p w14:paraId="257623B2" w14:textId="77777777" w:rsidR="00012F85" w:rsidRDefault="009908EB" w:rsidP="00C4389C">
            <w:pPr>
              <w:pStyle w:val="CMFBtextintable"/>
              <w:rPr>
                <w:iCs/>
              </w:rPr>
            </w:pPr>
            <w:r w:rsidRPr="00241D28">
              <w:rPr>
                <w:iCs/>
              </w:rPr>
              <w:t>15 ketvirčių</w:t>
            </w:r>
          </w:p>
          <w:p w14:paraId="1F6D25D3" w14:textId="37303515" w:rsidR="002C0F98" w:rsidRPr="00241D28" w:rsidRDefault="002C0F98" w:rsidP="00C4389C">
            <w:pPr>
              <w:pStyle w:val="CMFBtextintable"/>
              <w:rPr>
                <w:iCs/>
              </w:rPr>
            </w:pPr>
            <w:r>
              <w:rPr>
                <w:iCs/>
              </w:rPr>
              <w:t>3 metai</w:t>
            </w:r>
          </w:p>
        </w:tc>
      </w:tr>
    </w:tbl>
    <w:p w14:paraId="6CA22068" w14:textId="77777777" w:rsidR="00012F85" w:rsidRPr="00241D28" w:rsidRDefault="00012F85" w:rsidP="00C4389C">
      <w:pPr>
        <w:pStyle w:val="CMFBtextintable"/>
        <w:rPr>
          <w:iCs/>
        </w:rPr>
      </w:pPr>
    </w:p>
    <w:p w14:paraId="22C21697" w14:textId="77777777" w:rsidR="00805C77" w:rsidRPr="00241D28" w:rsidRDefault="00805C77" w:rsidP="00C4389C">
      <w:pPr>
        <w:pStyle w:val="CMFBtextintable"/>
        <w:rPr>
          <w:iCs/>
        </w:rPr>
      </w:pPr>
      <w:r w:rsidRPr="00241D28">
        <w:rPr>
          <w:iCs/>
        </w:rPr>
        <w:t xml:space="preserve">Revizijų </w:t>
      </w:r>
      <w:r w:rsidR="007952F2" w:rsidRPr="00241D28">
        <w:rPr>
          <w:iCs/>
        </w:rPr>
        <w:t>tvarka</w:t>
      </w:r>
      <w:r w:rsidRPr="00241D28">
        <w:rPr>
          <w:iCs/>
        </w:rPr>
        <w:t xml:space="preserve"> </w:t>
      </w:r>
      <w:r w:rsidR="0033274B">
        <w:rPr>
          <w:iCs/>
        </w:rPr>
        <w:t xml:space="preserve">yra </w:t>
      </w:r>
      <w:r w:rsidR="003036FD" w:rsidRPr="00241D28">
        <w:rPr>
          <w:iCs/>
        </w:rPr>
        <w:t xml:space="preserve">viešai </w:t>
      </w:r>
      <w:r w:rsidRPr="00241D28">
        <w:rPr>
          <w:iCs/>
        </w:rPr>
        <w:t xml:space="preserve">skelbiama LB </w:t>
      </w:r>
      <w:r w:rsidR="003036FD" w:rsidRPr="00241D28">
        <w:rPr>
          <w:iCs/>
        </w:rPr>
        <w:t xml:space="preserve">interneto </w:t>
      </w:r>
      <w:r w:rsidRPr="00241D28">
        <w:rPr>
          <w:iCs/>
        </w:rPr>
        <w:t>tinklalapyje</w:t>
      </w:r>
      <w:r w:rsidR="006052B1" w:rsidRPr="00241D28">
        <w:rPr>
          <w:iCs/>
        </w:rPr>
        <w:t xml:space="preserve"> </w:t>
      </w:r>
      <w:r w:rsidR="009F08D9">
        <w:rPr>
          <w:iCs/>
        </w:rPr>
        <w:t>(</w:t>
      </w:r>
      <w:hyperlink r:id="rId13" w:history="1">
        <w:r w:rsidRPr="00241D28">
          <w:rPr>
            <w:rStyle w:val="Hyperlink"/>
            <w:iCs/>
          </w:rPr>
          <w:t>http://www.lb.lt/lt/duomenu-revizijos</w:t>
        </w:r>
      </w:hyperlink>
      <w:r w:rsidR="009F08D9">
        <w:rPr>
          <w:rStyle w:val="Hyperlink"/>
          <w:iCs/>
        </w:rPr>
        <w:t>).</w:t>
      </w:r>
    </w:p>
    <w:p w14:paraId="65235B18" w14:textId="77777777" w:rsidR="006D1336" w:rsidRDefault="006D1336" w:rsidP="00833172">
      <w:pPr>
        <w:pStyle w:val="CMFBtextintable"/>
        <w:rPr>
          <w:iCs/>
        </w:rPr>
      </w:pPr>
      <w:bookmarkStart w:id="11" w:name="_Toc422500683"/>
      <w:bookmarkStart w:id="12" w:name="_Toc422748080"/>
      <w:r>
        <w:rPr>
          <w:iCs/>
        </w:rPr>
        <w:t>Ketvirtinės valdžios sektoriaus finansinės sąskaitos (</w:t>
      </w:r>
      <w:r w:rsidRPr="00241D28">
        <w:rPr>
          <w:iCs/>
        </w:rPr>
        <w:t>KVSFS</w:t>
      </w:r>
      <w:r>
        <w:rPr>
          <w:iCs/>
        </w:rPr>
        <w:t>)</w:t>
      </w:r>
    </w:p>
    <w:p w14:paraId="567739AF" w14:textId="7E051DDC" w:rsidR="006D1336" w:rsidRDefault="006D1336" w:rsidP="00833172">
      <w:pPr>
        <w:pStyle w:val="CMFBtextintable"/>
      </w:pPr>
      <w:r w:rsidRPr="00241D28">
        <w:lastRenderedPageBreak/>
        <w:t>KVSFS revizuojamos kovo ir rugsėjo mėn</w:t>
      </w:r>
      <w:r>
        <w:t>esiais</w:t>
      </w:r>
      <w:r w:rsidRPr="00241D28">
        <w:t>.</w:t>
      </w:r>
      <w:r>
        <w:t xml:space="preserve"> KVSFS duomenys revizuojami vadovaujantis</w:t>
      </w:r>
      <w:r w:rsidR="00C63D13">
        <w:t xml:space="preserve"> </w:t>
      </w:r>
      <w:hyperlink r:id="rId14" w:history="1">
        <w:r w:rsidR="00C63D13" w:rsidRPr="00C63D13">
          <w:rPr>
            <w:rStyle w:val="Hyperlink"/>
          </w:rPr>
          <w:t>Statistinės informacijo</w:t>
        </w:r>
        <w:r w:rsidR="00C63D13" w:rsidRPr="00C63D13">
          <w:rPr>
            <w:rStyle w:val="Hyperlink"/>
          </w:rPr>
          <w:t>s</w:t>
        </w:r>
        <w:r w:rsidR="00C63D13" w:rsidRPr="00C63D13">
          <w:rPr>
            <w:rStyle w:val="Hyperlink"/>
          </w:rPr>
          <w:t xml:space="preserve"> revizijų atlikimo</w:t>
        </w:r>
        <w:r w:rsidR="00C63D13" w:rsidRPr="00C63D13">
          <w:rPr>
            <w:rStyle w:val="Hyperlink"/>
          </w:rPr>
          <w:t>,</w:t>
        </w:r>
        <w:r w:rsidR="00C63D13" w:rsidRPr="00C63D13">
          <w:rPr>
            <w:rStyle w:val="Hyperlink"/>
          </w:rPr>
          <w:t xml:space="preserve"> analizės ir skelbimo tvarkos apraš</w:t>
        </w:r>
        <w:r w:rsidR="00C63D13" w:rsidRPr="00C63D13">
          <w:rPr>
            <w:rStyle w:val="Hyperlink"/>
          </w:rPr>
          <w:t>u</w:t>
        </w:r>
      </w:hyperlink>
      <w:r w:rsidRPr="001E1B51">
        <w:t>.</w:t>
      </w:r>
      <w:r w:rsidRPr="00241D28">
        <w:t xml:space="preserve"> </w:t>
      </w:r>
    </w:p>
    <w:bookmarkEnd w:id="11"/>
    <w:bookmarkEnd w:id="12"/>
    <w:p w14:paraId="37F0AB8C" w14:textId="77777777" w:rsidR="006052B1" w:rsidRPr="00241D28" w:rsidRDefault="006052B1" w:rsidP="00833172">
      <w:pPr>
        <w:pStyle w:val="Heading2"/>
        <w:spacing w:before="0"/>
        <w:rPr>
          <w:sz w:val="22"/>
          <w:szCs w:val="22"/>
          <w:lang w:val="lt-LT"/>
        </w:rPr>
      </w:pPr>
      <w:r w:rsidRPr="00241D28">
        <w:rPr>
          <w:sz w:val="22"/>
          <w:szCs w:val="22"/>
          <w:lang w:val="lt-LT"/>
        </w:rPr>
        <w:t>STATISTINIAI PROCESAI</w:t>
      </w:r>
    </w:p>
    <w:p w14:paraId="26F1E491" w14:textId="77777777" w:rsidR="006052B1" w:rsidRPr="00C63D13" w:rsidRDefault="006052B1" w:rsidP="00833172">
      <w:pPr>
        <w:pStyle w:val="Heading3"/>
        <w:spacing w:before="0" w:after="0"/>
        <w:rPr>
          <w:b/>
          <w:bCs w:val="0"/>
          <w:sz w:val="22"/>
          <w:szCs w:val="22"/>
        </w:rPr>
      </w:pPr>
      <w:bookmarkStart w:id="13" w:name="_Toc422500684"/>
      <w:r w:rsidRPr="00C63D13">
        <w:rPr>
          <w:b/>
          <w:bCs w:val="0"/>
          <w:sz w:val="22"/>
          <w:szCs w:val="22"/>
        </w:rPr>
        <w:t>CoP7 Patikima metodi</w:t>
      </w:r>
      <w:r w:rsidR="009F08D9" w:rsidRPr="00C63D13">
        <w:rPr>
          <w:b/>
          <w:bCs w:val="0"/>
          <w:sz w:val="22"/>
          <w:szCs w:val="22"/>
        </w:rPr>
        <w:t>k</w:t>
      </w:r>
      <w:r w:rsidRPr="00C63D13">
        <w:rPr>
          <w:b/>
          <w:bCs w:val="0"/>
          <w:sz w:val="22"/>
          <w:szCs w:val="22"/>
        </w:rPr>
        <w:t xml:space="preserve">a / PC7 </w:t>
      </w:r>
      <w:bookmarkEnd w:id="13"/>
      <w:r w:rsidRPr="00C63D13">
        <w:rPr>
          <w:b/>
          <w:bCs w:val="0"/>
          <w:sz w:val="22"/>
          <w:szCs w:val="22"/>
        </w:rPr>
        <w:t>Patikima metodi</w:t>
      </w:r>
      <w:r w:rsidR="009F08D9" w:rsidRPr="00C63D13">
        <w:rPr>
          <w:b/>
          <w:bCs w:val="0"/>
          <w:sz w:val="22"/>
          <w:szCs w:val="22"/>
        </w:rPr>
        <w:t>k</w:t>
      </w:r>
      <w:r w:rsidRPr="00C63D13">
        <w:rPr>
          <w:b/>
          <w:bCs w:val="0"/>
          <w:sz w:val="22"/>
          <w:szCs w:val="22"/>
        </w:rPr>
        <w:t>a</w:t>
      </w:r>
    </w:p>
    <w:p w14:paraId="28DA45D3" w14:textId="77777777" w:rsidR="006052B1" w:rsidRPr="00C63D13" w:rsidRDefault="006052B1" w:rsidP="00C4389C">
      <w:pPr>
        <w:pStyle w:val="Heading4"/>
        <w:jc w:val="both"/>
        <w:rPr>
          <w:b/>
          <w:bCs w:val="0"/>
        </w:rPr>
      </w:pPr>
      <w:r w:rsidRPr="00C63D13">
        <w:rPr>
          <w:b/>
          <w:bCs w:val="0"/>
          <w:u w:val="none"/>
        </w:rPr>
        <w:t>Bendrosios pastabos</w:t>
      </w:r>
    </w:p>
    <w:p w14:paraId="58B57D80" w14:textId="6AF6E1E3" w:rsidR="006052B1" w:rsidRPr="00241D28" w:rsidRDefault="006052B1" w:rsidP="00C4389C">
      <w:pPr>
        <w:pStyle w:val="CMFBtextintable"/>
        <w:spacing w:before="240"/>
      </w:pPr>
      <w:r w:rsidRPr="00241D28">
        <w:t xml:space="preserve">Metinės ir ketvirtinės finansinės sąskaitos visiškai </w:t>
      </w:r>
      <w:r w:rsidR="00805C77" w:rsidRPr="00241D28">
        <w:t>atitinka</w:t>
      </w:r>
      <w:r w:rsidR="00150971" w:rsidRPr="00241D28">
        <w:t xml:space="preserve"> </w:t>
      </w:r>
      <w:r w:rsidRPr="00241D28">
        <w:t>ESS 2010 metodini</w:t>
      </w:r>
      <w:r w:rsidR="007952F2" w:rsidRPr="00241D28">
        <w:t>u</w:t>
      </w:r>
      <w:r w:rsidR="00805C77" w:rsidRPr="00241D28">
        <w:t>s</w:t>
      </w:r>
      <w:r w:rsidRPr="00241D28">
        <w:t xml:space="preserve"> reikalavim</w:t>
      </w:r>
      <w:r w:rsidR="007952F2" w:rsidRPr="00241D28">
        <w:t>u</w:t>
      </w:r>
      <w:r w:rsidRPr="00241D28">
        <w:t xml:space="preserve">s. </w:t>
      </w:r>
    </w:p>
    <w:p w14:paraId="2C6B84CC" w14:textId="77777777" w:rsidR="00C63D13" w:rsidRDefault="00805C77" w:rsidP="00C4389C">
      <w:pPr>
        <w:pStyle w:val="CMFBtextintable"/>
      </w:pPr>
      <w:r w:rsidRPr="00241D28">
        <w:t>Ketvirtin</w:t>
      </w:r>
      <w:r w:rsidR="007952F2" w:rsidRPr="00241D28">
        <w:t>ių</w:t>
      </w:r>
      <w:r w:rsidRPr="00241D28">
        <w:t xml:space="preserve"> </w:t>
      </w:r>
      <w:r w:rsidR="007745CA">
        <w:t xml:space="preserve">ir metinių </w:t>
      </w:r>
      <w:r w:rsidRPr="00241D28">
        <w:t>finansinių sąskaitų m</w:t>
      </w:r>
      <w:r w:rsidR="006052B1" w:rsidRPr="00241D28">
        <w:t xml:space="preserve">etaduomenys </w:t>
      </w:r>
      <w:r w:rsidR="009F08D9">
        <w:t>skelbi</w:t>
      </w:r>
      <w:r w:rsidR="006052B1" w:rsidRPr="00241D28">
        <w:t>ami L</w:t>
      </w:r>
      <w:r w:rsidR="00757D6E" w:rsidRPr="00241D28">
        <w:t>B</w:t>
      </w:r>
      <w:r w:rsidR="006052B1" w:rsidRPr="00241D28">
        <w:t xml:space="preserve"> interneto </w:t>
      </w:r>
      <w:r w:rsidR="00757D6E" w:rsidRPr="00241D28">
        <w:t xml:space="preserve">tinklalapyje </w:t>
      </w:r>
      <w:r w:rsidR="006052B1" w:rsidRPr="00241D28">
        <w:t>(</w:t>
      </w:r>
      <w:hyperlink r:id="rId15" w:history="1">
        <w:r w:rsidR="006F015E" w:rsidRPr="00241D28">
          <w:rPr>
            <w:rStyle w:val="Hyperlink"/>
          </w:rPr>
          <w:t>Finansinių sąska</w:t>
        </w:r>
        <w:r w:rsidR="006F015E" w:rsidRPr="00241D28">
          <w:rPr>
            <w:rStyle w:val="Hyperlink"/>
          </w:rPr>
          <w:t>i</w:t>
        </w:r>
        <w:r w:rsidR="006F015E" w:rsidRPr="00241D28">
          <w:rPr>
            <w:rStyle w:val="Hyperlink"/>
          </w:rPr>
          <w:t>tų metaduomenys</w:t>
        </w:r>
      </w:hyperlink>
      <w:r w:rsidR="006052B1" w:rsidRPr="00241D28">
        <w:rPr>
          <w:rStyle w:val="Hyperlink"/>
          <w:color w:val="auto"/>
          <w:u w:val="none"/>
        </w:rPr>
        <w:t>)</w:t>
      </w:r>
      <w:r w:rsidR="006052B1" w:rsidRPr="00241D28">
        <w:t xml:space="preserve">. </w:t>
      </w:r>
    </w:p>
    <w:p w14:paraId="459C8D23" w14:textId="138D3D0B" w:rsidR="006052B1" w:rsidRPr="00241D28" w:rsidRDefault="00C63D13" w:rsidP="00C4389C">
      <w:pPr>
        <w:pStyle w:val="CMFBtextintable"/>
      </w:pPr>
      <w:hyperlink r:id="rId16" w:history="1">
        <w:r w:rsidRPr="00BA0F53">
          <w:rPr>
            <w:rStyle w:val="Hyperlink"/>
          </w:rPr>
          <w:t>KV</w:t>
        </w:r>
        <w:r w:rsidRPr="00BA0F53">
          <w:rPr>
            <w:rStyle w:val="Hyperlink"/>
          </w:rPr>
          <w:t>S</w:t>
        </w:r>
        <w:r w:rsidRPr="00BA0F53">
          <w:rPr>
            <w:rStyle w:val="Hyperlink"/>
          </w:rPr>
          <w:t>FS</w:t>
        </w:r>
      </w:hyperlink>
      <w:r w:rsidRPr="00241D28">
        <w:t xml:space="preserve"> metaduomenys </w:t>
      </w:r>
      <w:r>
        <w:t>skelbi</w:t>
      </w:r>
      <w:r w:rsidRPr="00241D28">
        <w:t xml:space="preserve">ami </w:t>
      </w:r>
      <w:r>
        <w:t>VDA</w:t>
      </w:r>
      <w:r w:rsidRPr="00241D28">
        <w:t xml:space="preserve"> interneto </w:t>
      </w:r>
      <w:r>
        <w:t>svetainėje</w:t>
      </w:r>
      <w:r w:rsidRPr="00241D28">
        <w:t>.</w:t>
      </w:r>
    </w:p>
    <w:p w14:paraId="21DF584D" w14:textId="4F889CE1" w:rsidR="006052B1" w:rsidRPr="00C63D13" w:rsidRDefault="006052B1" w:rsidP="00C4389C">
      <w:pPr>
        <w:pStyle w:val="Heading4"/>
        <w:numPr>
          <w:ilvl w:val="0"/>
          <w:numId w:val="0"/>
        </w:numPr>
        <w:jc w:val="both"/>
        <w:rPr>
          <w:b/>
          <w:bCs w:val="0"/>
          <w:u w:val="none"/>
        </w:rPr>
      </w:pPr>
      <w:r w:rsidRPr="00C63D13">
        <w:rPr>
          <w:b/>
          <w:bCs w:val="0"/>
          <w:u w:val="none"/>
        </w:rPr>
        <w:t xml:space="preserve">B.1.2 </w:t>
      </w:r>
      <w:proofErr w:type="spellStart"/>
      <w:r w:rsidRPr="00C63D13">
        <w:rPr>
          <w:b/>
          <w:bCs w:val="0"/>
          <w:u w:val="none"/>
        </w:rPr>
        <w:t>Rezidentiškumas</w:t>
      </w:r>
      <w:proofErr w:type="spellEnd"/>
      <w:r w:rsidRPr="00C63D13">
        <w:rPr>
          <w:b/>
          <w:bCs w:val="0"/>
          <w:u w:val="none"/>
        </w:rPr>
        <w:t xml:space="preserve"> ir teritorija</w:t>
      </w:r>
    </w:p>
    <w:p w14:paraId="104B3A9F" w14:textId="77777777" w:rsidR="006052B1" w:rsidRPr="00241D28" w:rsidRDefault="006052B1" w:rsidP="00C4389C">
      <w:pPr>
        <w:pStyle w:val="CMFBtextintable"/>
        <w:spacing w:before="240"/>
      </w:pPr>
      <w:r w:rsidRPr="00241D28">
        <w:t xml:space="preserve">Nėra nukrypimo nuo ESS 2010 rezidentiškumo ir teritorijos </w:t>
      </w:r>
      <w:r w:rsidR="00564D31">
        <w:t>apibrėžimų</w:t>
      </w:r>
      <w:r w:rsidRPr="00241D28">
        <w:t>.</w:t>
      </w:r>
    </w:p>
    <w:p w14:paraId="3114A587" w14:textId="38B69540" w:rsidR="006052B1" w:rsidRPr="00C63D13" w:rsidRDefault="006052B1" w:rsidP="00C4389C">
      <w:pPr>
        <w:pStyle w:val="Heading4"/>
        <w:numPr>
          <w:ilvl w:val="0"/>
          <w:numId w:val="0"/>
        </w:numPr>
        <w:jc w:val="both"/>
        <w:rPr>
          <w:b/>
          <w:bCs w:val="0"/>
          <w:u w:val="none"/>
        </w:rPr>
      </w:pPr>
      <w:r w:rsidRPr="00C63D13">
        <w:rPr>
          <w:b/>
          <w:bCs w:val="0"/>
          <w:u w:val="none"/>
        </w:rPr>
        <w:t xml:space="preserve">B.1.3 Institucinio vieneto apibrėžimas </w:t>
      </w:r>
    </w:p>
    <w:p w14:paraId="001EF5A0" w14:textId="77777777" w:rsidR="006052B1" w:rsidRPr="00241D28" w:rsidRDefault="006052B1" w:rsidP="00C4389C">
      <w:pPr>
        <w:pStyle w:val="CMFBtextintable"/>
        <w:spacing w:before="240"/>
        <w:rPr>
          <w:i/>
        </w:rPr>
      </w:pPr>
      <w:r w:rsidRPr="00241D28">
        <w:t xml:space="preserve">Nėra nukrypimo nuo ESS 2010 institucinio vieneto apibrėžimo. </w:t>
      </w:r>
    </w:p>
    <w:p w14:paraId="3EC1BCD6" w14:textId="6CF61CAA" w:rsidR="006052B1" w:rsidRPr="00C63D13" w:rsidRDefault="006052B1" w:rsidP="00C4389C">
      <w:pPr>
        <w:pStyle w:val="Heading4"/>
        <w:numPr>
          <w:ilvl w:val="0"/>
          <w:numId w:val="0"/>
        </w:numPr>
        <w:jc w:val="both"/>
        <w:rPr>
          <w:b/>
          <w:bCs w:val="0"/>
          <w:u w:val="none"/>
        </w:rPr>
      </w:pPr>
      <w:r w:rsidRPr="00C63D13">
        <w:rPr>
          <w:b/>
          <w:bCs w:val="0"/>
          <w:u w:val="none"/>
        </w:rPr>
        <w:t xml:space="preserve">B.1.4 </w:t>
      </w:r>
      <w:proofErr w:type="spellStart"/>
      <w:r w:rsidRPr="00C63D13">
        <w:rPr>
          <w:b/>
          <w:bCs w:val="0"/>
          <w:u w:val="none"/>
        </w:rPr>
        <w:t>Sektorizavimas</w:t>
      </w:r>
      <w:proofErr w:type="spellEnd"/>
      <w:r w:rsidRPr="00C63D13">
        <w:rPr>
          <w:b/>
          <w:bCs w:val="0"/>
          <w:u w:val="none"/>
        </w:rPr>
        <w:t xml:space="preserve"> ir sektoriaus apibrėžimas </w:t>
      </w:r>
    </w:p>
    <w:p w14:paraId="2976430C" w14:textId="77777777" w:rsidR="006052B1" w:rsidRPr="00241D28" w:rsidRDefault="006052B1" w:rsidP="00C4389C">
      <w:pPr>
        <w:pStyle w:val="CMFBtextintable"/>
        <w:spacing w:before="240"/>
      </w:pPr>
      <w:r w:rsidRPr="00241D28">
        <w:t>Nėra nukrypimo nuo ESS 2010 institucinių vienetų sektorizavimo principų.</w:t>
      </w:r>
    </w:p>
    <w:p w14:paraId="38F6FB67" w14:textId="3665627C" w:rsidR="00F42070" w:rsidRPr="00241D28" w:rsidRDefault="000A0785" w:rsidP="00C4389C">
      <w:pPr>
        <w:pStyle w:val="CMFBtextintable"/>
        <w:spacing w:after="0"/>
      </w:pPr>
      <w:r w:rsidRPr="00241D28">
        <w:t xml:space="preserve">Institucinių </w:t>
      </w:r>
      <w:r w:rsidR="00564D31">
        <w:t>vienetų</w:t>
      </w:r>
      <w:r w:rsidRPr="00241D28">
        <w:t xml:space="preserve"> sektorizavimą vykdo </w:t>
      </w:r>
      <w:r w:rsidR="00637308">
        <w:t>VDA</w:t>
      </w:r>
      <w:r w:rsidRPr="00241D28">
        <w:t xml:space="preserve"> kartu su LB ir kitomis nacionalinėmis institucijomis. Tuo tikslu yra sukurta Tarpinstitucinė </w:t>
      </w:r>
      <w:r w:rsidR="00B802E5" w:rsidRPr="00B802E5">
        <w:t xml:space="preserve">ūkio subjektų priskyrimo instituciniams sektoriams ir subsektoriams </w:t>
      </w:r>
      <w:r w:rsidRPr="00241D28">
        <w:t xml:space="preserve">darbo grupė, kur </w:t>
      </w:r>
      <w:r w:rsidR="00637308">
        <w:t>VDA</w:t>
      </w:r>
      <w:r w:rsidRPr="00241D28">
        <w:t xml:space="preserve">, LB ir kitų institucijų </w:t>
      </w:r>
      <w:r w:rsidR="004E3F50" w:rsidRPr="00241D28">
        <w:t xml:space="preserve">ekspertai </w:t>
      </w:r>
      <w:r w:rsidRPr="00241D28">
        <w:t>reguliariai aptaria kilusius sektorizavimo klausimus. Kontroliuojančių</w:t>
      </w:r>
      <w:r w:rsidR="00EB57B7" w:rsidRPr="00241D28">
        <w:t>jų</w:t>
      </w:r>
      <w:r w:rsidRPr="00241D28">
        <w:t xml:space="preserve"> bendrovių ir pagrindinių buveinių veiklos bendrovių sektorizavimas atliktas vadovaujantis </w:t>
      </w:r>
      <w:r w:rsidR="00F42070" w:rsidRPr="00241D28">
        <w:t xml:space="preserve">jungtinės ECB, Eurostato ir </w:t>
      </w:r>
      <w:r w:rsidR="00EB57B7" w:rsidRPr="00241D28">
        <w:t>Ekonominio bendradarbiavimo ir plėtros organizacijos (</w:t>
      </w:r>
      <w:r w:rsidR="00F42070" w:rsidRPr="00241D28">
        <w:t>EBPO</w:t>
      </w:r>
      <w:r w:rsidR="00EB57B7" w:rsidRPr="00241D28">
        <w:t>)</w:t>
      </w:r>
      <w:r w:rsidR="00F42070" w:rsidRPr="00241D28">
        <w:t xml:space="preserve"> </w:t>
      </w:r>
      <w:r w:rsidRPr="00241D28">
        <w:t>užduočių grupės</w:t>
      </w:r>
      <w:r w:rsidR="00F42070" w:rsidRPr="00241D28">
        <w:t xml:space="preserve"> dėl kontroliuojančių</w:t>
      </w:r>
      <w:r w:rsidR="00EB57B7" w:rsidRPr="00241D28">
        <w:t>jų</w:t>
      </w:r>
      <w:r w:rsidR="00F42070" w:rsidRPr="00241D28">
        <w:t xml:space="preserve"> bendrovių ir pagrindinių buveinių</w:t>
      </w:r>
      <w:r w:rsidRPr="00241D28">
        <w:t xml:space="preserve"> </w:t>
      </w:r>
      <w:r w:rsidR="00F42070" w:rsidRPr="00241D28">
        <w:t>sektorizavimo</w:t>
      </w:r>
      <w:r w:rsidR="00F42070" w:rsidRPr="00241D28">
        <w:rPr>
          <w:rStyle w:val="CommentReference"/>
          <w:sz w:val="22"/>
          <w:szCs w:val="22"/>
        </w:rPr>
        <w:t xml:space="preserve"> </w:t>
      </w:r>
      <w:r w:rsidR="00E32F33" w:rsidRPr="00241D28">
        <w:t>rekomendacijomis.</w:t>
      </w:r>
      <w:r w:rsidR="00F42070" w:rsidRPr="00241D28">
        <w:t xml:space="preserve"> </w:t>
      </w:r>
    </w:p>
    <w:p w14:paraId="7617624D" w14:textId="076E0A42" w:rsidR="00E32F33" w:rsidRPr="00241D28" w:rsidRDefault="00E32F33" w:rsidP="00C4389C">
      <w:pPr>
        <w:pStyle w:val="CMFBtextintable"/>
        <w:spacing w:after="0"/>
      </w:pPr>
      <w:r w:rsidRPr="00241D28">
        <w:t>Statistin</w:t>
      </w:r>
      <w:r w:rsidR="007952F2" w:rsidRPr="00241D28">
        <w:t>į</w:t>
      </w:r>
      <w:r w:rsidRPr="00241D28">
        <w:t xml:space="preserve"> ūkio subjektų registr</w:t>
      </w:r>
      <w:r w:rsidR="007952F2" w:rsidRPr="00241D28">
        <w:t>ą</w:t>
      </w:r>
      <w:r w:rsidRPr="00241D28">
        <w:t xml:space="preserve"> tvarko ir palaiko </w:t>
      </w:r>
      <w:r w:rsidR="00637308">
        <w:t>VDA</w:t>
      </w:r>
      <w:r w:rsidR="007952F2" w:rsidRPr="00241D28">
        <w:t>. Šį registrą</w:t>
      </w:r>
      <w:r w:rsidRPr="00241D28">
        <w:t xml:space="preserve"> naudoja </w:t>
      </w:r>
      <w:r w:rsidR="00637308">
        <w:t>VDA</w:t>
      </w:r>
      <w:r w:rsidRPr="00241D28">
        <w:t xml:space="preserve"> ir LB </w:t>
      </w:r>
      <w:r w:rsidR="00B66D83" w:rsidRPr="00241D28">
        <w:t xml:space="preserve">sudarydami </w:t>
      </w:r>
      <w:r w:rsidRPr="00241D28">
        <w:t xml:space="preserve">įvairią statistiką. Kad </w:t>
      </w:r>
      <w:r w:rsidR="007952F2" w:rsidRPr="00241D28">
        <w:t xml:space="preserve">būtų </w:t>
      </w:r>
      <w:r w:rsidRPr="00241D28">
        <w:t>užtikrint</w:t>
      </w:r>
      <w:r w:rsidR="007952F2" w:rsidRPr="00241D28">
        <w:t>as</w:t>
      </w:r>
      <w:r w:rsidRPr="00241D28">
        <w:t xml:space="preserve"> vienod</w:t>
      </w:r>
      <w:r w:rsidR="007952F2" w:rsidRPr="00241D28">
        <w:t>as</w:t>
      </w:r>
      <w:r w:rsidRPr="00241D28">
        <w:t xml:space="preserve"> institucinių vienetų sektorizavim</w:t>
      </w:r>
      <w:r w:rsidR="007952F2" w:rsidRPr="00241D28">
        <w:t>as</w:t>
      </w:r>
      <w:r w:rsidRPr="00241D28">
        <w:t>, registro informacija dalijamasi su duomenų te</w:t>
      </w:r>
      <w:r w:rsidR="007952F2" w:rsidRPr="00241D28">
        <w:t>i</w:t>
      </w:r>
      <w:r w:rsidRPr="00241D28">
        <w:t xml:space="preserve">kėjais.  </w:t>
      </w:r>
    </w:p>
    <w:p w14:paraId="7A23138A" w14:textId="1294AE79" w:rsidR="006052B1" w:rsidRPr="00B4606A" w:rsidRDefault="006052B1" w:rsidP="00C4389C">
      <w:pPr>
        <w:pStyle w:val="CMFBtextintable"/>
        <w:spacing w:before="240" w:after="0"/>
        <w:rPr>
          <w:b/>
          <w:bCs/>
        </w:rPr>
      </w:pPr>
      <w:r w:rsidRPr="00B4606A">
        <w:rPr>
          <w:b/>
          <w:bCs/>
        </w:rPr>
        <w:t>B.1.5 Priemonės nustatymas</w:t>
      </w:r>
    </w:p>
    <w:p w14:paraId="2EB180CE" w14:textId="77777777" w:rsidR="006052B1" w:rsidRPr="00241D28" w:rsidRDefault="006052B1" w:rsidP="00C4389C">
      <w:pPr>
        <w:pStyle w:val="CMFBtextintable"/>
        <w:spacing w:before="240"/>
        <w:rPr>
          <w:i/>
        </w:rPr>
      </w:pPr>
      <w:r w:rsidRPr="00241D28">
        <w:t>Nėra nukrypimo nuo ESS 2010 finansinių priemonių klasifikavimo principų.</w:t>
      </w:r>
    </w:p>
    <w:p w14:paraId="6AA7396C" w14:textId="4C98878B" w:rsidR="006052B1" w:rsidRPr="00B4606A" w:rsidRDefault="006052B1" w:rsidP="00C4389C">
      <w:pPr>
        <w:pStyle w:val="Heading4"/>
        <w:numPr>
          <w:ilvl w:val="0"/>
          <w:numId w:val="0"/>
        </w:numPr>
        <w:jc w:val="both"/>
        <w:rPr>
          <w:b/>
          <w:bCs w:val="0"/>
          <w:u w:val="none"/>
        </w:rPr>
      </w:pPr>
      <w:r w:rsidRPr="00B4606A">
        <w:rPr>
          <w:b/>
          <w:bCs w:val="0"/>
          <w:u w:val="none"/>
        </w:rPr>
        <w:t>B.1.6 Vertės</w:t>
      </w:r>
      <w:r w:rsidR="00E32F33" w:rsidRPr="00B4606A">
        <w:rPr>
          <w:b/>
          <w:bCs w:val="0"/>
          <w:u w:val="none"/>
        </w:rPr>
        <w:t>, sandorių ir kitų srautų nustatymas</w:t>
      </w:r>
    </w:p>
    <w:p w14:paraId="2C52D53A" w14:textId="77777777" w:rsidR="00DD4230" w:rsidRPr="00241D28" w:rsidRDefault="006052B1" w:rsidP="00C4389C">
      <w:pPr>
        <w:pStyle w:val="CMFBText"/>
        <w:spacing w:after="0" w:line="276" w:lineRule="auto"/>
        <w:rPr>
          <w:szCs w:val="22"/>
        </w:rPr>
      </w:pPr>
      <w:r w:rsidRPr="00241D28">
        <w:rPr>
          <w:szCs w:val="22"/>
        </w:rPr>
        <w:t>Nėra nukrypimo nuo ESS 2010 finansinių priemonių vertės nustatymo principų</w:t>
      </w:r>
      <w:r w:rsidR="00E32F33" w:rsidRPr="00241D28">
        <w:rPr>
          <w:szCs w:val="22"/>
        </w:rPr>
        <w:t xml:space="preserve">. Finansinis turtas ir įsipareigojimai įvertinami vadovaujantis ESS 2010 metodikoje nurodytais vertinimo metodais – finansinės priemonės, tokios kaip skolos vertybiniai popieriai, biržinės akcijos, </w:t>
      </w:r>
      <w:r w:rsidR="00757D6E" w:rsidRPr="00241D28">
        <w:rPr>
          <w:szCs w:val="22"/>
        </w:rPr>
        <w:t>investicinių fondų (</w:t>
      </w:r>
      <w:r w:rsidR="00E32F33" w:rsidRPr="00241D28">
        <w:rPr>
          <w:szCs w:val="22"/>
        </w:rPr>
        <w:t>IF</w:t>
      </w:r>
      <w:r w:rsidR="00757D6E" w:rsidRPr="00241D28">
        <w:rPr>
          <w:szCs w:val="22"/>
        </w:rPr>
        <w:t>)</w:t>
      </w:r>
      <w:r w:rsidR="00E32F33" w:rsidRPr="00241D28">
        <w:rPr>
          <w:szCs w:val="22"/>
        </w:rPr>
        <w:t xml:space="preserve"> akcijos (vienetai) ir išvestinės finansinės priemonės, kurios yra perleidžiamos, t. y. turi antrinę rinką, įvertinamos rinkos kaina. Finansinės priemonės, tokios kaip indėliai ir paskolos, kurios neturi antrinės rinkos ir nėra perleidžiamos, įvertinamos nominaliąja verte. Nuosavybės vertybiniai popieriai, tokie kaip nebiržinės akcijos ar kitos nuosavybės priemonės, įvertinami balansin</w:t>
      </w:r>
      <w:r w:rsidR="00564D31">
        <w:rPr>
          <w:szCs w:val="22"/>
        </w:rPr>
        <w:t>e</w:t>
      </w:r>
      <w:r w:rsidR="00E32F33" w:rsidRPr="00241D28">
        <w:rPr>
          <w:szCs w:val="22"/>
        </w:rPr>
        <w:t xml:space="preserve"> vert</w:t>
      </w:r>
      <w:r w:rsidR="00564D31">
        <w:rPr>
          <w:szCs w:val="22"/>
        </w:rPr>
        <w:t>e</w:t>
      </w:r>
      <w:r w:rsidR="00E32F33" w:rsidRPr="00241D28">
        <w:rPr>
          <w:szCs w:val="22"/>
        </w:rPr>
        <w:t>, taikant nuosavų fondų metodą.</w:t>
      </w:r>
    </w:p>
    <w:p w14:paraId="00CAE89E" w14:textId="3750ED9D" w:rsidR="00DD4230" w:rsidRPr="00241D28" w:rsidRDefault="00564D31" w:rsidP="00C4389C">
      <w:pPr>
        <w:pStyle w:val="CMFBText"/>
        <w:spacing w:after="0" w:line="276" w:lineRule="auto"/>
        <w:rPr>
          <w:szCs w:val="22"/>
        </w:rPr>
      </w:pPr>
      <w:r>
        <w:rPr>
          <w:szCs w:val="22"/>
        </w:rPr>
        <w:t>Finansini</w:t>
      </w:r>
      <w:r w:rsidR="00B4606A">
        <w:rPr>
          <w:szCs w:val="22"/>
        </w:rPr>
        <w:t>ų</w:t>
      </w:r>
      <w:r>
        <w:rPr>
          <w:szCs w:val="22"/>
        </w:rPr>
        <w:t xml:space="preserve"> sandori</w:t>
      </w:r>
      <w:r w:rsidR="00B4606A">
        <w:rPr>
          <w:szCs w:val="22"/>
        </w:rPr>
        <w:t>ų</w:t>
      </w:r>
      <w:r>
        <w:rPr>
          <w:szCs w:val="22"/>
        </w:rPr>
        <w:t xml:space="preserve"> </w:t>
      </w:r>
      <w:r w:rsidR="00B4606A">
        <w:rPr>
          <w:szCs w:val="22"/>
        </w:rPr>
        <w:t xml:space="preserve">duomenys yra </w:t>
      </w:r>
      <w:r w:rsidR="009F08D9">
        <w:rPr>
          <w:szCs w:val="22"/>
        </w:rPr>
        <w:t>p</w:t>
      </w:r>
      <w:r w:rsidR="00523F32">
        <w:rPr>
          <w:szCs w:val="22"/>
        </w:rPr>
        <w:t>inigų finansų įstaigų (</w:t>
      </w:r>
      <w:r w:rsidR="001F0FD7">
        <w:rPr>
          <w:szCs w:val="22"/>
        </w:rPr>
        <w:t>PF</w:t>
      </w:r>
      <w:r w:rsidR="00523F32">
        <w:rPr>
          <w:szCs w:val="22"/>
        </w:rPr>
        <w:t>Į)</w:t>
      </w:r>
      <w:r w:rsidR="001F0FD7">
        <w:rPr>
          <w:szCs w:val="22"/>
        </w:rPr>
        <w:t xml:space="preserve">, </w:t>
      </w:r>
      <w:r w:rsidR="00523F32">
        <w:rPr>
          <w:szCs w:val="22"/>
        </w:rPr>
        <w:t>mokėjimų balanso (</w:t>
      </w:r>
      <w:r w:rsidR="001F0FD7">
        <w:rPr>
          <w:szCs w:val="22"/>
        </w:rPr>
        <w:t>MB</w:t>
      </w:r>
      <w:r w:rsidR="00523F32">
        <w:rPr>
          <w:szCs w:val="22"/>
        </w:rPr>
        <w:t>)</w:t>
      </w:r>
      <w:r w:rsidR="001F0FD7">
        <w:rPr>
          <w:szCs w:val="22"/>
        </w:rPr>
        <w:t xml:space="preserve">, </w:t>
      </w:r>
      <w:r w:rsidR="00523F32">
        <w:rPr>
          <w:szCs w:val="22"/>
        </w:rPr>
        <w:t>draudimo bendrovių (</w:t>
      </w:r>
      <w:r w:rsidR="001F0FD7">
        <w:rPr>
          <w:szCs w:val="22"/>
        </w:rPr>
        <w:t>DB</w:t>
      </w:r>
      <w:r w:rsidR="00523F32">
        <w:rPr>
          <w:szCs w:val="22"/>
        </w:rPr>
        <w:t>)</w:t>
      </w:r>
      <w:r w:rsidR="001F0FD7">
        <w:rPr>
          <w:szCs w:val="22"/>
        </w:rPr>
        <w:t xml:space="preserve">, </w:t>
      </w:r>
      <w:r w:rsidR="00523F32">
        <w:rPr>
          <w:szCs w:val="22"/>
        </w:rPr>
        <w:t>vertybinių popierių turėtojų (</w:t>
      </w:r>
      <w:r w:rsidR="001F0FD7">
        <w:rPr>
          <w:szCs w:val="22"/>
        </w:rPr>
        <w:t>VPT</w:t>
      </w:r>
      <w:r w:rsidR="00523F32">
        <w:rPr>
          <w:szCs w:val="22"/>
        </w:rPr>
        <w:t>)</w:t>
      </w:r>
      <w:r w:rsidR="001F0FD7">
        <w:rPr>
          <w:szCs w:val="22"/>
        </w:rPr>
        <w:t xml:space="preserve">, </w:t>
      </w:r>
      <w:r w:rsidR="00523F32">
        <w:rPr>
          <w:szCs w:val="22"/>
        </w:rPr>
        <w:t>pensijų fondų (</w:t>
      </w:r>
      <w:r w:rsidR="001F0FD7">
        <w:rPr>
          <w:szCs w:val="22"/>
        </w:rPr>
        <w:t>PF</w:t>
      </w:r>
      <w:r w:rsidR="00523F32">
        <w:rPr>
          <w:szCs w:val="22"/>
        </w:rPr>
        <w:t>)</w:t>
      </w:r>
      <w:r w:rsidR="001F0FD7">
        <w:rPr>
          <w:szCs w:val="22"/>
        </w:rPr>
        <w:t xml:space="preserve"> ir KVSFS duomenų šaltin</w:t>
      </w:r>
      <w:r w:rsidR="00B4606A">
        <w:rPr>
          <w:szCs w:val="22"/>
        </w:rPr>
        <w:t>iuose</w:t>
      </w:r>
      <w:r w:rsidR="001F0FD7">
        <w:rPr>
          <w:szCs w:val="22"/>
        </w:rPr>
        <w:t>. Visais kitais atvejais f</w:t>
      </w:r>
      <w:r w:rsidR="00DD4230" w:rsidRPr="00241D28">
        <w:rPr>
          <w:szCs w:val="22"/>
        </w:rPr>
        <w:t>inansiniai sandoriai apskaičiuojami netiesiogiai, t. y. kaip skirtumas tarp ketvirčio pradžios ir pabaigos likučių, atėmus perkainojimus ir kitus apimties pokyčius.</w:t>
      </w:r>
    </w:p>
    <w:p w14:paraId="034AA103" w14:textId="14EFBFAA" w:rsidR="00DD4230" w:rsidRPr="00B4606A" w:rsidRDefault="00DD4230" w:rsidP="00C4389C">
      <w:pPr>
        <w:pStyle w:val="Heading4"/>
        <w:numPr>
          <w:ilvl w:val="0"/>
          <w:numId w:val="0"/>
        </w:numPr>
        <w:jc w:val="both"/>
        <w:rPr>
          <w:b/>
          <w:bCs w:val="0"/>
          <w:u w:val="none"/>
        </w:rPr>
      </w:pPr>
      <w:r w:rsidRPr="00B4606A">
        <w:rPr>
          <w:b/>
          <w:bCs w:val="0"/>
          <w:u w:val="none"/>
        </w:rPr>
        <w:t xml:space="preserve">B.1.7 </w:t>
      </w:r>
      <w:r w:rsidR="004E3F50" w:rsidRPr="00B4606A">
        <w:rPr>
          <w:b/>
          <w:bCs w:val="0"/>
          <w:u w:val="none"/>
        </w:rPr>
        <w:t xml:space="preserve">Duomenų įrašymo į sąskaitas laikas </w:t>
      </w:r>
      <w:r w:rsidRPr="00B4606A">
        <w:rPr>
          <w:b/>
          <w:bCs w:val="0"/>
          <w:u w:val="none"/>
        </w:rPr>
        <w:t xml:space="preserve">(kaupimo principas) </w:t>
      </w:r>
    </w:p>
    <w:p w14:paraId="610F98A0" w14:textId="77777777" w:rsidR="006052B1" w:rsidRPr="00241D28" w:rsidRDefault="003B59C9" w:rsidP="00C4389C">
      <w:pPr>
        <w:pStyle w:val="CMFBText"/>
        <w:spacing w:line="276" w:lineRule="auto"/>
        <w:rPr>
          <w:szCs w:val="22"/>
        </w:rPr>
      </w:pPr>
      <w:r w:rsidRPr="00241D28">
        <w:rPr>
          <w:szCs w:val="22"/>
        </w:rPr>
        <w:t>Sandoriai į sąskaitas įrašomi kaupiamuoju principu</w:t>
      </w:r>
      <w:r w:rsidR="008B4019" w:rsidRPr="00241D28">
        <w:rPr>
          <w:szCs w:val="22"/>
        </w:rPr>
        <w:t>,</w:t>
      </w:r>
      <w:r w:rsidRPr="00241D28">
        <w:rPr>
          <w:szCs w:val="22"/>
        </w:rPr>
        <w:t xml:space="preserve"> t.</w:t>
      </w:r>
      <w:r w:rsidR="008B4019" w:rsidRPr="00241D28">
        <w:rPr>
          <w:szCs w:val="22"/>
        </w:rPr>
        <w:t xml:space="preserve"> </w:t>
      </w:r>
      <w:r w:rsidRPr="00241D28">
        <w:rPr>
          <w:szCs w:val="22"/>
        </w:rPr>
        <w:t xml:space="preserve">y. </w:t>
      </w:r>
      <w:r w:rsidR="00B12EFB" w:rsidRPr="00241D28">
        <w:rPr>
          <w:szCs w:val="22"/>
        </w:rPr>
        <w:t xml:space="preserve">tuo laikotarpiu, </w:t>
      </w:r>
      <w:r w:rsidRPr="00241D28">
        <w:rPr>
          <w:szCs w:val="22"/>
        </w:rPr>
        <w:t>ka</w:t>
      </w:r>
      <w:r w:rsidR="00B12EFB" w:rsidRPr="00241D28">
        <w:rPr>
          <w:szCs w:val="22"/>
        </w:rPr>
        <w:t>da</w:t>
      </w:r>
      <w:r w:rsidRPr="00241D28">
        <w:rPr>
          <w:szCs w:val="22"/>
        </w:rPr>
        <w:t xml:space="preserve"> ekonominė vertė </w:t>
      </w:r>
      <w:r w:rsidR="00B12EFB" w:rsidRPr="00241D28">
        <w:rPr>
          <w:szCs w:val="22"/>
        </w:rPr>
        <w:t xml:space="preserve">yra </w:t>
      </w:r>
      <w:r w:rsidRPr="00241D28">
        <w:rPr>
          <w:szCs w:val="22"/>
        </w:rPr>
        <w:t>sukuriama, pakeičiama ar išnyksta arba kai atsiranda arba atšaukiami įsipareigojimai</w:t>
      </w:r>
      <w:r w:rsidR="00B12EFB" w:rsidRPr="00241D28">
        <w:rPr>
          <w:szCs w:val="22"/>
        </w:rPr>
        <w:t>, bet ne tada, kai atliekamas mokėjimas. Susikaupusios palūkanos į sąskaitas įrašom</w:t>
      </w:r>
      <w:r w:rsidR="008B4019" w:rsidRPr="00241D28">
        <w:rPr>
          <w:szCs w:val="22"/>
        </w:rPr>
        <w:t>os</w:t>
      </w:r>
      <w:r w:rsidR="00B12EFB" w:rsidRPr="00241D28">
        <w:rPr>
          <w:szCs w:val="22"/>
        </w:rPr>
        <w:t xml:space="preserve"> kaip reinvestuotos į finansinį turtą. </w:t>
      </w:r>
    </w:p>
    <w:p w14:paraId="2E5F21BB" w14:textId="23F8A572" w:rsidR="006052B1" w:rsidRPr="00B4606A" w:rsidRDefault="006052B1" w:rsidP="00D74FEE">
      <w:pPr>
        <w:pStyle w:val="Heading4"/>
        <w:numPr>
          <w:ilvl w:val="0"/>
          <w:numId w:val="0"/>
        </w:numPr>
        <w:spacing w:after="240"/>
        <w:jc w:val="both"/>
        <w:rPr>
          <w:b/>
          <w:bCs w:val="0"/>
          <w:u w:val="none"/>
        </w:rPr>
      </w:pPr>
      <w:r w:rsidRPr="00B4606A">
        <w:rPr>
          <w:b/>
          <w:bCs w:val="0"/>
          <w:u w:val="none"/>
        </w:rPr>
        <w:t>B.1.</w:t>
      </w:r>
      <w:r w:rsidR="00B12EFB" w:rsidRPr="00B4606A">
        <w:rPr>
          <w:b/>
          <w:bCs w:val="0"/>
          <w:u w:val="none"/>
        </w:rPr>
        <w:t>8</w:t>
      </w:r>
      <w:r w:rsidRPr="00B4606A">
        <w:rPr>
          <w:b/>
          <w:bCs w:val="0"/>
          <w:u w:val="none"/>
        </w:rPr>
        <w:t xml:space="preserve"> Aprėptis </w:t>
      </w:r>
    </w:p>
    <w:p w14:paraId="4A096DAF" w14:textId="77777777" w:rsidR="00BE2CF7" w:rsidRDefault="00BE2CF7" w:rsidP="003A08EA">
      <w:pPr>
        <w:pStyle w:val="CMFBtextintable"/>
        <w:spacing w:after="0"/>
      </w:pPr>
      <w:r>
        <w:t>Sektorių S.125, S.126, S.127 aprėptis nustatoma naudojantis Juridinių asmenų registro duomenimis</w:t>
      </w:r>
      <w:r w:rsidR="0084407C">
        <w:t>,</w:t>
      </w:r>
      <w:r>
        <w:t xml:space="preserve"> tokiais kaip institucinio vieneto ekonomin</w:t>
      </w:r>
      <w:r w:rsidR="00414090">
        <w:t>ės veiklos rūšis,</w:t>
      </w:r>
      <w:r>
        <w:t xml:space="preserve"> kapitalo </w:t>
      </w:r>
      <w:r w:rsidR="00414090">
        <w:t xml:space="preserve">ir turto </w:t>
      </w:r>
      <w:r>
        <w:t>dyd</w:t>
      </w:r>
      <w:r w:rsidR="00414090">
        <w:t>is</w:t>
      </w:r>
      <w:r>
        <w:t>, darbuotojų skaiči</w:t>
      </w:r>
      <w:r w:rsidR="006A5527">
        <w:t>us</w:t>
      </w:r>
      <w:r w:rsidR="003A08EA">
        <w:t>.</w:t>
      </w:r>
    </w:p>
    <w:p w14:paraId="66C1AAD6" w14:textId="32C79C04" w:rsidR="003A08EA" w:rsidRDefault="00E87291" w:rsidP="00E87291">
      <w:pPr>
        <w:pStyle w:val="CMFBtextintable"/>
        <w:spacing w:after="0"/>
      </w:pPr>
      <w:r>
        <w:t xml:space="preserve">Duomenų šaltinis sektorių S.125, S.126, S.127 ketvirtinėms finansinėms sąskaitoms sudaryti </w:t>
      </w:r>
      <w:r w:rsidR="00496A10">
        <w:t>yra</w:t>
      </w:r>
      <w:r>
        <w:t xml:space="preserve"> ketvirtinis statistinis tyrimas</w:t>
      </w:r>
      <w:r w:rsidR="0084407C">
        <w:t>,</w:t>
      </w:r>
      <w:r>
        <w:t xml:space="preserve"> parengtas balanso duomenų pagrindu. Apklausiama 80 proc. visų respondentų, priskirtų minėtiems sektoriams. Gauti duomenys yra išplečiami iki visos populiacijos. Ši</w:t>
      </w:r>
      <w:r w:rsidR="00397A8E">
        <w:t>o</w:t>
      </w:r>
      <w:r>
        <w:t xml:space="preserve"> duomenų </w:t>
      </w:r>
      <w:r w:rsidR="00397A8E">
        <w:t>šaltinio</w:t>
      </w:r>
      <w:r w:rsidR="00496A10">
        <w:t xml:space="preserve"> </w:t>
      </w:r>
      <w:r>
        <w:t xml:space="preserve">terminas </w:t>
      </w:r>
      <w:r w:rsidR="0084407C">
        <w:t xml:space="preserve">– </w:t>
      </w:r>
      <w:r w:rsidR="00496A10">
        <w:t xml:space="preserve">po </w:t>
      </w:r>
      <w:r>
        <w:t xml:space="preserve">70 dienų ketvirčiui pasibaigus. </w:t>
      </w:r>
    </w:p>
    <w:p w14:paraId="2EC3D2E6" w14:textId="77777777" w:rsidR="00E87291" w:rsidRPr="00241D28" w:rsidRDefault="007C2AC7" w:rsidP="00E87291">
      <w:pPr>
        <w:pStyle w:val="CMFBtextintable"/>
        <w:spacing w:after="0"/>
      </w:pPr>
      <w:r>
        <w:t>Įtraukiant naujus subjektus,</w:t>
      </w:r>
      <w:r w:rsidR="00E87291">
        <w:t xml:space="preserve"> priskirt</w:t>
      </w:r>
      <w:r>
        <w:t>us</w:t>
      </w:r>
      <w:r w:rsidR="00E87291">
        <w:t xml:space="preserve"> šiems sektoriams, </w:t>
      </w:r>
      <w:r>
        <w:t xml:space="preserve">naudojamasi Statistinio ūkių subjektų registro informacija. Nauji subjektai į statistinį tyrimą įtraukiami ne vėliai kaip po 12 mėn. Subjektų išėjimas iš minėtų sektorių yra </w:t>
      </w:r>
      <w:r w:rsidR="0084407C">
        <w:t xml:space="preserve">įtraukiamas į </w:t>
      </w:r>
      <w:r>
        <w:t>apskait</w:t>
      </w:r>
      <w:r w:rsidR="0084407C">
        <w:t>ą</w:t>
      </w:r>
      <w:r>
        <w:t xml:space="preserve"> iš karto, rengiant einamojo laikotarpio statistinį tyrimą.</w:t>
      </w:r>
    </w:p>
    <w:p w14:paraId="297E7E66" w14:textId="0540DA05" w:rsidR="006052B1" w:rsidRPr="00B4606A" w:rsidDel="00A74414" w:rsidRDefault="006052B1" w:rsidP="00C4389C">
      <w:pPr>
        <w:pStyle w:val="Heading4"/>
        <w:numPr>
          <w:ilvl w:val="0"/>
          <w:numId w:val="0"/>
        </w:numPr>
        <w:jc w:val="both"/>
        <w:rPr>
          <w:b/>
          <w:bCs w:val="0"/>
          <w:u w:val="none"/>
        </w:rPr>
      </w:pPr>
      <w:r w:rsidRPr="00B4606A">
        <w:rPr>
          <w:b/>
          <w:bCs w:val="0"/>
          <w:u w:val="none"/>
        </w:rPr>
        <w:t>B.1.</w:t>
      </w:r>
      <w:r w:rsidR="007F3C0F" w:rsidRPr="00B4606A">
        <w:rPr>
          <w:b/>
          <w:bCs w:val="0"/>
          <w:u w:val="none"/>
        </w:rPr>
        <w:t>9</w:t>
      </w:r>
      <w:r w:rsidRPr="00B4606A">
        <w:rPr>
          <w:b/>
          <w:bCs w:val="0"/>
          <w:u w:val="none"/>
        </w:rPr>
        <w:t xml:space="preserve"> Nekonsolid</w:t>
      </w:r>
      <w:r w:rsidR="007F3C0F" w:rsidRPr="00B4606A">
        <w:rPr>
          <w:b/>
          <w:bCs w:val="0"/>
          <w:u w:val="none"/>
        </w:rPr>
        <w:t>uoti</w:t>
      </w:r>
      <w:r w:rsidRPr="00B4606A">
        <w:rPr>
          <w:b/>
          <w:bCs w:val="0"/>
          <w:u w:val="none"/>
        </w:rPr>
        <w:t xml:space="preserve"> </w:t>
      </w:r>
      <w:r w:rsidRPr="00B4606A" w:rsidDel="00A74414">
        <w:rPr>
          <w:b/>
          <w:bCs w:val="0"/>
          <w:u w:val="none"/>
        </w:rPr>
        <w:t>/</w:t>
      </w:r>
      <w:r w:rsidRPr="00B4606A">
        <w:rPr>
          <w:b/>
          <w:bCs w:val="0"/>
          <w:u w:val="none"/>
        </w:rPr>
        <w:t xml:space="preserve"> Konsolid</w:t>
      </w:r>
      <w:r w:rsidR="007F3C0F" w:rsidRPr="00B4606A">
        <w:rPr>
          <w:b/>
          <w:bCs w:val="0"/>
          <w:u w:val="none"/>
        </w:rPr>
        <w:t>uoti</w:t>
      </w:r>
      <w:r w:rsidR="00150971" w:rsidRPr="00B4606A">
        <w:rPr>
          <w:b/>
          <w:bCs w:val="0"/>
          <w:u w:val="none"/>
        </w:rPr>
        <w:t xml:space="preserve"> </w:t>
      </w:r>
      <w:r w:rsidRPr="00B4606A">
        <w:rPr>
          <w:b/>
          <w:bCs w:val="0"/>
          <w:u w:val="none"/>
        </w:rPr>
        <w:t>sektori</w:t>
      </w:r>
      <w:r w:rsidR="007F3C0F" w:rsidRPr="00B4606A">
        <w:rPr>
          <w:b/>
          <w:bCs w:val="0"/>
          <w:u w:val="none"/>
        </w:rPr>
        <w:t xml:space="preserve">ų duomenys, kaip </w:t>
      </w:r>
      <w:r w:rsidR="00941589" w:rsidRPr="00B4606A">
        <w:rPr>
          <w:b/>
          <w:bCs w:val="0"/>
          <w:u w:val="none"/>
        </w:rPr>
        <w:t xml:space="preserve">nustatyta </w:t>
      </w:r>
      <w:r w:rsidR="007F3C0F" w:rsidRPr="00B4606A">
        <w:rPr>
          <w:b/>
          <w:bCs w:val="0"/>
          <w:u w:val="none"/>
        </w:rPr>
        <w:t>ESS</w:t>
      </w:r>
      <w:r w:rsidR="00941589" w:rsidRPr="00B4606A">
        <w:rPr>
          <w:b/>
          <w:bCs w:val="0"/>
          <w:u w:val="none"/>
        </w:rPr>
        <w:t xml:space="preserve"> </w:t>
      </w:r>
      <w:r w:rsidR="007F3C0F" w:rsidRPr="00B4606A">
        <w:rPr>
          <w:b/>
          <w:bCs w:val="0"/>
          <w:u w:val="none"/>
        </w:rPr>
        <w:t xml:space="preserve">2010 duomenų perdavimo </w:t>
      </w:r>
      <w:r w:rsidR="00941589" w:rsidRPr="00B4606A">
        <w:rPr>
          <w:b/>
          <w:bCs w:val="0"/>
          <w:u w:val="none"/>
        </w:rPr>
        <w:t xml:space="preserve">programoje </w:t>
      </w:r>
      <w:r w:rsidR="007F3C0F" w:rsidRPr="00B4606A">
        <w:rPr>
          <w:b/>
          <w:bCs w:val="0"/>
          <w:u w:val="none"/>
        </w:rPr>
        <w:t>(6 ir 7 lentelės)</w:t>
      </w:r>
      <w:r w:rsidRPr="00B4606A" w:rsidDel="00A74414">
        <w:rPr>
          <w:b/>
          <w:bCs w:val="0"/>
          <w:u w:val="none"/>
        </w:rPr>
        <w:t xml:space="preserve"> </w:t>
      </w:r>
    </w:p>
    <w:p w14:paraId="74C3D569" w14:textId="2CBFB50B" w:rsidR="00854F47" w:rsidRPr="00241D28" w:rsidRDefault="00462A24" w:rsidP="00C4389C">
      <w:pPr>
        <w:pStyle w:val="CMFBtextintable"/>
        <w:spacing w:before="240"/>
      </w:pPr>
      <w:r w:rsidRPr="00241D28">
        <w:t xml:space="preserve">Metiniai </w:t>
      </w:r>
      <w:r w:rsidR="001F0FD7">
        <w:t xml:space="preserve">finansinių sąskaitų </w:t>
      </w:r>
      <w:r w:rsidRPr="00241D28">
        <w:t xml:space="preserve">duomenys </w:t>
      </w:r>
      <w:r w:rsidR="00854F47" w:rsidRPr="00241D28">
        <w:t>visiškai atitinka ESS 2010 perdavimo program</w:t>
      </w:r>
      <w:r w:rsidRPr="00241D28">
        <w:t xml:space="preserve">os </w:t>
      </w:r>
      <w:r w:rsidR="001F0FD7">
        <w:t xml:space="preserve">6 ir 7 lentelės </w:t>
      </w:r>
      <w:r w:rsidRPr="00241D28">
        <w:t xml:space="preserve">reikalavimus. </w:t>
      </w:r>
      <w:r w:rsidR="001F0FD7">
        <w:t xml:space="preserve">Eurostatui </w:t>
      </w:r>
      <w:r w:rsidR="00F067D2">
        <w:t xml:space="preserve">siunčiami metiniai </w:t>
      </w:r>
      <w:r w:rsidR="00B4606A">
        <w:t xml:space="preserve">konsoliduoti ir nekonsoliduoti </w:t>
      </w:r>
      <w:r w:rsidR="00F067D2">
        <w:t>duomenys pradedant 1995 m</w:t>
      </w:r>
      <w:r w:rsidR="00496A10">
        <w:t>.</w:t>
      </w:r>
      <w:r w:rsidR="00F067D2">
        <w:t>, taip pat</w:t>
      </w:r>
      <w:r w:rsidRPr="00241D28">
        <w:t xml:space="preserve"> Eurostat</w:t>
      </w:r>
      <w:r w:rsidR="00E838D7">
        <w:t>ui</w:t>
      </w:r>
      <w:r w:rsidRPr="00241D28">
        <w:t xml:space="preserve"> </w:t>
      </w:r>
      <w:r w:rsidR="00E838D7">
        <w:t>teik</w:t>
      </w:r>
      <w:r w:rsidRPr="00241D28">
        <w:t xml:space="preserve">iami </w:t>
      </w:r>
      <w:r w:rsidR="00E20E7E">
        <w:t xml:space="preserve">priešinių sektorių („kas kam“ duomenys), </w:t>
      </w:r>
      <w:r w:rsidRPr="00241D28">
        <w:t>perkainojimo ir kitų pasikeitimų duomenys, kurie nėra privalomi</w:t>
      </w:r>
      <w:r w:rsidR="00854F47" w:rsidRPr="00241D28">
        <w:t>.</w:t>
      </w:r>
    </w:p>
    <w:p w14:paraId="17DF0C7E" w14:textId="77777777" w:rsidR="007F3C0F" w:rsidRPr="00241D28" w:rsidRDefault="007F3C0F" w:rsidP="00C4389C">
      <w:pPr>
        <w:pStyle w:val="CMFBtextintable"/>
        <w:spacing w:before="240"/>
      </w:pPr>
      <w:r w:rsidRPr="00241D28">
        <w:t xml:space="preserve">Ketvirtinės finansinės sąskaitos yra sudaromos </w:t>
      </w:r>
      <w:r w:rsidR="006A16E0">
        <w:t xml:space="preserve">ir skelbiamos </w:t>
      </w:r>
      <w:r w:rsidR="00462A24" w:rsidRPr="00241D28">
        <w:t>„</w:t>
      </w:r>
      <w:r w:rsidRPr="00241D28">
        <w:t>kas</w:t>
      </w:r>
      <w:r w:rsidR="00496A10">
        <w:t xml:space="preserve"> </w:t>
      </w:r>
      <w:r w:rsidRPr="00241D28">
        <w:t>kam</w:t>
      </w:r>
      <w:r w:rsidR="00462A24" w:rsidRPr="00241D28">
        <w:t>“</w:t>
      </w:r>
      <w:r w:rsidRPr="00241D28">
        <w:t xml:space="preserve"> principu, </w:t>
      </w:r>
      <w:r w:rsidR="00854F47" w:rsidRPr="00241D28">
        <w:t>o tai</w:t>
      </w:r>
      <w:r w:rsidRPr="00241D28">
        <w:t xml:space="preserve"> leidžia </w:t>
      </w:r>
      <w:r w:rsidR="00431005" w:rsidRPr="00241D28">
        <w:t xml:space="preserve">apskaičiuoti </w:t>
      </w:r>
      <w:r w:rsidR="00854F47" w:rsidRPr="00241D28">
        <w:t xml:space="preserve">konsoliduotus </w:t>
      </w:r>
      <w:r w:rsidR="00F067D2" w:rsidRPr="00241D28">
        <w:t xml:space="preserve">sektorių </w:t>
      </w:r>
      <w:r w:rsidR="00854F47" w:rsidRPr="00241D28">
        <w:t>duomenis.</w:t>
      </w:r>
      <w:r w:rsidRPr="00241D28">
        <w:t xml:space="preserve"> </w:t>
      </w:r>
    </w:p>
    <w:p w14:paraId="62EEEE40" w14:textId="05A77BB1" w:rsidR="006052B1" w:rsidRPr="00B4606A" w:rsidRDefault="006052B1" w:rsidP="00C4389C">
      <w:pPr>
        <w:pStyle w:val="Heading5"/>
        <w:numPr>
          <w:ilvl w:val="0"/>
          <w:numId w:val="0"/>
        </w:numPr>
        <w:jc w:val="both"/>
        <w:rPr>
          <w:b/>
          <w:bCs/>
          <w:i w:val="0"/>
        </w:rPr>
      </w:pPr>
      <w:r w:rsidRPr="00B4606A">
        <w:rPr>
          <w:b/>
          <w:bCs/>
          <w:i w:val="0"/>
        </w:rPr>
        <w:t>B.1.</w:t>
      </w:r>
      <w:r w:rsidR="00854F47" w:rsidRPr="00B4606A">
        <w:rPr>
          <w:b/>
          <w:bCs/>
          <w:i w:val="0"/>
        </w:rPr>
        <w:t>10</w:t>
      </w:r>
      <w:r w:rsidRPr="00B4606A">
        <w:rPr>
          <w:b/>
          <w:bCs/>
          <w:i w:val="0"/>
        </w:rPr>
        <w:t xml:space="preserve"> </w:t>
      </w:r>
      <w:r w:rsidR="008B4019" w:rsidRPr="00B4606A">
        <w:rPr>
          <w:b/>
          <w:bCs/>
          <w:i w:val="0"/>
        </w:rPr>
        <w:t>P</w:t>
      </w:r>
      <w:r w:rsidRPr="00B4606A">
        <w:rPr>
          <w:b/>
          <w:bCs/>
          <w:i w:val="0"/>
        </w:rPr>
        <w:t xml:space="preserve">riemonių, </w:t>
      </w:r>
      <w:r w:rsidR="00431005" w:rsidRPr="00B4606A">
        <w:rPr>
          <w:b/>
          <w:bCs/>
          <w:i w:val="0"/>
        </w:rPr>
        <w:t>įtrauk</w:t>
      </w:r>
      <w:r w:rsidR="000C58C3">
        <w:rPr>
          <w:b/>
          <w:bCs/>
          <w:i w:val="0"/>
        </w:rPr>
        <w:t>tų</w:t>
      </w:r>
      <w:r w:rsidR="00431005" w:rsidRPr="00B4606A">
        <w:rPr>
          <w:b/>
          <w:bCs/>
          <w:i w:val="0"/>
        </w:rPr>
        <w:t xml:space="preserve"> </w:t>
      </w:r>
      <w:r w:rsidR="009F08D9" w:rsidRPr="00B4606A">
        <w:rPr>
          <w:b/>
          <w:bCs/>
          <w:i w:val="0"/>
        </w:rPr>
        <w:t>skaičiuojant</w:t>
      </w:r>
      <w:r w:rsidRPr="00B4606A">
        <w:rPr>
          <w:b/>
          <w:bCs/>
          <w:i w:val="0"/>
        </w:rPr>
        <w:t xml:space="preserve"> </w:t>
      </w:r>
      <w:r w:rsidR="00854F47" w:rsidRPr="00B4606A">
        <w:rPr>
          <w:b/>
          <w:bCs/>
          <w:i w:val="0"/>
        </w:rPr>
        <w:t>MDP rodikli</w:t>
      </w:r>
      <w:r w:rsidR="009F08D9" w:rsidRPr="00B4606A">
        <w:rPr>
          <w:b/>
          <w:bCs/>
          <w:i w:val="0"/>
        </w:rPr>
        <w:t>us</w:t>
      </w:r>
      <w:r w:rsidR="008B4019" w:rsidRPr="00B4606A">
        <w:rPr>
          <w:b/>
          <w:bCs/>
          <w:i w:val="0"/>
        </w:rPr>
        <w:t>,</w:t>
      </w:r>
      <w:r w:rsidRPr="00B4606A">
        <w:rPr>
          <w:b/>
          <w:bCs/>
          <w:i w:val="0"/>
        </w:rPr>
        <w:t xml:space="preserve"> </w:t>
      </w:r>
      <w:r w:rsidR="008B4019" w:rsidRPr="00B4606A">
        <w:rPr>
          <w:b/>
          <w:bCs/>
          <w:i w:val="0"/>
        </w:rPr>
        <w:t>specifiniai nukrypimai</w:t>
      </w:r>
      <w:r w:rsidR="008B4019" w:rsidRPr="00B4606A">
        <w:rPr>
          <w:b/>
          <w:bCs/>
        </w:rPr>
        <w:t xml:space="preserve"> </w:t>
      </w:r>
    </w:p>
    <w:p w14:paraId="0336FB19" w14:textId="3C9934B4" w:rsidR="006052B1" w:rsidRPr="00241D28" w:rsidRDefault="006A16E0" w:rsidP="00C4389C">
      <w:pPr>
        <w:pStyle w:val="CMFBText"/>
        <w:spacing w:line="276" w:lineRule="auto"/>
        <w:rPr>
          <w:szCs w:val="22"/>
        </w:rPr>
      </w:pPr>
      <w:r>
        <w:rPr>
          <w:szCs w:val="22"/>
        </w:rPr>
        <w:t>F</w:t>
      </w:r>
      <w:r w:rsidRPr="00241D28">
        <w:rPr>
          <w:szCs w:val="22"/>
        </w:rPr>
        <w:t>inansinės priemonės</w:t>
      </w:r>
      <w:r w:rsidR="009F08D9">
        <w:rPr>
          <w:szCs w:val="22"/>
        </w:rPr>
        <w:t>,</w:t>
      </w:r>
      <w:r w:rsidRPr="00241D28">
        <w:rPr>
          <w:szCs w:val="22"/>
        </w:rPr>
        <w:t xml:space="preserve"> sudarančios </w:t>
      </w:r>
      <w:r>
        <w:rPr>
          <w:szCs w:val="22"/>
        </w:rPr>
        <w:t>p</w:t>
      </w:r>
      <w:r w:rsidR="00854F47" w:rsidRPr="00241D28">
        <w:rPr>
          <w:szCs w:val="22"/>
        </w:rPr>
        <w:t>rivačiojo sektoriaus skolą</w:t>
      </w:r>
      <w:r w:rsidR="009F08D9">
        <w:rPr>
          <w:szCs w:val="22"/>
        </w:rPr>
        <w:t>,</w:t>
      </w:r>
      <w:r w:rsidR="00854F47" w:rsidRPr="00241D28">
        <w:rPr>
          <w:szCs w:val="22"/>
        </w:rPr>
        <w:t xml:space="preserve"> </w:t>
      </w:r>
      <w:r w:rsidR="006052B1" w:rsidRPr="00241D28">
        <w:rPr>
          <w:szCs w:val="22"/>
        </w:rPr>
        <w:t>specifinių nukrypimų</w:t>
      </w:r>
      <w:r w:rsidRPr="006A16E0">
        <w:rPr>
          <w:szCs w:val="22"/>
        </w:rPr>
        <w:t xml:space="preserve"> </w:t>
      </w:r>
      <w:r w:rsidRPr="00241D28">
        <w:rPr>
          <w:szCs w:val="22"/>
        </w:rPr>
        <w:t>neturi</w:t>
      </w:r>
      <w:r w:rsidR="004F4332">
        <w:rPr>
          <w:szCs w:val="22"/>
        </w:rPr>
        <w:t>.</w:t>
      </w:r>
      <w:r w:rsidR="006052B1" w:rsidRPr="00241D28">
        <w:rPr>
          <w:szCs w:val="22"/>
        </w:rPr>
        <w:t xml:space="preserve"> Duomenys apie </w:t>
      </w:r>
      <w:r w:rsidR="00854F47" w:rsidRPr="00241D28">
        <w:rPr>
          <w:szCs w:val="22"/>
        </w:rPr>
        <w:t xml:space="preserve">ne finansų bendrovių </w:t>
      </w:r>
      <w:r w:rsidR="006052B1" w:rsidRPr="00241D28">
        <w:rPr>
          <w:szCs w:val="22"/>
        </w:rPr>
        <w:t>paskolas</w:t>
      </w:r>
      <w:r w:rsidR="00854F47" w:rsidRPr="00241D28">
        <w:rPr>
          <w:szCs w:val="22"/>
        </w:rPr>
        <w:t xml:space="preserve"> ne finansų bendrovėms apskaičiuojami naudojant </w:t>
      </w:r>
      <w:r w:rsidR="004F4332">
        <w:rPr>
          <w:szCs w:val="22"/>
        </w:rPr>
        <w:t>metinio</w:t>
      </w:r>
      <w:r w:rsidR="007C2AC7">
        <w:rPr>
          <w:szCs w:val="22"/>
        </w:rPr>
        <w:t xml:space="preserve"> </w:t>
      </w:r>
      <w:r w:rsidR="006052B1" w:rsidRPr="00241D28">
        <w:rPr>
          <w:szCs w:val="22"/>
        </w:rPr>
        <w:t>statistinio tyrimo, parengto ne finansų bendrovių balansų pagrindu</w:t>
      </w:r>
      <w:r w:rsidR="00854F47" w:rsidRPr="00241D28">
        <w:rPr>
          <w:szCs w:val="22"/>
        </w:rPr>
        <w:t>, duomenis</w:t>
      </w:r>
      <w:r w:rsidR="006052B1" w:rsidRPr="00241D28">
        <w:rPr>
          <w:szCs w:val="22"/>
        </w:rPr>
        <w:t>.</w:t>
      </w:r>
      <w:r w:rsidR="007C2AC7">
        <w:rPr>
          <w:szCs w:val="22"/>
        </w:rPr>
        <w:t xml:space="preserve"> Ne finansų bendrovių tarpusavio paskolų sandoriai a</w:t>
      </w:r>
      <w:r w:rsidR="0084407C">
        <w:rPr>
          <w:szCs w:val="22"/>
        </w:rPr>
        <w:t>p</w:t>
      </w:r>
      <w:r w:rsidR="007C2AC7">
        <w:rPr>
          <w:szCs w:val="22"/>
        </w:rPr>
        <w:t>skaičiuojami kaip likučių skirtumas.</w:t>
      </w:r>
    </w:p>
    <w:p w14:paraId="6F4BAC7F" w14:textId="77777777" w:rsidR="00854F47" w:rsidRPr="00241D28" w:rsidRDefault="00127195" w:rsidP="00C4389C">
      <w:pPr>
        <w:pStyle w:val="CMFBText"/>
        <w:spacing w:line="276" w:lineRule="auto"/>
        <w:rPr>
          <w:szCs w:val="22"/>
        </w:rPr>
      </w:pPr>
      <w:r w:rsidRPr="00241D28">
        <w:rPr>
          <w:szCs w:val="22"/>
        </w:rPr>
        <w:t xml:space="preserve">Finansų </w:t>
      </w:r>
      <w:r w:rsidR="00854F47" w:rsidRPr="00241D28">
        <w:rPr>
          <w:szCs w:val="22"/>
        </w:rPr>
        <w:t>sektoriaus įsipareigojimus sudarančios finansinės priemonės specifinių nukrypimų</w:t>
      </w:r>
      <w:r w:rsidR="0045768F" w:rsidRPr="00241D28">
        <w:rPr>
          <w:szCs w:val="22"/>
        </w:rPr>
        <w:t xml:space="preserve"> neturi</w:t>
      </w:r>
      <w:r w:rsidR="00854F47" w:rsidRPr="00241D28">
        <w:rPr>
          <w:szCs w:val="22"/>
        </w:rPr>
        <w:t>.</w:t>
      </w:r>
    </w:p>
    <w:p w14:paraId="452569BE" w14:textId="08036788" w:rsidR="006052B1" w:rsidRPr="00D74FEE" w:rsidRDefault="006052B1" w:rsidP="00C4389C">
      <w:pPr>
        <w:pStyle w:val="Heading4"/>
        <w:numPr>
          <w:ilvl w:val="0"/>
          <w:numId w:val="0"/>
        </w:numPr>
        <w:spacing w:before="240" w:after="120"/>
        <w:jc w:val="both"/>
        <w:rPr>
          <w:b/>
          <w:bCs w:val="0"/>
          <w:u w:val="none"/>
        </w:rPr>
      </w:pPr>
      <w:r w:rsidRPr="00D74FEE">
        <w:rPr>
          <w:b/>
          <w:bCs w:val="0"/>
          <w:u w:val="none"/>
        </w:rPr>
        <w:t>B.1.</w:t>
      </w:r>
      <w:r w:rsidR="00854F47" w:rsidRPr="00D74FEE">
        <w:rPr>
          <w:b/>
          <w:bCs w:val="0"/>
          <w:u w:val="none"/>
        </w:rPr>
        <w:t>11</w:t>
      </w:r>
      <w:r w:rsidRPr="00D74FEE">
        <w:rPr>
          <w:b/>
          <w:bCs w:val="0"/>
          <w:u w:val="none"/>
        </w:rPr>
        <w:t xml:space="preserve"> Kiti</w:t>
      </w:r>
      <w:r w:rsidR="009F08D9" w:rsidRPr="00D74FEE">
        <w:rPr>
          <w:b/>
          <w:bCs w:val="0"/>
          <w:u w:val="none"/>
        </w:rPr>
        <w:t>,</w:t>
      </w:r>
      <w:r w:rsidRPr="00D74FEE">
        <w:rPr>
          <w:b/>
          <w:bCs w:val="0"/>
          <w:u w:val="none"/>
        </w:rPr>
        <w:t xml:space="preserve"> anksčiau nepaminėti esminiai nukrypi</w:t>
      </w:r>
      <w:r w:rsidR="00462A24" w:rsidRPr="00D74FEE">
        <w:rPr>
          <w:b/>
          <w:bCs w:val="0"/>
          <w:u w:val="none"/>
        </w:rPr>
        <w:t>m</w:t>
      </w:r>
      <w:r w:rsidRPr="00D74FEE">
        <w:rPr>
          <w:b/>
          <w:bCs w:val="0"/>
          <w:u w:val="none"/>
        </w:rPr>
        <w:t xml:space="preserve">ai </w:t>
      </w:r>
    </w:p>
    <w:p w14:paraId="47567444" w14:textId="77777777" w:rsidR="006052B1" w:rsidRPr="00241D28" w:rsidRDefault="006052B1" w:rsidP="00C4389C">
      <w:pPr>
        <w:pStyle w:val="CMFBText"/>
        <w:rPr>
          <w:szCs w:val="22"/>
        </w:rPr>
      </w:pPr>
      <w:r w:rsidRPr="00241D28">
        <w:rPr>
          <w:szCs w:val="22"/>
        </w:rPr>
        <w:t>Kitų esminių nukrypi</w:t>
      </w:r>
      <w:r w:rsidR="00462A24" w:rsidRPr="00241D28">
        <w:rPr>
          <w:szCs w:val="22"/>
        </w:rPr>
        <w:t>m</w:t>
      </w:r>
      <w:r w:rsidRPr="00241D28">
        <w:rPr>
          <w:szCs w:val="22"/>
        </w:rPr>
        <w:t xml:space="preserve">ų nėra. </w:t>
      </w:r>
    </w:p>
    <w:p w14:paraId="5AB7312A" w14:textId="7FA56AE9" w:rsidR="00FA4A79" w:rsidRPr="00D74FEE" w:rsidRDefault="00E36C4A" w:rsidP="00C4389C">
      <w:pPr>
        <w:pStyle w:val="Heading3"/>
        <w:numPr>
          <w:ilvl w:val="0"/>
          <w:numId w:val="0"/>
        </w:numPr>
        <w:rPr>
          <w:b/>
          <w:bCs w:val="0"/>
          <w:sz w:val="22"/>
          <w:szCs w:val="22"/>
        </w:rPr>
      </w:pPr>
      <w:bookmarkStart w:id="14" w:name="_Toc422500685"/>
      <w:r w:rsidRPr="00D74FEE">
        <w:rPr>
          <w:b/>
          <w:bCs w:val="0"/>
          <w:sz w:val="22"/>
          <w:szCs w:val="22"/>
        </w:rPr>
        <w:t xml:space="preserve">B.2 </w:t>
      </w:r>
      <w:r w:rsidR="00FA4A79" w:rsidRPr="00D74FEE">
        <w:rPr>
          <w:b/>
          <w:bCs w:val="0"/>
          <w:sz w:val="22"/>
          <w:szCs w:val="22"/>
        </w:rPr>
        <w:t xml:space="preserve">CoP8 </w:t>
      </w:r>
      <w:r w:rsidR="000F4CE4" w:rsidRPr="00D74FEE">
        <w:rPr>
          <w:b/>
          <w:bCs w:val="0"/>
          <w:sz w:val="22"/>
          <w:szCs w:val="22"/>
        </w:rPr>
        <w:t xml:space="preserve">Tinkamos statistinės procedūros </w:t>
      </w:r>
      <w:r w:rsidR="00FA4A79" w:rsidRPr="00D74FEE">
        <w:rPr>
          <w:b/>
          <w:bCs w:val="0"/>
          <w:sz w:val="22"/>
          <w:szCs w:val="22"/>
        </w:rPr>
        <w:t xml:space="preserve">/ PC8 </w:t>
      </w:r>
      <w:bookmarkEnd w:id="14"/>
      <w:r w:rsidR="000F4CE4" w:rsidRPr="00D74FEE">
        <w:rPr>
          <w:b/>
          <w:bCs w:val="0"/>
          <w:sz w:val="22"/>
          <w:szCs w:val="22"/>
        </w:rPr>
        <w:t>Tinkamos statistinės procedūros</w:t>
      </w:r>
    </w:p>
    <w:p w14:paraId="40E5F7A4" w14:textId="043EF9B8" w:rsidR="00FA4A79" w:rsidRPr="00D74FEE" w:rsidRDefault="00E36C4A" w:rsidP="00C4389C">
      <w:pPr>
        <w:pStyle w:val="Heading4"/>
        <w:numPr>
          <w:ilvl w:val="0"/>
          <w:numId w:val="0"/>
        </w:numPr>
        <w:spacing w:after="240"/>
        <w:jc w:val="both"/>
        <w:rPr>
          <w:b/>
          <w:bCs w:val="0"/>
          <w:u w:val="none"/>
        </w:rPr>
      </w:pPr>
      <w:r w:rsidRPr="00D74FEE">
        <w:rPr>
          <w:b/>
          <w:bCs w:val="0"/>
          <w:u w:val="none"/>
        </w:rPr>
        <w:t xml:space="preserve">B.2.1 </w:t>
      </w:r>
      <w:r w:rsidR="00FA4A79" w:rsidRPr="00D74FEE">
        <w:rPr>
          <w:b/>
          <w:bCs w:val="0"/>
          <w:u w:val="none"/>
        </w:rPr>
        <w:t>D</w:t>
      </w:r>
      <w:r w:rsidR="000F4CE4" w:rsidRPr="00D74FEE">
        <w:rPr>
          <w:b/>
          <w:bCs w:val="0"/>
          <w:u w:val="none"/>
        </w:rPr>
        <w:t>uomenų šaltini</w:t>
      </w:r>
      <w:r w:rsidR="00346B21" w:rsidRPr="00D74FEE">
        <w:rPr>
          <w:b/>
          <w:bCs w:val="0"/>
          <w:u w:val="none"/>
        </w:rPr>
        <w:t xml:space="preserve">ų </w:t>
      </w:r>
      <w:r w:rsidR="00FD17F0" w:rsidRPr="00D74FEE">
        <w:rPr>
          <w:b/>
          <w:bCs w:val="0"/>
          <w:u w:val="none"/>
        </w:rPr>
        <w:t>schema</w:t>
      </w:r>
    </w:p>
    <w:p w14:paraId="515A312F" w14:textId="15797BA7" w:rsidR="00997BD2" w:rsidRPr="00241D28" w:rsidRDefault="00D74FEE" w:rsidP="00C4389C">
      <w:pPr>
        <w:pStyle w:val="CMFBtextintable"/>
        <w:spacing w:before="120" w:after="120"/>
      </w:pPr>
      <w:r>
        <w:t xml:space="preserve">Priede </w:t>
      </w:r>
      <w:r w:rsidR="00FD17F0" w:rsidRPr="00241D28">
        <w:t>pateiktoje l</w:t>
      </w:r>
      <w:r w:rsidR="00997BD2" w:rsidRPr="00241D28">
        <w:t>entelėje nurodyti pagrindiniai duomenų šaltiniai, naudojami sudarant finansines sąskaitas.</w:t>
      </w:r>
    </w:p>
    <w:p w14:paraId="2744B26A" w14:textId="7E970F9D" w:rsidR="00D74FEE" w:rsidRPr="00D74FEE" w:rsidRDefault="00D74FEE" w:rsidP="00D74FEE">
      <w:pPr>
        <w:pStyle w:val="Heading4"/>
        <w:numPr>
          <w:ilvl w:val="0"/>
          <w:numId w:val="0"/>
        </w:numPr>
        <w:spacing w:after="240"/>
        <w:jc w:val="both"/>
        <w:rPr>
          <w:b/>
          <w:bCs w:val="0"/>
          <w:u w:val="none"/>
        </w:rPr>
      </w:pPr>
      <w:r w:rsidRPr="00D74FEE">
        <w:rPr>
          <w:b/>
          <w:bCs w:val="0"/>
          <w:u w:val="none"/>
        </w:rPr>
        <w:t>B.2.2 Procedūrų ir metodų aprašymas</w:t>
      </w:r>
    </w:p>
    <w:p w14:paraId="117D4169" w14:textId="2750BC29" w:rsidR="00D74FEE" w:rsidRPr="001A6095" w:rsidRDefault="00D74FEE" w:rsidP="00D74FEE">
      <w:pPr>
        <w:spacing w:after="0"/>
        <w:jc w:val="both"/>
        <w:rPr>
          <w:rFonts w:ascii="Times New Roman" w:hAnsi="Times New Roman"/>
        </w:rPr>
      </w:pPr>
      <w:r w:rsidRPr="008F084F">
        <w:rPr>
          <w:rFonts w:ascii="Times New Roman" w:hAnsi="Times New Roman"/>
        </w:rPr>
        <w:t xml:space="preserve">Metinės finansinės sąskaitos sudaromos iš ketvirtinių </w:t>
      </w:r>
      <w:r w:rsidR="008771CE">
        <w:rPr>
          <w:rFonts w:ascii="Times New Roman" w:hAnsi="Times New Roman"/>
        </w:rPr>
        <w:t xml:space="preserve">finansinių </w:t>
      </w:r>
      <w:r w:rsidRPr="008F084F">
        <w:rPr>
          <w:rFonts w:ascii="Times New Roman" w:hAnsi="Times New Roman"/>
        </w:rPr>
        <w:t>sąskaitų, kai</w:t>
      </w:r>
      <w:r>
        <w:rPr>
          <w:rFonts w:ascii="Times New Roman" w:hAnsi="Times New Roman"/>
        </w:rPr>
        <w:t>p</w:t>
      </w:r>
      <w:r w:rsidRPr="008F084F">
        <w:rPr>
          <w:rFonts w:ascii="Times New Roman" w:hAnsi="Times New Roman"/>
        </w:rPr>
        <w:t xml:space="preserve"> keturių ketvirčių suma.</w:t>
      </w:r>
      <w:r>
        <w:rPr>
          <w:rFonts w:ascii="Times New Roman" w:hAnsi="Times New Roman"/>
        </w:rPr>
        <w:t xml:space="preserve"> </w:t>
      </w:r>
      <w:r w:rsidRPr="001A6095">
        <w:rPr>
          <w:rFonts w:ascii="Times New Roman" w:hAnsi="Times New Roman"/>
        </w:rPr>
        <w:t xml:space="preserve">Metinės ir ketvirtinės finansinės sąskaitos sudaromos </w:t>
      </w:r>
      <w:r>
        <w:rPr>
          <w:rFonts w:ascii="Times New Roman" w:hAnsi="Times New Roman"/>
        </w:rPr>
        <w:t>„</w:t>
      </w:r>
      <w:r w:rsidRPr="001A6095">
        <w:rPr>
          <w:rFonts w:ascii="Times New Roman" w:hAnsi="Times New Roman"/>
        </w:rPr>
        <w:t>kas</w:t>
      </w:r>
      <w:r>
        <w:rPr>
          <w:rFonts w:ascii="Times New Roman" w:hAnsi="Times New Roman"/>
        </w:rPr>
        <w:t xml:space="preserve"> </w:t>
      </w:r>
      <w:r w:rsidRPr="001A6095">
        <w:rPr>
          <w:rFonts w:ascii="Times New Roman" w:hAnsi="Times New Roman"/>
        </w:rPr>
        <w:t>kam</w:t>
      </w:r>
      <w:r>
        <w:rPr>
          <w:rFonts w:ascii="Times New Roman" w:hAnsi="Times New Roman"/>
        </w:rPr>
        <w:t>“</w:t>
      </w:r>
      <w:r w:rsidRPr="001A6095">
        <w:rPr>
          <w:rFonts w:ascii="Times New Roman" w:hAnsi="Times New Roman"/>
        </w:rPr>
        <w:t xml:space="preserve"> principu</w:t>
      </w:r>
      <w:r>
        <w:rPr>
          <w:rFonts w:ascii="Times New Roman" w:hAnsi="Times New Roman"/>
        </w:rPr>
        <w:t>, naudojant įvairius</w:t>
      </w:r>
      <w:r w:rsidRPr="001A6095">
        <w:rPr>
          <w:rFonts w:ascii="Times New Roman" w:hAnsi="Times New Roman"/>
        </w:rPr>
        <w:t xml:space="preserve"> duomenų šaltini</w:t>
      </w:r>
      <w:r>
        <w:rPr>
          <w:rFonts w:ascii="Times New Roman" w:hAnsi="Times New Roman"/>
        </w:rPr>
        <w:t>us</w:t>
      </w:r>
      <w:r w:rsidRPr="001A6095">
        <w:rPr>
          <w:rFonts w:ascii="Times New Roman" w:hAnsi="Times New Roman"/>
        </w:rPr>
        <w:t>: administracini</w:t>
      </w:r>
      <w:r>
        <w:rPr>
          <w:rFonts w:ascii="Times New Roman" w:hAnsi="Times New Roman"/>
        </w:rPr>
        <w:t>us</w:t>
      </w:r>
      <w:r w:rsidRPr="001A6095">
        <w:rPr>
          <w:rFonts w:ascii="Times New Roman" w:hAnsi="Times New Roman"/>
        </w:rPr>
        <w:t xml:space="preserve"> šaltini</w:t>
      </w:r>
      <w:r>
        <w:rPr>
          <w:rFonts w:ascii="Times New Roman" w:hAnsi="Times New Roman"/>
        </w:rPr>
        <w:t>us</w:t>
      </w:r>
      <w:r w:rsidRPr="001A6095">
        <w:rPr>
          <w:rFonts w:ascii="Times New Roman" w:hAnsi="Times New Roman"/>
        </w:rPr>
        <w:t>, įmonių finansin</w:t>
      </w:r>
      <w:r>
        <w:rPr>
          <w:rFonts w:ascii="Times New Roman" w:hAnsi="Times New Roman"/>
        </w:rPr>
        <w:t>es</w:t>
      </w:r>
      <w:r w:rsidRPr="001A6095">
        <w:rPr>
          <w:rFonts w:ascii="Times New Roman" w:hAnsi="Times New Roman"/>
        </w:rPr>
        <w:t xml:space="preserve"> ataskait</w:t>
      </w:r>
      <w:r>
        <w:rPr>
          <w:rFonts w:ascii="Times New Roman" w:hAnsi="Times New Roman"/>
        </w:rPr>
        <w:t>as</w:t>
      </w:r>
      <w:r w:rsidRPr="001A6095">
        <w:rPr>
          <w:rFonts w:ascii="Times New Roman" w:hAnsi="Times New Roman"/>
        </w:rPr>
        <w:t>, statistini</w:t>
      </w:r>
      <w:r>
        <w:rPr>
          <w:rFonts w:ascii="Times New Roman" w:hAnsi="Times New Roman"/>
        </w:rPr>
        <w:t>us</w:t>
      </w:r>
      <w:r w:rsidRPr="001A6095">
        <w:rPr>
          <w:rFonts w:ascii="Times New Roman" w:hAnsi="Times New Roman"/>
        </w:rPr>
        <w:t xml:space="preserve"> tyrim</w:t>
      </w:r>
      <w:r>
        <w:rPr>
          <w:rFonts w:ascii="Times New Roman" w:hAnsi="Times New Roman"/>
        </w:rPr>
        <w:t>us</w:t>
      </w:r>
      <w:r w:rsidRPr="001A6095">
        <w:rPr>
          <w:rFonts w:ascii="Times New Roman" w:hAnsi="Times New Roman"/>
        </w:rPr>
        <w:t xml:space="preserve">..  </w:t>
      </w:r>
      <w:r>
        <w:rPr>
          <w:rFonts w:ascii="Times New Roman" w:hAnsi="Times New Roman"/>
        </w:rPr>
        <w:t>F</w:t>
      </w:r>
      <w:r w:rsidRPr="001A6095">
        <w:rPr>
          <w:rFonts w:ascii="Times New Roman" w:hAnsi="Times New Roman"/>
        </w:rPr>
        <w:t xml:space="preserve">inansinės sąskaitos sudaromos </w:t>
      </w:r>
      <w:r>
        <w:rPr>
          <w:rFonts w:ascii="Times New Roman" w:hAnsi="Times New Roman"/>
        </w:rPr>
        <w:t>naudojant</w:t>
      </w:r>
      <w:r w:rsidRPr="001A6095">
        <w:rPr>
          <w:rFonts w:ascii="Times New Roman" w:hAnsi="Times New Roman"/>
        </w:rPr>
        <w:t xml:space="preserve"> efektyvią informacinę sistemą, kuri užtikrina finansinių sąskaitų subalansuotumą.</w:t>
      </w:r>
    </w:p>
    <w:p w14:paraId="0D4315C4" w14:textId="77777777" w:rsidR="00D74FEE" w:rsidRPr="001A6095" w:rsidRDefault="00D74FEE" w:rsidP="00D74FEE">
      <w:pPr>
        <w:spacing w:after="0"/>
        <w:jc w:val="both"/>
        <w:rPr>
          <w:rFonts w:ascii="Times New Roman" w:hAnsi="Times New Roman"/>
        </w:rPr>
      </w:pPr>
      <w:r w:rsidRPr="001A6095">
        <w:rPr>
          <w:rFonts w:ascii="Times New Roman" w:hAnsi="Times New Roman"/>
        </w:rPr>
        <w:t>Finansiniai sandoriai apskaičiuojami kaip skirtumas tarp ketvirčio pradžios ir pabaigos likučių, atėmus perkainojimus ir kitus apimties pokyčius.</w:t>
      </w:r>
    </w:p>
    <w:p w14:paraId="61A6B1A7" w14:textId="77777777" w:rsidR="00D74FEE" w:rsidRPr="001A6095" w:rsidRDefault="00D74FEE" w:rsidP="00D74FEE">
      <w:pPr>
        <w:spacing w:after="0"/>
        <w:jc w:val="both"/>
        <w:rPr>
          <w:rFonts w:ascii="Times New Roman" w:hAnsi="Times New Roman"/>
        </w:rPr>
      </w:pPr>
      <w:r w:rsidRPr="001A6095">
        <w:rPr>
          <w:rFonts w:ascii="Times New Roman" w:hAnsi="Times New Roman"/>
        </w:rPr>
        <w:t>Kiekvien</w:t>
      </w:r>
      <w:r>
        <w:rPr>
          <w:rFonts w:ascii="Times New Roman" w:hAnsi="Times New Roman"/>
        </w:rPr>
        <w:t xml:space="preserve">o sandorio suma </w:t>
      </w:r>
      <w:r w:rsidRPr="001A6095">
        <w:rPr>
          <w:rFonts w:ascii="Times New Roman" w:hAnsi="Times New Roman"/>
        </w:rPr>
        <w:t>į sąskaitas įrašoma du kartus</w:t>
      </w:r>
      <w:r>
        <w:rPr>
          <w:rFonts w:ascii="Times New Roman" w:hAnsi="Times New Roman"/>
        </w:rPr>
        <w:t xml:space="preserve"> – į vieno sektoriaus turtą ir kito sektoriaus įsipareigojimus.</w:t>
      </w:r>
      <w:r w:rsidRPr="001A6095">
        <w:rPr>
          <w:rFonts w:ascii="Times New Roman" w:hAnsi="Times New Roman"/>
        </w:rPr>
        <w:t xml:space="preserve"> Tokia dvejybinio įrašo sistema užtikrina </w:t>
      </w:r>
      <w:r>
        <w:rPr>
          <w:rFonts w:ascii="Times New Roman" w:hAnsi="Times New Roman"/>
        </w:rPr>
        <w:t xml:space="preserve">finansinių sąskaitų </w:t>
      </w:r>
      <w:r w:rsidRPr="001A6095">
        <w:rPr>
          <w:rFonts w:ascii="Times New Roman" w:hAnsi="Times New Roman"/>
        </w:rPr>
        <w:t xml:space="preserve">duomenų </w:t>
      </w:r>
      <w:r>
        <w:rPr>
          <w:rFonts w:ascii="Times New Roman" w:hAnsi="Times New Roman"/>
        </w:rPr>
        <w:t>suderinamumą</w:t>
      </w:r>
      <w:r w:rsidRPr="001A6095">
        <w:rPr>
          <w:rFonts w:ascii="Times New Roman" w:hAnsi="Times New Roman"/>
        </w:rPr>
        <w:t xml:space="preserve"> ir atitinka šią lygybę:</w:t>
      </w:r>
    </w:p>
    <w:p w14:paraId="52FA4F60" w14:textId="77777777" w:rsidR="00D74FEE" w:rsidRPr="00D70C7E" w:rsidRDefault="00D74FEE" w:rsidP="00D74FEE">
      <w:pPr>
        <w:spacing w:after="0"/>
        <w:jc w:val="both"/>
        <w:rPr>
          <w:rFonts w:ascii="Times New Roman" w:hAnsi="Times New Roman"/>
        </w:rPr>
      </w:pPr>
      <w:r w:rsidRPr="00D70C7E">
        <w:rPr>
          <w:rFonts w:ascii="Times New Roman" w:hAnsi="Times New Roman"/>
        </w:rPr>
        <w:t>Σ</w:t>
      </w:r>
      <w:r>
        <w:rPr>
          <w:rFonts w:ascii="Times New Roman" w:hAnsi="Times New Roman"/>
        </w:rPr>
        <w:t xml:space="preserve"> Turto s</w:t>
      </w:r>
      <w:r w:rsidRPr="00D70C7E">
        <w:rPr>
          <w:rFonts w:ascii="Times New Roman" w:hAnsi="Times New Roman"/>
        </w:rPr>
        <w:t>andoriai = Σ</w:t>
      </w:r>
      <w:r>
        <w:rPr>
          <w:rFonts w:ascii="Times New Roman" w:hAnsi="Times New Roman"/>
        </w:rPr>
        <w:t xml:space="preserve"> Į</w:t>
      </w:r>
      <w:r w:rsidRPr="00D70C7E">
        <w:rPr>
          <w:rFonts w:ascii="Times New Roman" w:hAnsi="Times New Roman"/>
        </w:rPr>
        <w:t>sipareigojim</w:t>
      </w:r>
      <w:r>
        <w:rPr>
          <w:rFonts w:ascii="Times New Roman" w:hAnsi="Times New Roman"/>
        </w:rPr>
        <w:t>ų s</w:t>
      </w:r>
      <w:r w:rsidRPr="00D70C7E">
        <w:rPr>
          <w:rFonts w:ascii="Times New Roman" w:hAnsi="Times New Roman"/>
        </w:rPr>
        <w:t xml:space="preserve">andoriai </w:t>
      </w:r>
    </w:p>
    <w:p w14:paraId="67C3EB71" w14:textId="77777777" w:rsidR="00D74FEE" w:rsidRPr="00D70C7E" w:rsidRDefault="00D74FEE" w:rsidP="00D74FEE">
      <w:pPr>
        <w:spacing w:after="0"/>
        <w:jc w:val="both"/>
        <w:rPr>
          <w:rFonts w:ascii="Times New Roman" w:hAnsi="Times New Roman"/>
        </w:rPr>
      </w:pPr>
      <w:r w:rsidRPr="00D70C7E">
        <w:rPr>
          <w:rFonts w:ascii="Times New Roman" w:hAnsi="Times New Roman"/>
        </w:rPr>
        <w:t xml:space="preserve">Ne finansų bendrovių finansinės sąskaitos daugiausia sudaromos iš netiesioginių duomenų šaltinių. Kai kurioms finansinėms priemonėms (žr. </w:t>
      </w:r>
      <w:r>
        <w:rPr>
          <w:rFonts w:ascii="Times New Roman" w:hAnsi="Times New Roman"/>
        </w:rPr>
        <w:t>d</w:t>
      </w:r>
      <w:r w:rsidRPr="00D70C7E">
        <w:rPr>
          <w:rFonts w:ascii="Times New Roman" w:hAnsi="Times New Roman"/>
        </w:rPr>
        <w:t xml:space="preserve">uomenų šaltinių schemą) apskaičiuoti yra naudojami statistinio tyrimo, pagrįsto ne finansų bendrovių balansais, duomenys. Trūkstami duomenys apskaičiuojami taikant įverčius arba apskaičiuojami kaip likutinė reikšmė. Šiuo metu nėra reikiamų duomenų šaltinių viešųjų ne finansų bendrovių subsektoriui išskirti. </w:t>
      </w:r>
    </w:p>
    <w:p w14:paraId="622C3886" w14:textId="77777777" w:rsidR="00D74FEE" w:rsidRPr="00D70C7E" w:rsidRDefault="00D74FEE" w:rsidP="00D74FEE">
      <w:pPr>
        <w:spacing w:after="0"/>
        <w:jc w:val="both"/>
        <w:rPr>
          <w:rFonts w:ascii="Times New Roman" w:hAnsi="Times New Roman"/>
        </w:rPr>
      </w:pPr>
      <w:r w:rsidRPr="00D70C7E">
        <w:rPr>
          <w:rFonts w:ascii="Times New Roman" w:hAnsi="Times New Roman"/>
        </w:rPr>
        <w:t>Finansų bendrovių sektoriaus</w:t>
      </w:r>
      <w:r w:rsidRPr="00E01BE6">
        <w:rPr>
          <w:rFonts w:ascii="Times New Roman" w:hAnsi="Times New Roman"/>
          <w:lang w:val="it-IT"/>
        </w:rPr>
        <w:t xml:space="preserve"> </w:t>
      </w:r>
      <w:r w:rsidRPr="00D70C7E">
        <w:rPr>
          <w:rFonts w:ascii="Times New Roman" w:hAnsi="Times New Roman"/>
        </w:rPr>
        <w:t xml:space="preserve">pagrindiniai duomenų šaltiniai yra PFĮ statistika, vertybinių popierių išleidimo ir </w:t>
      </w:r>
      <w:r>
        <w:rPr>
          <w:rFonts w:ascii="Times New Roman" w:hAnsi="Times New Roman"/>
        </w:rPr>
        <w:t>VPT</w:t>
      </w:r>
      <w:r w:rsidRPr="00D70C7E">
        <w:rPr>
          <w:rFonts w:ascii="Times New Roman" w:hAnsi="Times New Roman"/>
        </w:rPr>
        <w:t xml:space="preserve"> duomenų bazės, </w:t>
      </w:r>
      <w:r>
        <w:rPr>
          <w:rFonts w:ascii="Times New Roman" w:hAnsi="Times New Roman"/>
        </w:rPr>
        <w:t>DB</w:t>
      </w:r>
      <w:r w:rsidRPr="00D70C7E">
        <w:rPr>
          <w:rFonts w:ascii="Times New Roman" w:hAnsi="Times New Roman"/>
        </w:rPr>
        <w:t xml:space="preserve">, investicinių fondų bei </w:t>
      </w:r>
      <w:r>
        <w:rPr>
          <w:rFonts w:ascii="Times New Roman" w:hAnsi="Times New Roman"/>
        </w:rPr>
        <w:t>PF</w:t>
      </w:r>
      <w:r w:rsidRPr="00D70C7E">
        <w:rPr>
          <w:rFonts w:ascii="Times New Roman" w:hAnsi="Times New Roman"/>
        </w:rPr>
        <w:t xml:space="preserve"> statistika.</w:t>
      </w:r>
      <w:r>
        <w:rPr>
          <w:rFonts w:ascii="Times New Roman" w:hAnsi="Times New Roman"/>
        </w:rPr>
        <w:t xml:space="preserve"> </w:t>
      </w:r>
      <w:r w:rsidRPr="00D70C7E">
        <w:rPr>
          <w:rFonts w:ascii="Times New Roman" w:hAnsi="Times New Roman"/>
        </w:rPr>
        <w:t xml:space="preserve">KFT subsektoriui papildomai naudojami statistinio tyrimo, pagrįsto KFT balansais, duomenys. </w:t>
      </w:r>
    </w:p>
    <w:p w14:paraId="55814ACA" w14:textId="77777777" w:rsidR="00D74FEE" w:rsidRDefault="00D74FEE" w:rsidP="00D74FEE">
      <w:pPr>
        <w:spacing w:after="0"/>
        <w:jc w:val="both"/>
        <w:rPr>
          <w:rFonts w:ascii="Times New Roman" w:hAnsi="Times New Roman"/>
        </w:rPr>
      </w:pPr>
      <w:r w:rsidRPr="00D70C7E">
        <w:rPr>
          <w:rFonts w:ascii="Times New Roman" w:hAnsi="Times New Roman"/>
        </w:rPr>
        <w:t>Valdžios sektoriaus finansin</w:t>
      </w:r>
      <w:r>
        <w:rPr>
          <w:rFonts w:ascii="Times New Roman" w:hAnsi="Times New Roman"/>
        </w:rPr>
        <w:t>ėms</w:t>
      </w:r>
      <w:r w:rsidRPr="00D70C7E">
        <w:rPr>
          <w:rFonts w:ascii="Times New Roman" w:hAnsi="Times New Roman"/>
        </w:rPr>
        <w:t xml:space="preserve"> sąskait</w:t>
      </w:r>
      <w:r>
        <w:rPr>
          <w:rFonts w:ascii="Times New Roman" w:hAnsi="Times New Roman"/>
        </w:rPr>
        <w:t>oms</w:t>
      </w:r>
      <w:r w:rsidRPr="00D70C7E">
        <w:rPr>
          <w:rFonts w:ascii="Times New Roman" w:hAnsi="Times New Roman"/>
        </w:rPr>
        <w:t xml:space="preserve"> sudary</w:t>
      </w:r>
      <w:r>
        <w:rPr>
          <w:rFonts w:ascii="Times New Roman" w:hAnsi="Times New Roman"/>
        </w:rPr>
        <w:t>t</w:t>
      </w:r>
      <w:r w:rsidRPr="00D70C7E">
        <w:rPr>
          <w:rFonts w:ascii="Times New Roman" w:hAnsi="Times New Roman"/>
        </w:rPr>
        <w:t>i naudojami KVSFS duomenys. Metiniai ir ketvirtiniai valdžios sektoriaus duomenys yra visiškai suderinti.</w:t>
      </w:r>
    </w:p>
    <w:p w14:paraId="5C1F069E" w14:textId="77777777" w:rsidR="00D74FEE" w:rsidRDefault="00D74FEE" w:rsidP="00D74FEE">
      <w:pPr>
        <w:spacing w:after="0"/>
        <w:jc w:val="both"/>
        <w:rPr>
          <w:rFonts w:ascii="Times New Roman" w:hAnsi="Times New Roman"/>
        </w:rPr>
      </w:pPr>
      <w:r w:rsidRPr="00D70C7E">
        <w:rPr>
          <w:rFonts w:ascii="Times New Roman" w:hAnsi="Times New Roman"/>
        </w:rPr>
        <w:t>Namų ūkiai</w:t>
      </w:r>
      <w:r>
        <w:rPr>
          <w:rFonts w:ascii="Times New Roman" w:hAnsi="Times New Roman"/>
        </w:rPr>
        <w:t xml:space="preserve"> </w:t>
      </w:r>
      <w:r w:rsidRPr="00D70C7E">
        <w:rPr>
          <w:rFonts w:ascii="Times New Roman" w:hAnsi="Times New Roman"/>
        </w:rPr>
        <w:t xml:space="preserve">ir namų ūkiams paslaugas teikiančios ne pelno institucijos tiesioginių </w:t>
      </w:r>
      <w:r w:rsidRPr="00D70C7E">
        <w:rPr>
          <w:rFonts w:ascii="Times New Roman" w:hAnsi="Times New Roman"/>
          <w:lang w:val="it-IT"/>
        </w:rPr>
        <w:t>duomenų šaltinių neturi</w:t>
      </w:r>
      <w:r w:rsidRPr="00D70C7E">
        <w:rPr>
          <w:rFonts w:ascii="Times New Roman" w:hAnsi="Times New Roman"/>
        </w:rPr>
        <w:t xml:space="preserve">, todėl šių sektorių finansinės sąskaitos yra sudaromos naudojant netiesioginius duomenų šaltinius, tokius </w:t>
      </w:r>
      <w:r w:rsidRPr="00482489">
        <w:rPr>
          <w:rFonts w:ascii="Times New Roman" w:hAnsi="Times New Roman"/>
          <w:lang w:val="it-IT"/>
        </w:rPr>
        <w:t xml:space="preserve">kaip PFĮ statistika, </w:t>
      </w:r>
      <w:r>
        <w:rPr>
          <w:rFonts w:ascii="Times New Roman" w:hAnsi="Times New Roman"/>
          <w:lang w:val="it-IT"/>
        </w:rPr>
        <w:t>VPT</w:t>
      </w:r>
      <w:r w:rsidRPr="00482489">
        <w:rPr>
          <w:rFonts w:ascii="Times New Roman" w:hAnsi="Times New Roman"/>
          <w:lang w:val="it-IT"/>
        </w:rPr>
        <w:t xml:space="preserve"> duomenų bazė ar </w:t>
      </w:r>
      <w:r>
        <w:rPr>
          <w:rFonts w:ascii="Times New Roman" w:hAnsi="Times New Roman"/>
          <w:lang w:val="it-IT"/>
        </w:rPr>
        <w:t>MB</w:t>
      </w:r>
      <w:r w:rsidRPr="00482489">
        <w:rPr>
          <w:rFonts w:ascii="Times New Roman" w:hAnsi="Times New Roman"/>
          <w:lang w:val="it-IT"/>
        </w:rPr>
        <w:t xml:space="preserve"> duomenys. Trūkstami duomenys apskaičiuojami </w:t>
      </w:r>
      <w:r w:rsidRPr="00D70C7E">
        <w:rPr>
          <w:rFonts w:ascii="Times New Roman" w:hAnsi="Times New Roman"/>
        </w:rPr>
        <w:t>taikant įverčius arba kaip likutinė reikšmė.</w:t>
      </w:r>
    </w:p>
    <w:p w14:paraId="2D4DB012" w14:textId="77777777" w:rsidR="00D74FEE" w:rsidRDefault="00D74FEE" w:rsidP="00D74FEE">
      <w:pPr>
        <w:spacing w:after="0"/>
        <w:jc w:val="both"/>
        <w:rPr>
          <w:rFonts w:ascii="Times New Roman" w:hAnsi="Times New Roman"/>
        </w:rPr>
      </w:pPr>
      <w:r>
        <w:rPr>
          <w:rFonts w:ascii="Times New Roman" w:hAnsi="Times New Roman"/>
        </w:rPr>
        <w:t>T</w:t>
      </w:r>
      <w:r w:rsidRPr="00CB2E19">
        <w:rPr>
          <w:rFonts w:ascii="Times New Roman" w:hAnsi="Times New Roman"/>
        </w:rPr>
        <w:t>okie sektoriai</w:t>
      </w:r>
      <w:r>
        <w:rPr>
          <w:rFonts w:ascii="Times New Roman" w:hAnsi="Times New Roman"/>
        </w:rPr>
        <w:t>,</w:t>
      </w:r>
      <w:r w:rsidRPr="00CB2E19">
        <w:rPr>
          <w:rFonts w:ascii="Times New Roman" w:hAnsi="Times New Roman"/>
        </w:rPr>
        <w:t xml:space="preserve"> kaip namų ūkiai ir namų ūkiams paslaugas teikiančios ne pelno institucijos, kurie neturi tiesioginio duomenų šaltinio, gali būti nevisiškai įvertinti. Pavyzdžiui, nevisiškai yra įvertinti namų ūkių sandoriai su užsieniu ar sandoriai</w:t>
      </w:r>
      <w:r>
        <w:rPr>
          <w:rFonts w:ascii="Times New Roman" w:hAnsi="Times New Roman"/>
        </w:rPr>
        <w:t>, sudaromi</w:t>
      </w:r>
      <w:r w:rsidRPr="00CB2E19">
        <w:rPr>
          <w:rFonts w:ascii="Times New Roman" w:hAnsi="Times New Roman"/>
        </w:rPr>
        <w:t xml:space="preserve"> paskolos </w:t>
      </w:r>
      <w:r>
        <w:rPr>
          <w:rFonts w:ascii="Times New Roman" w:hAnsi="Times New Roman"/>
        </w:rPr>
        <w:t xml:space="preserve">būdu </w:t>
      </w:r>
      <w:r w:rsidRPr="00CB2E19">
        <w:rPr>
          <w:rFonts w:ascii="Times New Roman" w:hAnsi="Times New Roman"/>
        </w:rPr>
        <w:t xml:space="preserve">tarp namų ūkių. Duomenys apie namų ūkių turimus vertybinius popierius, įsigytus per užsienio sąskaitų tvarkytojus, taip pat </w:t>
      </w:r>
      <w:r>
        <w:rPr>
          <w:rFonts w:ascii="Times New Roman" w:hAnsi="Times New Roman"/>
        </w:rPr>
        <w:t>yra</w:t>
      </w:r>
      <w:r w:rsidRPr="00CB2E19">
        <w:rPr>
          <w:rFonts w:ascii="Times New Roman" w:hAnsi="Times New Roman"/>
        </w:rPr>
        <w:t xml:space="preserve"> </w:t>
      </w:r>
      <w:r>
        <w:rPr>
          <w:rFonts w:ascii="Times New Roman" w:hAnsi="Times New Roman"/>
        </w:rPr>
        <w:t xml:space="preserve">ne visi. Į finansines sąskaitas yra </w:t>
      </w:r>
      <w:r w:rsidRPr="00CB2E19">
        <w:rPr>
          <w:rFonts w:ascii="Times New Roman" w:hAnsi="Times New Roman"/>
        </w:rPr>
        <w:t xml:space="preserve">įtraukti </w:t>
      </w:r>
      <w:r>
        <w:rPr>
          <w:rFonts w:ascii="Times New Roman" w:hAnsi="Times New Roman"/>
        </w:rPr>
        <w:t>duomenys apie namų ūkių vertybinius popierius, įsigytus per euro zonos šalių sąskaitų tvarkytojus, tačiau ne</w:t>
      </w:r>
      <w:r w:rsidRPr="00CB2E19">
        <w:rPr>
          <w:rFonts w:ascii="Times New Roman" w:hAnsi="Times New Roman"/>
        </w:rPr>
        <w:t>į</w:t>
      </w:r>
      <w:r>
        <w:rPr>
          <w:rFonts w:ascii="Times New Roman" w:hAnsi="Times New Roman"/>
        </w:rPr>
        <w:t>trauki vertybiniai popieriai, įsigyti kitose, ne euro zonos šalyse</w:t>
      </w:r>
      <w:r w:rsidRPr="00CB2E19">
        <w:rPr>
          <w:rFonts w:ascii="Times New Roman" w:hAnsi="Times New Roman"/>
        </w:rPr>
        <w:t>. Minėti aprėpties trūkumai nėra reikšmingi.</w:t>
      </w:r>
    </w:p>
    <w:p w14:paraId="18685FC2" w14:textId="5F4F41AA" w:rsidR="00D74FEE" w:rsidRPr="008771CE" w:rsidRDefault="00D74FEE" w:rsidP="00D74FEE">
      <w:pPr>
        <w:spacing w:before="240"/>
        <w:jc w:val="both"/>
        <w:rPr>
          <w:rFonts w:ascii="Times New Roman" w:hAnsi="Times New Roman"/>
          <w:b/>
          <w:bCs/>
        </w:rPr>
      </w:pPr>
      <w:r w:rsidRPr="008771CE">
        <w:rPr>
          <w:rFonts w:ascii="Times New Roman" w:hAnsi="Times New Roman"/>
          <w:b/>
          <w:bCs/>
        </w:rPr>
        <w:t>B.2.3 Trūkstamų duomenų apskaičiavimas</w:t>
      </w:r>
    </w:p>
    <w:p w14:paraId="772E584F" w14:textId="77777777" w:rsidR="00D74FEE" w:rsidRPr="00D70C7E" w:rsidRDefault="00D74FEE" w:rsidP="00D74FEE">
      <w:pPr>
        <w:spacing w:after="0"/>
        <w:jc w:val="both"/>
        <w:rPr>
          <w:rFonts w:ascii="Times New Roman" w:hAnsi="Times New Roman"/>
        </w:rPr>
      </w:pPr>
      <w:r w:rsidRPr="00D70C7E">
        <w:rPr>
          <w:rFonts w:ascii="Times New Roman" w:hAnsi="Times New Roman"/>
        </w:rPr>
        <w:lastRenderedPageBreak/>
        <w:t xml:space="preserve">Trūkstamiems duomenims apskaičiuoti </w:t>
      </w:r>
      <w:r>
        <w:rPr>
          <w:rFonts w:ascii="Times New Roman" w:hAnsi="Times New Roman"/>
        </w:rPr>
        <w:t>taiko</w:t>
      </w:r>
      <w:r w:rsidRPr="00D70C7E">
        <w:rPr>
          <w:rFonts w:ascii="Times New Roman" w:hAnsi="Times New Roman"/>
        </w:rPr>
        <w:t>mi įvairūs įverčių metodai arba duomenys apskaičiuojami kaip likutinė reikšmė.</w:t>
      </w:r>
    </w:p>
    <w:p w14:paraId="47FECFCD" w14:textId="77777777" w:rsidR="00D74FEE" w:rsidRPr="00D70C7E" w:rsidRDefault="00D74FEE" w:rsidP="00D74FEE">
      <w:pPr>
        <w:spacing w:after="0"/>
        <w:jc w:val="both"/>
        <w:rPr>
          <w:rFonts w:ascii="Times New Roman" w:hAnsi="Times New Roman"/>
        </w:rPr>
      </w:pPr>
      <w:r w:rsidRPr="00D70C7E">
        <w:rPr>
          <w:rFonts w:ascii="Times New Roman" w:hAnsi="Times New Roman"/>
        </w:rPr>
        <w:t>Taikant įverčius apskaičiuojami tik reikšming</w:t>
      </w:r>
      <w:r>
        <w:rPr>
          <w:rFonts w:ascii="Times New Roman" w:hAnsi="Times New Roman"/>
        </w:rPr>
        <w:t>ų reiškinių</w:t>
      </w:r>
      <w:r w:rsidRPr="009A53E9">
        <w:rPr>
          <w:rFonts w:ascii="Times New Roman" w:hAnsi="Times New Roman"/>
        </w:rPr>
        <w:t xml:space="preserve"> </w:t>
      </w:r>
      <w:r w:rsidRPr="00D70C7E">
        <w:rPr>
          <w:rFonts w:ascii="Times New Roman" w:hAnsi="Times New Roman"/>
        </w:rPr>
        <w:t>duomenys</w:t>
      </w:r>
      <w:r>
        <w:rPr>
          <w:rFonts w:ascii="Times New Roman" w:hAnsi="Times New Roman"/>
        </w:rPr>
        <w:t>.</w:t>
      </w:r>
      <w:r w:rsidRPr="00D70C7E">
        <w:rPr>
          <w:rFonts w:ascii="Times New Roman" w:hAnsi="Times New Roman"/>
        </w:rPr>
        <w:t xml:space="preserve"> </w:t>
      </w:r>
      <w:r>
        <w:rPr>
          <w:rFonts w:ascii="Times New Roman" w:hAnsi="Times New Roman"/>
        </w:rPr>
        <w:t xml:space="preserve">Ne tokiems reikšmingiems reiškiniams atvaizduoti </w:t>
      </w:r>
      <w:r w:rsidRPr="00D70C7E">
        <w:rPr>
          <w:rFonts w:ascii="Times New Roman" w:hAnsi="Times New Roman"/>
        </w:rPr>
        <w:t>metiniai duomenys kartojami</w:t>
      </w:r>
      <w:r>
        <w:rPr>
          <w:rFonts w:ascii="Times New Roman" w:hAnsi="Times New Roman"/>
        </w:rPr>
        <w:t xml:space="preserve"> </w:t>
      </w:r>
      <w:r w:rsidRPr="00D70C7E">
        <w:rPr>
          <w:rFonts w:ascii="Times New Roman" w:hAnsi="Times New Roman"/>
        </w:rPr>
        <w:t>ketvirtiniu dažnumu. Taikant įverčius, apskaičiuojami šie rodikliai:</w:t>
      </w:r>
    </w:p>
    <w:p w14:paraId="1576C41E" w14:textId="77777777" w:rsidR="00D74FEE" w:rsidRDefault="00D74FEE" w:rsidP="00D74FEE">
      <w:pPr>
        <w:pStyle w:val="ListParagraph"/>
        <w:numPr>
          <w:ilvl w:val="0"/>
          <w:numId w:val="18"/>
        </w:numPr>
        <w:jc w:val="both"/>
        <w:rPr>
          <w:sz w:val="22"/>
          <w:szCs w:val="22"/>
        </w:rPr>
      </w:pPr>
      <w:r w:rsidRPr="00263DF0">
        <w:rPr>
          <w:sz w:val="22"/>
          <w:szCs w:val="22"/>
        </w:rPr>
        <w:t>grynieji pinigai, kuriuos turi</w:t>
      </w:r>
      <w:r w:rsidRPr="00263DF0">
        <w:rPr>
          <w:sz w:val="22"/>
          <w:szCs w:val="22"/>
          <w:lang w:val="it-IT"/>
        </w:rPr>
        <w:t xml:space="preserve"> </w:t>
      </w:r>
      <w:r w:rsidRPr="00263DF0">
        <w:rPr>
          <w:sz w:val="22"/>
          <w:szCs w:val="22"/>
        </w:rPr>
        <w:t xml:space="preserve">ne finansų bendrovės ir namų ūkiai. </w:t>
      </w:r>
      <w:r>
        <w:rPr>
          <w:sz w:val="22"/>
          <w:szCs w:val="22"/>
        </w:rPr>
        <w:t>Grynųjų pinigų paskirstymui tarp šių sektorių naudojama pervedamųjų indėlių struktūra;</w:t>
      </w:r>
    </w:p>
    <w:p w14:paraId="084E61CF" w14:textId="77777777" w:rsidR="00D74FEE" w:rsidRPr="00263DF0" w:rsidRDefault="00D74FEE" w:rsidP="00D74FEE">
      <w:pPr>
        <w:pStyle w:val="ListParagraph"/>
        <w:numPr>
          <w:ilvl w:val="0"/>
          <w:numId w:val="18"/>
        </w:numPr>
        <w:jc w:val="both"/>
        <w:rPr>
          <w:sz w:val="22"/>
          <w:szCs w:val="22"/>
        </w:rPr>
      </w:pPr>
      <w:r w:rsidRPr="00263DF0">
        <w:rPr>
          <w:sz w:val="22"/>
          <w:szCs w:val="22"/>
        </w:rPr>
        <w:t>kiti nuosavybės vertybiniai popieriai, kuriuos turi ne finansų bendrovės ir namų ūkiai</w:t>
      </w:r>
      <w:r>
        <w:rPr>
          <w:sz w:val="22"/>
          <w:szCs w:val="22"/>
        </w:rPr>
        <w:t>. Šiems duomenims apskaičiuoti naudojama ne finansų bendrovių metinio statistinio tyrimo informacija;</w:t>
      </w:r>
    </w:p>
    <w:p w14:paraId="420AEA70" w14:textId="77777777" w:rsidR="00D74FEE" w:rsidRPr="00C4389C" w:rsidRDefault="00D74FEE" w:rsidP="00D74FEE">
      <w:pPr>
        <w:pStyle w:val="ListParagraph"/>
        <w:numPr>
          <w:ilvl w:val="0"/>
          <w:numId w:val="18"/>
        </w:numPr>
        <w:jc w:val="both"/>
        <w:rPr>
          <w:sz w:val="22"/>
          <w:szCs w:val="22"/>
        </w:rPr>
      </w:pPr>
      <w:r w:rsidRPr="00C4389C">
        <w:rPr>
          <w:sz w:val="22"/>
          <w:szCs w:val="22"/>
        </w:rPr>
        <w:t>draudimo techninių atidėjinių paskirstymas pagal turėtojo sektorių.</w:t>
      </w:r>
      <w:r>
        <w:rPr>
          <w:sz w:val="22"/>
          <w:szCs w:val="22"/>
        </w:rPr>
        <w:t xml:space="preserve"> Draudimo techniniai atidėjiniai paskirstomi sektoriams naudojant draudimo įmokų duomenis.</w:t>
      </w:r>
    </w:p>
    <w:p w14:paraId="37D092EB" w14:textId="272E7BC7" w:rsidR="00D74FEE" w:rsidRPr="008771CE" w:rsidRDefault="00D74FEE" w:rsidP="00D74FEE">
      <w:pPr>
        <w:spacing w:before="240"/>
        <w:jc w:val="both"/>
        <w:rPr>
          <w:rFonts w:ascii="Times New Roman" w:hAnsi="Times New Roman"/>
          <w:b/>
          <w:bCs/>
        </w:rPr>
      </w:pPr>
      <w:r w:rsidRPr="008771CE">
        <w:rPr>
          <w:rFonts w:ascii="Times New Roman" w:hAnsi="Times New Roman"/>
          <w:b/>
          <w:bCs/>
        </w:rPr>
        <w:t>B.2.4 Duomenų subalansavimas</w:t>
      </w:r>
    </w:p>
    <w:p w14:paraId="57A11F1B" w14:textId="77777777" w:rsidR="00D74FEE" w:rsidRPr="00150971" w:rsidRDefault="00D74FEE" w:rsidP="00D74FEE">
      <w:pPr>
        <w:jc w:val="both"/>
        <w:rPr>
          <w:rFonts w:ascii="Times New Roman" w:hAnsi="Times New Roman"/>
        </w:rPr>
      </w:pPr>
      <w:r w:rsidRPr="00150971">
        <w:rPr>
          <w:rFonts w:ascii="Times New Roman" w:hAnsi="Times New Roman"/>
        </w:rPr>
        <w:t>Horizontalus subalansavimas</w:t>
      </w:r>
    </w:p>
    <w:p w14:paraId="5B333190" w14:textId="3D4F361E" w:rsidR="00D74FEE" w:rsidRDefault="00D74FEE" w:rsidP="00D74FEE">
      <w:pPr>
        <w:spacing w:after="0"/>
        <w:jc w:val="both"/>
        <w:rPr>
          <w:rFonts w:ascii="Times New Roman" w:hAnsi="Times New Roman"/>
        </w:rPr>
      </w:pPr>
      <w:r w:rsidRPr="00B85866">
        <w:rPr>
          <w:rFonts w:ascii="Times New Roman" w:hAnsi="Times New Roman"/>
        </w:rPr>
        <w:t xml:space="preserve">Dvejybinio įrašo sistema ir likutinių reikšmių </w:t>
      </w:r>
      <w:r w:rsidRPr="00D70C7E">
        <w:rPr>
          <w:rFonts w:ascii="Times New Roman" w:hAnsi="Times New Roman"/>
        </w:rPr>
        <w:t>skaičiavimas</w:t>
      </w:r>
      <w:r w:rsidRPr="00B85866">
        <w:rPr>
          <w:rFonts w:ascii="Times New Roman" w:hAnsi="Times New Roman"/>
        </w:rPr>
        <w:t xml:space="preserve"> užtikrina duomenų horizontalų subalansavimą (žr. B.2.2). </w:t>
      </w:r>
      <w:r>
        <w:rPr>
          <w:rFonts w:ascii="Times New Roman" w:hAnsi="Times New Roman"/>
        </w:rPr>
        <w:t xml:space="preserve">Apskaičiuota </w:t>
      </w:r>
      <w:r w:rsidRPr="00E76DD9">
        <w:rPr>
          <w:rFonts w:ascii="Times New Roman" w:hAnsi="Times New Roman"/>
        </w:rPr>
        <w:t>likutinė reikšmė</w:t>
      </w:r>
      <w:r>
        <w:rPr>
          <w:rFonts w:ascii="Times New Roman" w:hAnsi="Times New Roman"/>
        </w:rPr>
        <w:t xml:space="preserve"> </w:t>
      </w:r>
      <w:r w:rsidRPr="00E76DD9">
        <w:rPr>
          <w:rFonts w:ascii="Times New Roman" w:hAnsi="Times New Roman"/>
        </w:rPr>
        <w:t xml:space="preserve">priskiriama </w:t>
      </w:r>
      <w:r>
        <w:rPr>
          <w:rFonts w:ascii="Times New Roman" w:hAnsi="Times New Roman"/>
        </w:rPr>
        <w:t xml:space="preserve">tik </w:t>
      </w:r>
      <w:r w:rsidRPr="00E76DD9">
        <w:rPr>
          <w:rFonts w:ascii="Times New Roman" w:hAnsi="Times New Roman"/>
        </w:rPr>
        <w:t>ne finansų bendrovėms arba namų ūkiams</w:t>
      </w:r>
      <w:r>
        <w:rPr>
          <w:rFonts w:ascii="Times New Roman" w:hAnsi="Times New Roman"/>
        </w:rPr>
        <w:t xml:space="preserve"> (finansinę priemonę žr. duomenų šaltinių schemoje)</w:t>
      </w:r>
      <w:r w:rsidRPr="00E76DD9">
        <w:rPr>
          <w:rFonts w:ascii="Times New Roman" w:hAnsi="Times New Roman"/>
        </w:rPr>
        <w:t>.</w:t>
      </w:r>
    </w:p>
    <w:p w14:paraId="56014A96" w14:textId="77777777" w:rsidR="00D74FEE" w:rsidRDefault="00D74FEE" w:rsidP="00D74FEE">
      <w:pPr>
        <w:spacing w:before="240"/>
        <w:jc w:val="both"/>
        <w:rPr>
          <w:rFonts w:ascii="Times New Roman" w:hAnsi="Times New Roman"/>
        </w:rPr>
      </w:pPr>
      <w:r w:rsidRPr="00E76DD9">
        <w:rPr>
          <w:rFonts w:ascii="Times New Roman" w:hAnsi="Times New Roman"/>
        </w:rPr>
        <w:t xml:space="preserve">Vertikalus subalansavimas </w:t>
      </w:r>
    </w:p>
    <w:p w14:paraId="0A973E34" w14:textId="77777777" w:rsidR="00D74FEE" w:rsidRPr="00D70C7E" w:rsidRDefault="00D74FEE" w:rsidP="00D74FEE">
      <w:pPr>
        <w:jc w:val="both"/>
        <w:rPr>
          <w:rFonts w:ascii="Times New Roman" w:hAnsi="Times New Roman"/>
        </w:rPr>
      </w:pPr>
      <w:r w:rsidRPr="00E76DD9">
        <w:rPr>
          <w:rFonts w:ascii="Times New Roman" w:hAnsi="Times New Roman"/>
        </w:rPr>
        <w:t xml:space="preserve">Kadangi Lietuva nesudaro ketvirtinių nefinansinių sąskaitų, vertikaliai balansuojami tik </w:t>
      </w:r>
      <w:r>
        <w:rPr>
          <w:rFonts w:ascii="Times New Roman" w:hAnsi="Times New Roman"/>
        </w:rPr>
        <w:t>metinių sąskaitų duomenys</w:t>
      </w:r>
      <w:r w:rsidRPr="00E76DD9">
        <w:rPr>
          <w:rFonts w:ascii="Times New Roman" w:hAnsi="Times New Roman"/>
        </w:rPr>
        <w:t>. Kad finansinės sąskaitos būtų subalansuotos su metinėmis nefinansinėmis sąskaitomis, daromos duomenų korekcijos. Dažniausiai koreguojami nebiržinių akcijų (F.512) ir kitų nuosavybės priemonių (F.519) duomenys. Ypač geras duomenų suderinamumas pasiektas valdžios sektoriuje –</w:t>
      </w:r>
      <w:r w:rsidRPr="00D70C7E">
        <w:rPr>
          <w:rFonts w:ascii="Times New Roman" w:hAnsi="Times New Roman"/>
        </w:rPr>
        <w:t xml:space="preserve"> paklaida </w:t>
      </w:r>
      <w:r>
        <w:rPr>
          <w:rFonts w:ascii="Times New Roman" w:hAnsi="Times New Roman"/>
        </w:rPr>
        <w:t xml:space="preserve">yra </w:t>
      </w:r>
      <w:r w:rsidRPr="00D70C7E">
        <w:rPr>
          <w:rFonts w:ascii="Times New Roman" w:hAnsi="Times New Roman"/>
        </w:rPr>
        <w:t xml:space="preserve">ne didesnė kaip 2 proc. ketvirtinio BVP.  </w:t>
      </w:r>
    </w:p>
    <w:p w14:paraId="6739FEF8" w14:textId="22DBF8EA" w:rsidR="00D74FEE" w:rsidRPr="008771CE" w:rsidRDefault="00D74FEE" w:rsidP="00D74FEE">
      <w:pPr>
        <w:jc w:val="both"/>
        <w:rPr>
          <w:rFonts w:ascii="Times New Roman" w:hAnsi="Times New Roman"/>
          <w:b/>
          <w:bCs/>
        </w:rPr>
      </w:pPr>
      <w:r w:rsidRPr="008771CE">
        <w:rPr>
          <w:rFonts w:ascii="Times New Roman" w:hAnsi="Times New Roman"/>
          <w:b/>
          <w:bCs/>
        </w:rPr>
        <w:t>B.2.5 Metinių ir ketvirtinių duomenų suderinimo metodai</w:t>
      </w:r>
    </w:p>
    <w:p w14:paraId="36F76522" w14:textId="32AF0064" w:rsidR="00D74FEE" w:rsidRPr="00467048" w:rsidRDefault="00D74FEE" w:rsidP="00D74FEE">
      <w:pPr>
        <w:jc w:val="both"/>
        <w:rPr>
          <w:rFonts w:ascii="Times New Roman" w:hAnsi="Times New Roman"/>
        </w:rPr>
      </w:pPr>
      <w:bookmarkStart w:id="15" w:name="_Hlk89425351"/>
      <w:r>
        <w:rPr>
          <w:rFonts w:ascii="Times New Roman" w:hAnsi="Times New Roman"/>
        </w:rPr>
        <w:t>Metinės ir ketvirtinės finansinės sąskaitos yra visiškai suderintos, nes m</w:t>
      </w:r>
      <w:r w:rsidRPr="002C06BC">
        <w:rPr>
          <w:rFonts w:ascii="Times New Roman" w:hAnsi="Times New Roman"/>
        </w:rPr>
        <w:t xml:space="preserve">etinės finansinės sąskaitos sudaromos iš ketvirtinių sąskaitų, kaip keturių ketvirčių suma. </w:t>
      </w:r>
      <w:r>
        <w:rPr>
          <w:rFonts w:ascii="Times New Roman" w:hAnsi="Times New Roman"/>
        </w:rPr>
        <w:t xml:space="preserve"> </w:t>
      </w:r>
      <w:bookmarkEnd w:id="15"/>
    </w:p>
    <w:p w14:paraId="4BEF988D" w14:textId="77777777" w:rsidR="00D74FEE" w:rsidRPr="00D70C7E" w:rsidRDefault="00D74FEE" w:rsidP="00833172">
      <w:pPr>
        <w:pStyle w:val="Heading2"/>
        <w:spacing w:before="0"/>
        <w:rPr>
          <w:lang w:val="lt-LT"/>
        </w:rPr>
      </w:pPr>
      <w:r w:rsidRPr="00D70C7E">
        <w:rPr>
          <w:lang w:val="lt-LT"/>
        </w:rPr>
        <w:t>STATISTIKA</w:t>
      </w:r>
    </w:p>
    <w:p w14:paraId="41BC32D6" w14:textId="7EAECF92" w:rsidR="00D74FEE" w:rsidRPr="008771CE" w:rsidRDefault="00D74FEE" w:rsidP="00833172">
      <w:pPr>
        <w:pStyle w:val="Heading3"/>
        <w:numPr>
          <w:ilvl w:val="0"/>
          <w:numId w:val="0"/>
        </w:numPr>
        <w:spacing w:before="0"/>
        <w:rPr>
          <w:b/>
          <w:bCs w:val="0"/>
        </w:rPr>
      </w:pPr>
      <w:bookmarkStart w:id="16" w:name="_Toc422500687"/>
      <w:r w:rsidRPr="008771CE">
        <w:rPr>
          <w:b/>
          <w:bCs w:val="0"/>
        </w:rPr>
        <w:t xml:space="preserve">C.1 CoP11 Tinkamumas / PC11 </w:t>
      </w:r>
      <w:bookmarkEnd w:id="16"/>
      <w:r w:rsidRPr="008771CE">
        <w:rPr>
          <w:b/>
          <w:bCs w:val="0"/>
        </w:rPr>
        <w:t>Tinkamumas</w:t>
      </w:r>
    </w:p>
    <w:p w14:paraId="6BF71EDF" w14:textId="77777777" w:rsidR="00D74FEE" w:rsidRPr="00E76DD9" w:rsidRDefault="00D74FEE" w:rsidP="00D74FEE">
      <w:pPr>
        <w:pStyle w:val="CMFBtextintable"/>
      </w:pPr>
      <w:bookmarkStart w:id="17" w:name="_Toc422500688"/>
      <w:r w:rsidRPr="00761042">
        <w:t>Tarptautiniu mastu finansin</w:t>
      </w:r>
      <w:r w:rsidRPr="00467048">
        <w:t>ių</w:t>
      </w:r>
      <w:r w:rsidRPr="00E76DD9">
        <w:t xml:space="preserve"> sąskaitų duomenys naudojami skaičiuojant MDP rodiklius, taip pat jais rem</w:t>
      </w:r>
      <w:r>
        <w:t>damasi</w:t>
      </w:r>
      <w:r w:rsidRPr="00E76DD9">
        <w:t xml:space="preserve"> Europos sisteminės rizikos valdyba (ESRV; ji rengia rizikos rodiklių lentelę) įvertina ekonomikos pažeidžiamumą ir tarpusavio ryšius finansinio stabilumo tikslais. Euro zonoje finansinių sąskaitų statistika padeda Eurosistemai nustatyti ir įgyvendinti bendrąją pinigų politiką. Ketvirtiniai finansinių sąskaitų duomenys reguliariai perduodami ECB, EBPO ir TAB.</w:t>
      </w:r>
      <w:r>
        <w:t xml:space="preserve"> Vykdant DPSS </w:t>
      </w:r>
      <w:r w:rsidRPr="00A664BD">
        <w:rPr>
          <w:i/>
          <w:iCs/>
        </w:rPr>
        <w:t>Plus</w:t>
      </w:r>
      <w:r>
        <w:t xml:space="preserve"> reikalavimus, ketvirtinių finansinių sąskaitų duomenys skelbiami Nacionaliniame suvestinių duomenų puslapyje.</w:t>
      </w:r>
    </w:p>
    <w:p w14:paraId="026836C5" w14:textId="494AF481" w:rsidR="00D74FEE" w:rsidRPr="00E76DD9" w:rsidRDefault="00D74FEE" w:rsidP="00D74FEE">
      <w:pPr>
        <w:pStyle w:val="CMFBtextintable"/>
      </w:pPr>
      <w:r w:rsidRPr="00E76DD9">
        <w:t xml:space="preserve">Nacionaliniu lygiu metinių finansinių sąskaitų duomenys </w:t>
      </w:r>
      <w:r>
        <w:t>skelbiami po 9 mėnesių metams pasibaigus</w:t>
      </w:r>
      <w:r w:rsidRPr="00E76DD9">
        <w:t>.</w:t>
      </w:r>
      <w:r w:rsidR="008771CE" w:rsidRPr="008771CE">
        <w:t xml:space="preserve"> </w:t>
      </w:r>
      <w:r w:rsidR="008771CE">
        <w:t>I</w:t>
      </w:r>
      <w:r w:rsidR="008771CE" w:rsidRPr="008771CE">
        <w:t xml:space="preserve">šankstiniai metinių </w:t>
      </w:r>
      <w:r w:rsidR="008771CE">
        <w:t xml:space="preserve">finansinių </w:t>
      </w:r>
      <w:r w:rsidR="008771CE" w:rsidRPr="008771CE">
        <w:t>sąskaitų duomenys skelbiami po 95 dienų ataskaitiniams metams pasibaigus.</w:t>
      </w:r>
    </w:p>
    <w:p w14:paraId="7309CA74" w14:textId="2E1F4E13" w:rsidR="00D74FEE" w:rsidRPr="00E76DD9" w:rsidRDefault="00D74FEE" w:rsidP="00D74FEE">
      <w:pPr>
        <w:pStyle w:val="CMFBtextintable"/>
      </w:pPr>
      <w:r w:rsidRPr="00E76DD9">
        <w:t xml:space="preserve">Ketvirtinių finansinių sąskaitų duomenys yra skelbiami </w:t>
      </w:r>
      <w:r>
        <w:t>po 95</w:t>
      </w:r>
      <w:r w:rsidRPr="00E76DD9">
        <w:t xml:space="preserve"> dien</w:t>
      </w:r>
      <w:r>
        <w:t>ų</w:t>
      </w:r>
      <w:r w:rsidRPr="00E76DD9">
        <w:t xml:space="preserve"> ketvirčiui pasibaigus. </w:t>
      </w:r>
      <w:r w:rsidRPr="00D70C7E">
        <w:t>Skelbiant duomenis kartu paskelbiamas ir trumpas statistinis pranešimas</w:t>
      </w:r>
      <w:r>
        <w:t>.</w:t>
      </w:r>
    </w:p>
    <w:p w14:paraId="59A8A865" w14:textId="77777777" w:rsidR="00D74FEE" w:rsidRDefault="00D74FEE" w:rsidP="00D74FEE">
      <w:pPr>
        <w:pStyle w:val="CMFBtextintable"/>
        <w:rPr>
          <w:spacing w:val="-2"/>
        </w:rPr>
      </w:pPr>
      <w:r>
        <w:lastRenderedPageBreak/>
        <w:t>Finansinių sąskaitų</w:t>
      </w:r>
      <w:r w:rsidRPr="00E76DD9">
        <w:t xml:space="preserve"> duomenis daugiausia naudoja valstybės ir savivaldybių institucijos, tarptautinės organizacijos, žiniasklaida, mokslo ir verslo bendruomenės ir studentai. Jų poreikiai, atliekant analizę ir tyrimo darbus, patenkinami nepažeidžiant konfidencialumo principo</w:t>
      </w:r>
      <w:r w:rsidRPr="00E76DD9">
        <w:rPr>
          <w:spacing w:val="-2"/>
        </w:rPr>
        <w:t xml:space="preserve">.  </w:t>
      </w:r>
      <w:r>
        <w:rPr>
          <w:spacing w:val="-2"/>
        </w:rPr>
        <w:t xml:space="preserve"> </w:t>
      </w:r>
    </w:p>
    <w:p w14:paraId="36511CF5" w14:textId="77777777" w:rsidR="00D74FEE" w:rsidRDefault="00D74FEE" w:rsidP="00D74FEE">
      <w:pPr>
        <w:pStyle w:val="CMFBtextintable"/>
        <w:rPr>
          <w:spacing w:val="-2"/>
        </w:rPr>
      </w:pPr>
    </w:p>
    <w:p w14:paraId="60D0BCEB" w14:textId="5B92E596" w:rsidR="00D74FEE" w:rsidRPr="008771CE" w:rsidRDefault="00D74FEE" w:rsidP="00D74FEE">
      <w:pPr>
        <w:autoSpaceDE w:val="0"/>
        <w:autoSpaceDN w:val="0"/>
        <w:adjustRightInd w:val="0"/>
        <w:spacing w:after="0" w:line="240" w:lineRule="auto"/>
        <w:rPr>
          <w:rFonts w:ascii="Times New Roman" w:hAnsi="Times New Roman"/>
          <w:b/>
          <w:bCs/>
          <w:i/>
          <w:iCs/>
          <w:sz w:val="24"/>
          <w:szCs w:val="24"/>
        </w:rPr>
      </w:pPr>
      <w:r w:rsidRPr="008771CE">
        <w:rPr>
          <w:rFonts w:ascii="Times New Roman" w:hAnsi="Times New Roman"/>
          <w:b/>
          <w:bCs/>
          <w:i/>
          <w:iCs/>
          <w:sz w:val="24"/>
          <w:szCs w:val="24"/>
        </w:rPr>
        <w:t>C.2 CoP12 Tikslumas ir patikimumas / PC12 Tikslumas ir patikimumas (įskaitant stabilumą)</w:t>
      </w:r>
    </w:p>
    <w:bookmarkEnd w:id="17"/>
    <w:p w14:paraId="42EC5C03" w14:textId="2D7E8B7A" w:rsidR="00D74FEE" w:rsidRPr="008771CE" w:rsidRDefault="00D74FEE" w:rsidP="00D74FEE">
      <w:pPr>
        <w:pStyle w:val="Heading4"/>
        <w:numPr>
          <w:ilvl w:val="0"/>
          <w:numId w:val="0"/>
        </w:numPr>
        <w:jc w:val="both"/>
        <w:rPr>
          <w:b/>
          <w:u w:val="none"/>
        </w:rPr>
      </w:pPr>
      <w:r w:rsidRPr="008771CE">
        <w:rPr>
          <w:b/>
          <w:u w:val="none"/>
        </w:rPr>
        <w:t xml:space="preserve">C.2.1 Tikslumas ir patikimumas </w:t>
      </w:r>
    </w:p>
    <w:p w14:paraId="0092B45D" w14:textId="6AB994F2" w:rsidR="00D74FEE" w:rsidRDefault="00D74FEE" w:rsidP="00D74FEE">
      <w:pPr>
        <w:spacing w:before="240" w:after="0"/>
        <w:jc w:val="both"/>
        <w:rPr>
          <w:rFonts w:ascii="Times New Roman" w:hAnsi="Times New Roman"/>
        </w:rPr>
      </w:pPr>
      <w:r w:rsidRPr="00E76DD9">
        <w:rPr>
          <w:rFonts w:ascii="Times New Roman" w:hAnsi="Times New Roman"/>
        </w:rPr>
        <w:t>Finansinių sąskaitų tikslumas ir patikimumas priklauso nuo duomenų šaltinių</w:t>
      </w:r>
      <w:r>
        <w:rPr>
          <w:rFonts w:ascii="Times New Roman" w:hAnsi="Times New Roman"/>
        </w:rPr>
        <w:t xml:space="preserve"> kokybės</w:t>
      </w:r>
      <w:r w:rsidRPr="00E76DD9">
        <w:rPr>
          <w:rFonts w:ascii="Times New Roman" w:hAnsi="Times New Roman"/>
        </w:rPr>
        <w:t>, kuri yra gana aukšta</w:t>
      </w:r>
      <w:r w:rsidR="008771CE">
        <w:rPr>
          <w:rFonts w:ascii="Times New Roman" w:hAnsi="Times New Roman"/>
        </w:rPr>
        <w:t>.</w:t>
      </w:r>
      <w:r w:rsidRPr="00E76DD9">
        <w:rPr>
          <w:rFonts w:ascii="Times New Roman" w:hAnsi="Times New Roman"/>
        </w:rPr>
        <w:t xml:space="preserve"> </w:t>
      </w:r>
      <w:r>
        <w:rPr>
          <w:rFonts w:ascii="Times New Roman" w:hAnsi="Times New Roman"/>
        </w:rPr>
        <w:t xml:space="preserve">Duomenų šaltiniai yra </w:t>
      </w:r>
      <w:r w:rsidRPr="00E76DD9">
        <w:rPr>
          <w:rFonts w:ascii="Times New Roman" w:hAnsi="Times New Roman"/>
        </w:rPr>
        <w:t>reguliariai tikrina</w:t>
      </w:r>
      <w:r>
        <w:rPr>
          <w:rFonts w:ascii="Times New Roman" w:hAnsi="Times New Roman"/>
        </w:rPr>
        <w:t>ma</w:t>
      </w:r>
      <w:r w:rsidRPr="00E76DD9">
        <w:rPr>
          <w:rFonts w:ascii="Times New Roman" w:hAnsi="Times New Roman"/>
        </w:rPr>
        <w:t xml:space="preserve">. </w:t>
      </w:r>
      <w:r>
        <w:rPr>
          <w:rFonts w:ascii="Times New Roman" w:hAnsi="Times New Roman"/>
        </w:rPr>
        <w:t>Kad būtų užtikrintas duomenų patikimumas,</w:t>
      </w:r>
      <w:r w:rsidRPr="00E76DD9">
        <w:rPr>
          <w:rFonts w:ascii="Times New Roman" w:hAnsi="Times New Roman"/>
        </w:rPr>
        <w:t xml:space="preserve">  finansinių sąskaitų sudarymo informacinėje sistemoje yra įdiegta daug duomenų tikrinimo taisyklių. Be to, duomenys papildomai tikrinami prieš juos perduodant ECB</w:t>
      </w:r>
      <w:r>
        <w:rPr>
          <w:rFonts w:ascii="Times New Roman" w:hAnsi="Times New Roman"/>
        </w:rPr>
        <w:t xml:space="preserve"> ir Eurostatui</w:t>
      </w:r>
      <w:r w:rsidRPr="00E76DD9">
        <w:rPr>
          <w:rFonts w:ascii="Times New Roman" w:hAnsi="Times New Roman"/>
        </w:rPr>
        <w:t xml:space="preserve">. </w:t>
      </w:r>
    </w:p>
    <w:p w14:paraId="171DFC06" w14:textId="77777777" w:rsidR="00D74FEE" w:rsidRPr="00B85866" w:rsidRDefault="00D74FEE" w:rsidP="00D74FEE">
      <w:pPr>
        <w:jc w:val="both"/>
        <w:rPr>
          <w:rFonts w:ascii="Times New Roman" w:hAnsi="Times New Roman"/>
        </w:rPr>
      </w:pPr>
      <w:r w:rsidRPr="00E76DD9">
        <w:rPr>
          <w:rFonts w:ascii="Times New Roman" w:hAnsi="Times New Roman"/>
        </w:rPr>
        <w:t>K</w:t>
      </w:r>
      <w:r>
        <w:rPr>
          <w:rFonts w:ascii="Times New Roman" w:hAnsi="Times New Roman"/>
        </w:rPr>
        <w:t xml:space="preserve">artu su duomenimis ECB ir Eurostatui pateikiami </w:t>
      </w:r>
      <w:r w:rsidRPr="00E76DD9">
        <w:rPr>
          <w:rFonts w:ascii="Times New Roman" w:hAnsi="Times New Roman"/>
        </w:rPr>
        <w:t>metaduomen</w:t>
      </w:r>
      <w:r>
        <w:rPr>
          <w:rFonts w:ascii="Times New Roman" w:hAnsi="Times New Roman"/>
        </w:rPr>
        <w:t>ys</w:t>
      </w:r>
      <w:r w:rsidRPr="00E76DD9">
        <w:rPr>
          <w:rFonts w:ascii="Times New Roman" w:hAnsi="Times New Roman"/>
        </w:rPr>
        <w:t xml:space="preserve"> </w:t>
      </w:r>
      <w:r>
        <w:rPr>
          <w:rFonts w:ascii="Times New Roman" w:hAnsi="Times New Roman"/>
        </w:rPr>
        <w:t>–</w:t>
      </w:r>
      <w:r w:rsidRPr="00E76DD9">
        <w:rPr>
          <w:rFonts w:ascii="Times New Roman" w:hAnsi="Times New Roman"/>
        </w:rPr>
        <w:t xml:space="preserve"> esminių įvykių bei duomenų revizijų paaiškinimai. </w:t>
      </w:r>
      <w:r>
        <w:rPr>
          <w:rFonts w:ascii="Times New Roman" w:hAnsi="Times New Roman"/>
        </w:rPr>
        <w:t xml:space="preserve">Finansinių sąskaitų duomenis, </w:t>
      </w:r>
      <w:r w:rsidRPr="00B85866">
        <w:rPr>
          <w:rFonts w:ascii="Times New Roman" w:hAnsi="Times New Roman"/>
        </w:rPr>
        <w:t>prieš j</w:t>
      </w:r>
      <w:r>
        <w:rPr>
          <w:rFonts w:ascii="Times New Roman" w:hAnsi="Times New Roman"/>
        </w:rPr>
        <w:t>uos</w:t>
      </w:r>
      <w:r w:rsidRPr="00B85866">
        <w:rPr>
          <w:rFonts w:ascii="Times New Roman" w:hAnsi="Times New Roman"/>
        </w:rPr>
        <w:t xml:space="preserve"> paskelbi</w:t>
      </w:r>
      <w:r>
        <w:rPr>
          <w:rFonts w:ascii="Times New Roman" w:hAnsi="Times New Roman"/>
        </w:rPr>
        <w:t xml:space="preserve">ant, taip pat </w:t>
      </w:r>
      <w:r w:rsidRPr="00150971">
        <w:rPr>
          <w:rFonts w:ascii="Times New Roman" w:hAnsi="Times New Roman"/>
        </w:rPr>
        <w:t>tikrina ECB</w:t>
      </w:r>
      <w:r w:rsidRPr="00AA1B7E">
        <w:rPr>
          <w:rFonts w:ascii="Times New Roman" w:hAnsi="Times New Roman"/>
        </w:rPr>
        <w:t xml:space="preserve"> </w:t>
      </w:r>
      <w:r w:rsidRPr="00150971">
        <w:rPr>
          <w:rFonts w:ascii="Times New Roman" w:hAnsi="Times New Roman"/>
        </w:rPr>
        <w:t>ir</w:t>
      </w:r>
      <w:r w:rsidRPr="00AA1B7E">
        <w:rPr>
          <w:rFonts w:ascii="Times New Roman" w:hAnsi="Times New Roman"/>
        </w:rPr>
        <w:t xml:space="preserve"> </w:t>
      </w:r>
      <w:r w:rsidRPr="00150971">
        <w:rPr>
          <w:rFonts w:ascii="Times New Roman" w:hAnsi="Times New Roman"/>
        </w:rPr>
        <w:t>Eurostatas</w:t>
      </w:r>
      <w:r>
        <w:rPr>
          <w:rFonts w:ascii="Times New Roman" w:hAnsi="Times New Roman"/>
        </w:rPr>
        <w:t>.</w:t>
      </w:r>
    </w:p>
    <w:p w14:paraId="745A3A69" w14:textId="2A10381F" w:rsidR="00D74FEE" w:rsidRPr="004C6AE5" w:rsidRDefault="00D74FEE" w:rsidP="00D74FEE">
      <w:pPr>
        <w:pStyle w:val="Heading4"/>
        <w:numPr>
          <w:ilvl w:val="0"/>
          <w:numId w:val="0"/>
        </w:numPr>
        <w:jc w:val="both"/>
        <w:rPr>
          <w:b/>
          <w:bCs w:val="0"/>
          <w:u w:val="none"/>
        </w:rPr>
      </w:pPr>
      <w:r w:rsidRPr="004C6AE5">
        <w:rPr>
          <w:b/>
          <w:bCs w:val="0"/>
          <w:u w:val="none"/>
        </w:rPr>
        <w:t>C.2.2 Vidinis suderinamumas</w:t>
      </w:r>
    </w:p>
    <w:p w14:paraId="447FB762" w14:textId="77777777" w:rsidR="00D74FEE" w:rsidRPr="00E76DD9" w:rsidRDefault="00D74FEE" w:rsidP="00D74FEE">
      <w:pPr>
        <w:pStyle w:val="CMFBtextintable"/>
        <w:spacing w:before="240"/>
      </w:pPr>
      <w:r w:rsidRPr="00E76DD9">
        <w:t>Finansinė</w:t>
      </w:r>
      <w:r>
        <w:t>s sąskaitos sudaromos principu „</w:t>
      </w:r>
      <w:r w:rsidRPr="001A6095">
        <w:t>kas</w:t>
      </w:r>
      <w:r>
        <w:t xml:space="preserve"> </w:t>
      </w:r>
      <w:r w:rsidRPr="001A6095">
        <w:t>kam</w:t>
      </w:r>
      <w:r>
        <w:t>“</w:t>
      </w:r>
      <w:r w:rsidRPr="00E76DD9">
        <w:t>. Kiekvienas sandoris į sąskaitas įrašomas du kartus, į abi susijusias sandorio puses</w:t>
      </w:r>
      <w:r>
        <w:t xml:space="preserve"> – </w:t>
      </w:r>
      <w:r w:rsidRPr="00E76DD9">
        <w:t>tokia pa</w:t>
      </w:r>
      <w:r>
        <w:t>ti</w:t>
      </w:r>
      <w:r w:rsidRPr="00E76DD9">
        <w:t xml:space="preserve"> suma</w:t>
      </w:r>
      <w:r>
        <w:t xml:space="preserve"> įrašoma</w:t>
      </w:r>
      <w:r w:rsidRPr="00E76DD9">
        <w:t xml:space="preserve"> turto ir įsipareigojimų pusė</w:t>
      </w:r>
      <w:r>
        <w:t>s</w:t>
      </w:r>
      <w:r w:rsidRPr="00E76DD9">
        <w:t>e. Tokia dvejybinio įrašo sistema užtikrina finansinių sąskaitų duomenų suderinamumą ir atitinka šią lygybę:</w:t>
      </w:r>
    </w:p>
    <w:p w14:paraId="72AAF5C0" w14:textId="77777777" w:rsidR="00D74FEE" w:rsidRPr="00E76DD9" w:rsidRDefault="00D74FEE" w:rsidP="00D74FEE">
      <w:pPr>
        <w:pStyle w:val="CMFBtextintable"/>
      </w:pPr>
      <w:r w:rsidRPr="00E76DD9">
        <w:t xml:space="preserve">Σ </w:t>
      </w:r>
      <w:r>
        <w:t>Turto s</w:t>
      </w:r>
      <w:r w:rsidRPr="00E76DD9">
        <w:t xml:space="preserve">andoriai = Σ </w:t>
      </w:r>
      <w:r>
        <w:t>Įsipareigojimų sandoriai</w:t>
      </w:r>
    </w:p>
    <w:p w14:paraId="23A2CE13" w14:textId="77777777" w:rsidR="00D74FEE" w:rsidRPr="00E76DD9" w:rsidRDefault="00D74FEE" w:rsidP="00D74FEE">
      <w:pPr>
        <w:pStyle w:val="CMFBtextintable"/>
      </w:pPr>
      <w:r w:rsidRPr="00E76DD9">
        <w:t>Taip pat yra užtikrinamas duomenų suderinamumas</w:t>
      </w:r>
      <w:r>
        <w:t xml:space="preserve"> tarp </w:t>
      </w:r>
      <w:r w:rsidRPr="00E76DD9">
        <w:t xml:space="preserve">sandorių, likučių, perkainojimo ir kitų </w:t>
      </w:r>
      <w:r>
        <w:t>vertės pasikeitimų.</w:t>
      </w:r>
    </w:p>
    <w:p w14:paraId="37C8642D" w14:textId="77777777" w:rsidR="00D74FEE" w:rsidRPr="00E76DD9" w:rsidRDefault="00D74FEE" w:rsidP="00D74FEE">
      <w:pPr>
        <w:pStyle w:val="CMFBtextintable"/>
      </w:pPr>
      <w:r w:rsidRPr="00E76DD9">
        <w:t xml:space="preserve">Vidinis duomenų suderinamumas papildomai tikrinamas prieš duomenis siunčiant į Eurostatą ir ECB. </w:t>
      </w:r>
    </w:p>
    <w:p w14:paraId="1DB7F1CF" w14:textId="4B45D7B3" w:rsidR="00D74FEE" w:rsidRPr="004C6AE5" w:rsidRDefault="00D74FEE" w:rsidP="00833172">
      <w:pPr>
        <w:pStyle w:val="Heading3"/>
        <w:numPr>
          <w:ilvl w:val="0"/>
          <w:numId w:val="0"/>
        </w:numPr>
        <w:spacing w:before="0"/>
        <w:rPr>
          <w:b/>
          <w:bCs w:val="0"/>
        </w:rPr>
      </w:pPr>
      <w:bookmarkStart w:id="18" w:name="_Toc422500689"/>
      <w:r w:rsidRPr="004C6AE5">
        <w:rPr>
          <w:b/>
          <w:bCs w:val="0"/>
        </w:rPr>
        <w:t xml:space="preserve">C.3 CoP13 Savalaikiškumas ir punktualumas / PC13 </w:t>
      </w:r>
      <w:bookmarkEnd w:id="18"/>
      <w:r w:rsidRPr="004C6AE5">
        <w:rPr>
          <w:b/>
          <w:bCs w:val="0"/>
        </w:rPr>
        <w:t>Savalaikiškumas ir punktualumas</w:t>
      </w:r>
    </w:p>
    <w:p w14:paraId="34C45569" w14:textId="5170D115" w:rsidR="00D74FEE" w:rsidRPr="004C6AE5" w:rsidRDefault="00D74FEE" w:rsidP="00D74FEE">
      <w:pPr>
        <w:pStyle w:val="Heading4"/>
        <w:numPr>
          <w:ilvl w:val="0"/>
          <w:numId w:val="0"/>
        </w:numPr>
        <w:jc w:val="both"/>
        <w:rPr>
          <w:b/>
          <w:bCs w:val="0"/>
          <w:u w:val="none"/>
        </w:rPr>
      </w:pPr>
      <w:r w:rsidRPr="004C6AE5">
        <w:rPr>
          <w:b/>
          <w:bCs w:val="0"/>
          <w:u w:val="none"/>
        </w:rPr>
        <w:t>C.3.1 Nacionaliniai reikalavimai</w:t>
      </w:r>
    </w:p>
    <w:p w14:paraId="6B0D745C" w14:textId="77777777" w:rsidR="00D74FEE" w:rsidRDefault="00D74FEE" w:rsidP="00D74FEE">
      <w:pPr>
        <w:pStyle w:val="CMFBtextintable"/>
        <w:spacing w:before="240" w:after="0"/>
      </w:pPr>
      <w:r>
        <w:t>LB skelbia ketvirtines ir metines finansines sąskaitas.</w:t>
      </w:r>
    </w:p>
    <w:p w14:paraId="7E35D7BE" w14:textId="7011F169" w:rsidR="00D74FEE" w:rsidRPr="00467048" w:rsidRDefault="00D74FEE" w:rsidP="00D74FEE">
      <w:pPr>
        <w:pStyle w:val="CMFBtextintable"/>
        <w:spacing w:after="0"/>
      </w:pPr>
      <w:r>
        <w:t>K</w:t>
      </w:r>
      <w:r w:rsidRPr="00B85866">
        <w:t>etvirtin</w:t>
      </w:r>
      <w:r>
        <w:t>ė</w:t>
      </w:r>
      <w:r w:rsidRPr="00B85866">
        <w:t>s finansin</w:t>
      </w:r>
      <w:r>
        <w:t>ė</w:t>
      </w:r>
      <w:r w:rsidRPr="00B85866">
        <w:t>s sąskait</w:t>
      </w:r>
      <w:r>
        <w:t>o</w:t>
      </w:r>
      <w:r w:rsidRPr="00B85866">
        <w:t>s skelbia</w:t>
      </w:r>
      <w:r>
        <w:t>mos</w:t>
      </w:r>
      <w:r w:rsidRPr="00B85866">
        <w:t xml:space="preserve"> </w:t>
      </w:r>
      <w:r w:rsidRPr="00761042">
        <w:t xml:space="preserve">po </w:t>
      </w:r>
      <w:r>
        <w:t>95</w:t>
      </w:r>
      <w:r w:rsidRPr="00761042">
        <w:t xml:space="preserve"> dienų ataskaitiniam ketvirčiui pasibaigus</w:t>
      </w:r>
      <w:r w:rsidRPr="00467048">
        <w:t>.</w:t>
      </w:r>
    </w:p>
    <w:p w14:paraId="72A28AA2" w14:textId="6CFFCF62" w:rsidR="00D74FEE" w:rsidRDefault="00D74FEE" w:rsidP="00D74FEE">
      <w:pPr>
        <w:pStyle w:val="CMFBtextintable"/>
        <w:spacing w:after="0"/>
      </w:pPr>
      <w:r>
        <w:t>M</w:t>
      </w:r>
      <w:r w:rsidRPr="00E76DD9">
        <w:t>etin</w:t>
      </w:r>
      <w:r>
        <w:t>ė</w:t>
      </w:r>
      <w:r w:rsidRPr="00E76DD9">
        <w:t>s finansin</w:t>
      </w:r>
      <w:r>
        <w:t>ė</w:t>
      </w:r>
      <w:r w:rsidRPr="00E76DD9">
        <w:t>s sąskait</w:t>
      </w:r>
      <w:r>
        <w:t>o</w:t>
      </w:r>
      <w:r w:rsidRPr="00E76DD9">
        <w:t>s skelbia</w:t>
      </w:r>
      <w:r>
        <w:t>mos</w:t>
      </w:r>
      <w:r w:rsidRPr="00E76DD9">
        <w:t xml:space="preserve"> po </w:t>
      </w:r>
      <w:r>
        <w:t>9</w:t>
      </w:r>
      <w:r w:rsidRPr="00E76DD9">
        <w:t xml:space="preserve"> mėnesių ataskaitiniams metams pasibaigus. </w:t>
      </w:r>
      <w:r w:rsidR="004C6AE5" w:rsidRPr="004C6AE5">
        <w:t>Išankstiniai metinių finansinių sąskaitų duomenys skelbiami po 95 dienų ataskaitiniams metams pasibaigus.</w:t>
      </w:r>
    </w:p>
    <w:p w14:paraId="60AD575E" w14:textId="77777777" w:rsidR="00D74FEE" w:rsidRPr="00E76DD9" w:rsidRDefault="00D74FEE" w:rsidP="00D74FEE">
      <w:pPr>
        <w:pStyle w:val="CMFBtextintable"/>
        <w:spacing w:after="0"/>
      </w:pPr>
      <w:r>
        <w:t xml:space="preserve">VDA </w:t>
      </w:r>
      <w:r w:rsidRPr="00E76DD9">
        <w:t xml:space="preserve">KVSFS </w:t>
      </w:r>
      <w:r>
        <w:t>skelbia</w:t>
      </w:r>
      <w:r w:rsidRPr="00E76DD9" w:rsidDel="00AA1B7E">
        <w:t xml:space="preserve"> </w:t>
      </w:r>
      <w:r w:rsidRPr="00E76DD9">
        <w:t>po 93 dienų ataskaitiniam ketvirčiui pasibaigus.</w:t>
      </w:r>
    </w:p>
    <w:p w14:paraId="74FDAE5A" w14:textId="2CC3C56F" w:rsidR="00D74FEE" w:rsidRPr="004C6AE5" w:rsidRDefault="00D74FEE" w:rsidP="00D74FEE">
      <w:pPr>
        <w:pStyle w:val="Heading4"/>
        <w:numPr>
          <w:ilvl w:val="0"/>
          <w:numId w:val="0"/>
        </w:numPr>
        <w:jc w:val="both"/>
        <w:rPr>
          <w:b/>
          <w:bCs w:val="0"/>
          <w:u w:val="none"/>
        </w:rPr>
      </w:pPr>
      <w:r w:rsidRPr="004C6AE5">
        <w:rPr>
          <w:b/>
          <w:bCs w:val="0"/>
          <w:u w:val="none"/>
        </w:rPr>
        <w:t>C.3.2 Tarptautiniai reikalavimai</w:t>
      </w:r>
    </w:p>
    <w:p w14:paraId="4316A08A" w14:textId="77777777" w:rsidR="00D74FEE" w:rsidRDefault="00D74FEE" w:rsidP="00D74FEE">
      <w:pPr>
        <w:pStyle w:val="CMFBtextintable"/>
        <w:spacing w:before="240"/>
      </w:pPr>
      <w:r>
        <w:t>M</w:t>
      </w:r>
      <w:r w:rsidRPr="00E76DD9">
        <w:t>etini</w:t>
      </w:r>
      <w:r>
        <w:t xml:space="preserve">ai finansinių sąskaitų duomenys </w:t>
      </w:r>
      <w:r w:rsidRPr="00E76DD9">
        <w:t>pagal ESS 2010 duomenų perdavimo programą teik</w:t>
      </w:r>
      <w:r>
        <w:t>iami</w:t>
      </w:r>
      <w:r w:rsidRPr="00E76DD9">
        <w:t xml:space="preserve"> t+9 (po 9 mėnesių ataskaitiniams metams pasibaigus). </w:t>
      </w:r>
    </w:p>
    <w:p w14:paraId="5619B30F" w14:textId="77777777" w:rsidR="00D74FEE" w:rsidRPr="00E76DD9" w:rsidRDefault="00D74FEE" w:rsidP="00D74FEE">
      <w:pPr>
        <w:pStyle w:val="CMFBtextintable"/>
      </w:pPr>
      <w:r>
        <w:t xml:space="preserve">Ketvirtiniai finansinių sąskaitų duomenys pagal ECB gaires </w:t>
      </w:r>
      <w:r w:rsidRPr="00E76DD9">
        <w:t>teikiami t+85</w:t>
      </w:r>
      <w:r>
        <w:t xml:space="preserve"> </w:t>
      </w:r>
      <w:r w:rsidRPr="00761042">
        <w:t>(</w:t>
      </w:r>
      <w:r>
        <w:t>išankstiniai duomenys</w:t>
      </w:r>
      <w:r w:rsidRPr="00E76DD9">
        <w:t>)</w:t>
      </w:r>
      <w:r>
        <w:t xml:space="preserve"> ir t+97 (galutiniai duomenys).</w:t>
      </w:r>
    </w:p>
    <w:p w14:paraId="32F739FD" w14:textId="77777777" w:rsidR="00D74FEE" w:rsidRDefault="00D74FEE" w:rsidP="00D74FEE">
      <w:pPr>
        <w:pStyle w:val="CMFBtextintable"/>
      </w:pPr>
      <w:r w:rsidRPr="00E76DD9">
        <w:t xml:space="preserve">KVSFS duomenys </w:t>
      </w:r>
      <w:r w:rsidRPr="00AA1B7E">
        <w:t xml:space="preserve">pagal ESS 2010 duomenų perdavimo programą </w:t>
      </w:r>
      <w:r w:rsidRPr="00E76DD9">
        <w:t xml:space="preserve">teikiami t+85 (po 85 dienų ataskaitiniam ketvirčiui pasibaigus). </w:t>
      </w:r>
    </w:p>
    <w:p w14:paraId="51787C32" w14:textId="6D7A0BAA" w:rsidR="00D74FEE" w:rsidRPr="004C6AE5" w:rsidRDefault="00D74FEE" w:rsidP="00833172">
      <w:pPr>
        <w:pStyle w:val="Heading3"/>
        <w:numPr>
          <w:ilvl w:val="0"/>
          <w:numId w:val="0"/>
        </w:numPr>
        <w:spacing w:before="0"/>
        <w:rPr>
          <w:b/>
          <w:bCs w:val="0"/>
        </w:rPr>
      </w:pPr>
      <w:r w:rsidRPr="004C6AE5">
        <w:rPr>
          <w:b/>
          <w:bCs w:val="0"/>
        </w:rPr>
        <w:lastRenderedPageBreak/>
        <w:t xml:space="preserve">C.4 </w:t>
      </w:r>
      <w:bookmarkStart w:id="19" w:name="_Toc422500690"/>
      <w:r w:rsidRPr="004C6AE5">
        <w:rPr>
          <w:b/>
          <w:bCs w:val="0"/>
        </w:rPr>
        <w:t>CoP14 Suderinamumas ir palyginamumas / PC14 Suderinamumas ir palyginamumas</w:t>
      </w:r>
      <w:bookmarkEnd w:id="19"/>
    </w:p>
    <w:p w14:paraId="1641697A" w14:textId="7E1E5883" w:rsidR="00D74FEE" w:rsidRPr="004C6AE5" w:rsidRDefault="00D74FEE" w:rsidP="00D74FEE">
      <w:pPr>
        <w:pStyle w:val="Heading4"/>
        <w:numPr>
          <w:ilvl w:val="0"/>
          <w:numId w:val="0"/>
        </w:numPr>
        <w:jc w:val="both"/>
        <w:rPr>
          <w:b/>
          <w:bCs w:val="0"/>
          <w:u w:val="none"/>
        </w:rPr>
      </w:pPr>
      <w:r w:rsidRPr="004C6AE5">
        <w:rPr>
          <w:b/>
          <w:bCs w:val="0"/>
          <w:u w:val="none"/>
        </w:rPr>
        <w:t xml:space="preserve">C.4.1 Suderinamumas su susijusia statistika </w:t>
      </w:r>
    </w:p>
    <w:p w14:paraId="66782298" w14:textId="77777777" w:rsidR="00D74FEE" w:rsidRDefault="00D74FEE" w:rsidP="00D74FEE">
      <w:pPr>
        <w:pStyle w:val="CMFBtextintable"/>
        <w:spacing w:before="240" w:after="0"/>
      </w:pPr>
      <w:r w:rsidRPr="00E76DD9">
        <w:t xml:space="preserve">Ketvirtinės </w:t>
      </w:r>
      <w:r>
        <w:t xml:space="preserve">ir metinės </w:t>
      </w:r>
      <w:r w:rsidRPr="00E76DD9">
        <w:t xml:space="preserve">finansinės sąskaitos </w:t>
      </w:r>
      <w:r w:rsidRPr="00150971">
        <w:t xml:space="preserve">yra suderintos su </w:t>
      </w:r>
      <w:r>
        <w:t>pinigų finansų įstaigų, draudimo bendrovių</w:t>
      </w:r>
      <w:r w:rsidRPr="00150971">
        <w:t xml:space="preserve">, </w:t>
      </w:r>
      <w:r>
        <w:t xml:space="preserve">vertybinių popierių turėtojų ir mokėjimų balanso </w:t>
      </w:r>
      <w:r w:rsidRPr="00B85866">
        <w:t>statistik</w:t>
      </w:r>
      <w:r>
        <w:t>omis</w:t>
      </w:r>
      <w:r w:rsidRPr="00B85866">
        <w:t xml:space="preserve">. </w:t>
      </w:r>
      <w:r w:rsidRPr="00761042">
        <w:t>Ne</w:t>
      </w:r>
      <w:r>
        <w:t>didelių</w:t>
      </w:r>
      <w:r w:rsidRPr="00467048">
        <w:t xml:space="preserve"> paklaid</w:t>
      </w:r>
      <w:r>
        <w:t>ų</w:t>
      </w:r>
      <w:r w:rsidRPr="00E76DD9">
        <w:t xml:space="preserve"> gali būti dėl duomenų šaltinių pirmenybės</w:t>
      </w:r>
      <w:r>
        <w:t xml:space="preserve"> ir skirtingo atitinkamos statistikos sudarymo laiko</w:t>
      </w:r>
      <w:r w:rsidRPr="00E76DD9">
        <w:t>.</w:t>
      </w:r>
      <w:r>
        <w:t xml:space="preserve"> </w:t>
      </w:r>
    </w:p>
    <w:p w14:paraId="1770C474" w14:textId="14F8DCE9" w:rsidR="00D74FEE" w:rsidRDefault="004C6AE5" w:rsidP="00D74FEE">
      <w:pPr>
        <w:pStyle w:val="CMFBtextintable"/>
        <w:spacing w:after="0"/>
      </w:pPr>
      <w:r w:rsidRPr="004C6AE5">
        <w:t xml:space="preserve">Kadangi Lietuva nesudaro ketvirtinių nefinansinių sąskaitų, vertikaliai balansuojami tik metinių sąskaitų duomenys. Kad finansinės sąskaitos būtų subalansuotos su metinėmis nefinansinėmis sąskaitomis, daromos duomenų korekcijos. Dažniausiai koreguojami nebiržinių akcijų (F.512) ir kitų nuosavybės priemonių (F.519) duomenys. Ypač geras duomenų suderinamumas pasiektas valdžios sektoriuje – paklaida yra ne didesnė kaip 2 proc. ketvirtinio BVP.  </w:t>
      </w:r>
    </w:p>
    <w:p w14:paraId="6F62084B" w14:textId="77777777" w:rsidR="00D74FEE" w:rsidRDefault="00D74FEE" w:rsidP="00D74FEE">
      <w:pPr>
        <w:pStyle w:val="CMFBtextintable"/>
        <w:spacing w:after="0"/>
      </w:pPr>
    </w:p>
    <w:p w14:paraId="1EE50FDF" w14:textId="77777777" w:rsidR="00D74FEE" w:rsidRPr="00357FFD" w:rsidRDefault="00D74FEE" w:rsidP="00D74FEE">
      <w:pPr>
        <w:spacing w:after="0"/>
        <w:jc w:val="both"/>
        <w:rPr>
          <w:rFonts w:ascii="Times New Roman" w:hAnsi="Times New Roman"/>
        </w:rPr>
      </w:pPr>
      <w:r w:rsidRPr="00FA1782">
        <w:rPr>
          <w:rFonts w:ascii="Times New Roman" w:hAnsi="Times New Roman"/>
        </w:rPr>
        <w:t>Maksimali leistina paklaida tarp  finansinių ir nefinansinių sąskaitų:</w:t>
      </w:r>
    </w:p>
    <w:tbl>
      <w:tblPr>
        <w:tblStyle w:val="TableGrid1"/>
        <w:tblW w:w="9524" w:type="dxa"/>
        <w:tblLook w:val="04A0" w:firstRow="1" w:lastRow="0" w:firstColumn="1" w:lastColumn="0" w:noHBand="0" w:noVBand="1"/>
      </w:tblPr>
      <w:tblGrid>
        <w:gridCol w:w="1654"/>
        <w:gridCol w:w="1600"/>
        <w:gridCol w:w="1558"/>
        <w:gridCol w:w="1699"/>
        <w:gridCol w:w="1416"/>
        <w:gridCol w:w="1597"/>
      </w:tblGrid>
      <w:tr w:rsidR="00D74FEE" w:rsidRPr="00FA1782" w14:paraId="49B32C84" w14:textId="77777777" w:rsidTr="000D4706">
        <w:tc>
          <w:tcPr>
            <w:tcW w:w="1654" w:type="dxa"/>
            <w:vMerge w:val="restart"/>
          </w:tcPr>
          <w:p w14:paraId="549EA3C5" w14:textId="3E703D0A" w:rsidR="00D74FEE" w:rsidRPr="00357FFD" w:rsidRDefault="004C6AE5" w:rsidP="000D4706">
            <w:pPr>
              <w:spacing w:after="0"/>
              <w:rPr>
                <w:rFonts w:ascii="Times New Roman" w:hAnsi="Times New Roman"/>
              </w:rPr>
            </w:pPr>
            <w:r>
              <w:rPr>
                <w:rFonts w:ascii="Times New Roman" w:hAnsi="Times New Roman"/>
              </w:rPr>
              <w:t>A</w:t>
            </w:r>
            <w:r w:rsidR="00D74FEE" w:rsidRPr="00FA1782">
              <w:rPr>
                <w:rFonts w:ascii="Times New Roman" w:hAnsi="Times New Roman"/>
              </w:rPr>
              <w:t>tliekamas subalansavimas, kad pagerinti vertikalų duomenų suderinamumą</w:t>
            </w:r>
          </w:p>
        </w:tc>
        <w:tc>
          <w:tcPr>
            <w:tcW w:w="6279" w:type="dxa"/>
            <w:gridSpan w:val="4"/>
          </w:tcPr>
          <w:p w14:paraId="64FD9A86" w14:textId="2A3F8840" w:rsidR="00D74FEE" w:rsidRPr="00357FFD" w:rsidRDefault="00D74FEE" w:rsidP="000D4706">
            <w:pPr>
              <w:spacing w:after="0"/>
              <w:rPr>
                <w:rFonts w:ascii="Times New Roman" w:hAnsi="Times New Roman"/>
              </w:rPr>
            </w:pPr>
            <w:r w:rsidRPr="00FA1782">
              <w:rPr>
                <w:rFonts w:ascii="Times New Roman" w:hAnsi="Times New Roman"/>
              </w:rPr>
              <w:t>Maksimali leistina paklaida tarp finansinių ir nefinansinių sąskaitų</w:t>
            </w:r>
          </w:p>
        </w:tc>
        <w:tc>
          <w:tcPr>
            <w:tcW w:w="1591" w:type="dxa"/>
            <w:vMerge w:val="restart"/>
          </w:tcPr>
          <w:p w14:paraId="701DFE56" w14:textId="77777777" w:rsidR="00D74FEE" w:rsidRPr="00357FFD" w:rsidRDefault="00D74FEE" w:rsidP="000D4706">
            <w:pPr>
              <w:spacing w:after="0"/>
              <w:jc w:val="both"/>
              <w:rPr>
                <w:rFonts w:ascii="Times New Roman" w:hAnsi="Times New Roman"/>
              </w:rPr>
            </w:pPr>
            <w:r w:rsidRPr="00FA1782">
              <w:rPr>
                <w:rFonts w:ascii="Times New Roman" w:hAnsi="Times New Roman"/>
              </w:rPr>
              <w:t>Ar subalansavimas atliekamas kiekvieną ketvirtį</w:t>
            </w:r>
          </w:p>
        </w:tc>
      </w:tr>
      <w:tr w:rsidR="00D74FEE" w:rsidRPr="00FA1782" w14:paraId="20FF58A5" w14:textId="77777777" w:rsidTr="000D4706">
        <w:tc>
          <w:tcPr>
            <w:tcW w:w="1654" w:type="dxa"/>
            <w:vMerge/>
          </w:tcPr>
          <w:p w14:paraId="79BFA6C8" w14:textId="77777777" w:rsidR="00D74FEE" w:rsidRPr="00357FFD" w:rsidRDefault="00D74FEE" w:rsidP="000D4706">
            <w:pPr>
              <w:spacing w:after="0"/>
              <w:jc w:val="both"/>
              <w:rPr>
                <w:rFonts w:ascii="Times New Roman" w:hAnsi="Times New Roman"/>
              </w:rPr>
            </w:pPr>
          </w:p>
        </w:tc>
        <w:tc>
          <w:tcPr>
            <w:tcW w:w="1602" w:type="dxa"/>
          </w:tcPr>
          <w:p w14:paraId="486E36E6" w14:textId="77777777" w:rsidR="00D74FEE" w:rsidRPr="00357FFD" w:rsidRDefault="00D74FEE" w:rsidP="000D4706">
            <w:pPr>
              <w:spacing w:after="0"/>
              <w:rPr>
                <w:rFonts w:ascii="Times New Roman" w:hAnsi="Times New Roman"/>
              </w:rPr>
            </w:pPr>
            <w:r w:rsidRPr="00FA1782">
              <w:rPr>
                <w:rFonts w:ascii="Times New Roman" w:hAnsi="Times New Roman"/>
              </w:rPr>
              <w:t>Ne finansų bendrovės</w:t>
            </w:r>
            <w:r w:rsidRPr="00357FFD">
              <w:rPr>
                <w:rFonts w:ascii="Times New Roman" w:hAnsi="Times New Roman"/>
              </w:rPr>
              <w:t xml:space="preserve"> S.11</w:t>
            </w:r>
          </w:p>
        </w:tc>
        <w:tc>
          <w:tcPr>
            <w:tcW w:w="1559" w:type="dxa"/>
          </w:tcPr>
          <w:p w14:paraId="473CF34A" w14:textId="77777777" w:rsidR="00D74FEE" w:rsidRPr="00357FFD" w:rsidRDefault="00D74FEE" w:rsidP="000D4706">
            <w:pPr>
              <w:spacing w:after="0"/>
              <w:jc w:val="both"/>
              <w:rPr>
                <w:rFonts w:ascii="Times New Roman" w:hAnsi="Times New Roman"/>
              </w:rPr>
            </w:pPr>
            <w:r w:rsidRPr="00FA1782">
              <w:rPr>
                <w:rFonts w:ascii="Times New Roman" w:hAnsi="Times New Roman"/>
              </w:rPr>
              <w:t>Finansų bendrovės</w:t>
            </w:r>
            <w:r w:rsidRPr="00357FFD">
              <w:rPr>
                <w:rFonts w:ascii="Times New Roman" w:hAnsi="Times New Roman"/>
              </w:rPr>
              <w:t xml:space="preserve"> S.12</w:t>
            </w:r>
          </w:p>
        </w:tc>
        <w:tc>
          <w:tcPr>
            <w:tcW w:w="1701" w:type="dxa"/>
          </w:tcPr>
          <w:p w14:paraId="084E40A4" w14:textId="77777777" w:rsidR="00D74FEE" w:rsidRPr="00FA1782" w:rsidRDefault="00D74FEE" w:rsidP="000D4706">
            <w:pPr>
              <w:spacing w:after="0"/>
              <w:rPr>
                <w:rFonts w:ascii="Times New Roman" w:hAnsi="Times New Roman"/>
              </w:rPr>
            </w:pPr>
            <w:r w:rsidRPr="00FA1782">
              <w:rPr>
                <w:rFonts w:ascii="Times New Roman" w:hAnsi="Times New Roman"/>
              </w:rPr>
              <w:t>Namų ūkiai įskaitant namų ūkiams paslaugas teikiančias ne pelno institucijas</w:t>
            </w:r>
          </w:p>
          <w:p w14:paraId="3D12967D" w14:textId="77777777" w:rsidR="00D74FEE" w:rsidRPr="00357FFD" w:rsidRDefault="00D74FEE" w:rsidP="000D4706">
            <w:pPr>
              <w:spacing w:after="0"/>
              <w:rPr>
                <w:rFonts w:ascii="Times New Roman" w:hAnsi="Times New Roman"/>
              </w:rPr>
            </w:pPr>
            <w:r w:rsidRPr="00357FFD">
              <w:rPr>
                <w:rFonts w:ascii="Times New Roman" w:hAnsi="Times New Roman"/>
              </w:rPr>
              <w:t>S.1M</w:t>
            </w:r>
          </w:p>
        </w:tc>
        <w:tc>
          <w:tcPr>
            <w:tcW w:w="1417" w:type="dxa"/>
          </w:tcPr>
          <w:p w14:paraId="0D241B1F" w14:textId="77777777" w:rsidR="00D74FEE" w:rsidRPr="00357FFD" w:rsidRDefault="00D74FEE" w:rsidP="000D4706">
            <w:pPr>
              <w:spacing w:after="0"/>
              <w:jc w:val="both"/>
              <w:rPr>
                <w:rFonts w:ascii="Times New Roman" w:hAnsi="Times New Roman"/>
              </w:rPr>
            </w:pPr>
            <w:r w:rsidRPr="00FA1782">
              <w:rPr>
                <w:rFonts w:ascii="Times New Roman" w:hAnsi="Times New Roman"/>
              </w:rPr>
              <w:t>Likusio pasaulio sektorius</w:t>
            </w:r>
            <w:r w:rsidRPr="00357FFD">
              <w:rPr>
                <w:rFonts w:ascii="Times New Roman" w:hAnsi="Times New Roman"/>
              </w:rPr>
              <w:t xml:space="preserve"> S.2</w:t>
            </w:r>
          </w:p>
        </w:tc>
        <w:tc>
          <w:tcPr>
            <w:tcW w:w="1591" w:type="dxa"/>
            <w:vMerge/>
          </w:tcPr>
          <w:p w14:paraId="3D312258" w14:textId="77777777" w:rsidR="00D74FEE" w:rsidRPr="00357FFD" w:rsidRDefault="00D74FEE" w:rsidP="000D4706">
            <w:pPr>
              <w:spacing w:after="0"/>
              <w:jc w:val="both"/>
              <w:rPr>
                <w:rFonts w:ascii="Times New Roman" w:hAnsi="Times New Roman"/>
              </w:rPr>
            </w:pPr>
          </w:p>
        </w:tc>
      </w:tr>
      <w:tr w:rsidR="00D74FEE" w:rsidRPr="00FA1782" w14:paraId="3D1098D8" w14:textId="77777777" w:rsidTr="000D4706">
        <w:tc>
          <w:tcPr>
            <w:tcW w:w="1654" w:type="dxa"/>
          </w:tcPr>
          <w:p w14:paraId="7EF88123" w14:textId="50C53E14" w:rsidR="00D74FEE" w:rsidRPr="00357FFD" w:rsidRDefault="004C6AE5" w:rsidP="000D4706">
            <w:pPr>
              <w:spacing w:after="0"/>
              <w:jc w:val="both"/>
              <w:rPr>
                <w:rFonts w:ascii="Times New Roman" w:hAnsi="Times New Roman"/>
              </w:rPr>
            </w:pPr>
            <w:r>
              <w:rPr>
                <w:rFonts w:ascii="Times New Roman" w:hAnsi="Times New Roman"/>
              </w:rPr>
              <w:t>F.512; F.81</w:t>
            </w:r>
          </w:p>
        </w:tc>
        <w:tc>
          <w:tcPr>
            <w:tcW w:w="1602" w:type="dxa"/>
          </w:tcPr>
          <w:p w14:paraId="1E7F1BB2" w14:textId="0A0D4179" w:rsidR="00D74FEE" w:rsidRPr="00357FFD" w:rsidRDefault="00D74FEE" w:rsidP="000D4706">
            <w:pPr>
              <w:spacing w:after="0"/>
              <w:rPr>
                <w:rFonts w:ascii="Times New Roman" w:hAnsi="Times New Roman"/>
              </w:rPr>
            </w:pPr>
            <w:r w:rsidRPr="00357FFD">
              <w:rPr>
                <w:rFonts w:ascii="Times New Roman" w:hAnsi="Times New Roman"/>
              </w:rPr>
              <w:t xml:space="preserve">2% </w:t>
            </w:r>
            <w:r w:rsidRPr="00FA1782">
              <w:rPr>
                <w:rFonts w:ascii="Times New Roman" w:hAnsi="Times New Roman"/>
              </w:rPr>
              <w:t>nuo BVP</w:t>
            </w:r>
            <w:r w:rsidRPr="00357FFD">
              <w:rPr>
                <w:rFonts w:ascii="Times New Roman" w:hAnsi="Times New Roman"/>
              </w:rPr>
              <w:t xml:space="preserve"> </w:t>
            </w:r>
          </w:p>
        </w:tc>
        <w:tc>
          <w:tcPr>
            <w:tcW w:w="1559" w:type="dxa"/>
          </w:tcPr>
          <w:p w14:paraId="0D56386F" w14:textId="77777777" w:rsidR="00D74FEE" w:rsidRPr="00357FFD" w:rsidRDefault="00D74FEE" w:rsidP="000D4706">
            <w:pPr>
              <w:spacing w:after="0"/>
              <w:jc w:val="both"/>
              <w:rPr>
                <w:rFonts w:ascii="Times New Roman" w:hAnsi="Times New Roman"/>
              </w:rPr>
            </w:pPr>
            <w:r w:rsidRPr="00357FFD">
              <w:rPr>
                <w:rFonts w:ascii="Times New Roman" w:hAnsi="Times New Roman"/>
              </w:rPr>
              <w:t xml:space="preserve">2% </w:t>
            </w:r>
            <w:r w:rsidRPr="00FA1782">
              <w:rPr>
                <w:rFonts w:ascii="Times New Roman" w:hAnsi="Times New Roman"/>
              </w:rPr>
              <w:t>nuo BVP</w:t>
            </w:r>
            <w:r w:rsidRPr="00357FFD">
              <w:rPr>
                <w:rFonts w:ascii="Times New Roman" w:hAnsi="Times New Roman"/>
              </w:rPr>
              <w:t xml:space="preserve"> </w:t>
            </w:r>
            <w:r w:rsidRPr="00357FFD">
              <w:rPr>
                <w:rFonts w:ascii="Times New Roman" w:hAnsi="Times New Roman"/>
                <w:vertAlign w:val="superscript"/>
              </w:rPr>
              <w:t>1)</w:t>
            </w:r>
          </w:p>
        </w:tc>
        <w:tc>
          <w:tcPr>
            <w:tcW w:w="1701" w:type="dxa"/>
          </w:tcPr>
          <w:p w14:paraId="3FBFB9B7" w14:textId="77777777" w:rsidR="00D74FEE" w:rsidRPr="00357FFD" w:rsidRDefault="00D74FEE" w:rsidP="000D4706">
            <w:pPr>
              <w:spacing w:after="0"/>
              <w:rPr>
                <w:rFonts w:ascii="Times New Roman" w:hAnsi="Times New Roman"/>
              </w:rPr>
            </w:pPr>
            <w:r w:rsidRPr="00357FFD">
              <w:rPr>
                <w:rFonts w:ascii="Times New Roman" w:hAnsi="Times New Roman"/>
              </w:rPr>
              <w:t xml:space="preserve">2% </w:t>
            </w:r>
            <w:r w:rsidRPr="00FA1782">
              <w:rPr>
                <w:rFonts w:ascii="Times New Roman" w:hAnsi="Times New Roman"/>
              </w:rPr>
              <w:t>nuo BVP</w:t>
            </w:r>
            <w:r w:rsidRPr="00357FFD">
              <w:rPr>
                <w:rFonts w:ascii="Times New Roman" w:hAnsi="Times New Roman"/>
              </w:rPr>
              <w:t xml:space="preserve"> </w:t>
            </w:r>
            <w:r w:rsidRPr="00357FFD">
              <w:rPr>
                <w:rFonts w:ascii="Times New Roman" w:hAnsi="Times New Roman"/>
                <w:vertAlign w:val="superscript"/>
              </w:rPr>
              <w:t>1)</w:t>
            </w:r>
          </w:p>
        </w:tc>
        <w:tc>
          <w:tcPr>
            <w:tcW w:w="1417" w:type="dxa"/>
          </w:tcPr>
          <w:p w14:paraId="39446E95" w14:textId="59B252FB" w:rsidR="00D74FEE" w:rsidRPr="00357FFD" w:rsidRDefault="00D74FEE" w:rsidP="000D4706">
            <w:pPr>
              <w:spacing w:after="0"/>
              <w:jc w:val="both"/>
              <w:rPr>
                <w:rFonts w:ascii="Times New Roman" w:hAnsi="Times New Roman"/>
              </w:rPr>
            </w:pPr>
            <w:r w:rsidRPr="00357FFD">
              <w:rPr>
                <w:rFonts w:ascii="Times New Roman" w:hAnsi="Times New Roman"/>
              </w:rPr>
              <w:t xml:space="preserve">= </w:t>
            </w:r>
            <w:r w:rsidRPr="00FA1782">
              <w:rPr>
                <w:rFonts w:ascii="Times New Roman" w:hAnsi="Times New Roman"/>
              </w:rPr>
              <w:t>MB GKP</w:t>
            </w:r>
            <w:r w:rsidR="00833172">
              <w:rPr>
                <w:rFonts w:ascii="Times New Roman" w:hAnsi="Times New Roman"/>
                <w:vertAlign w:val="superscript"/>
              </w:rPr>
              <w:t>1</w:t>
            </w:r>
            <w:r w:rsidRPr="00357FFD">
              <w:rPr>
                <w:rFonts w:ascii="Times New Roman" w:hAnsi="Times New Roman"/>
                <w:vertAlign w:val="superscript"/>
              </w:rPr>
              <w:t>)</w:t>
            </w:r>
          </w:p>
        </w:tc>
        <w:tc>
          <w:tcPr>
            <w:tcW w:w="1591" w:type="dxa"/>
          </w:tcPr>
          <w:p w14:paraId="11532073" w14:textId="77777777" w:rsidR="00D74FEE" w:rsidRPr="00357FFD" w:rsidRDefault="00D74FEE" w:rsidP="000D4706">
            <w:pPr>
              <w:spacing w:after="0"/>
              <w:jc w:val="both"/>
              <w:rPr>
                <w:rFonts w:ascii="Times New Roman" w:hAnsi="Times New Roman"/>
              </w:rPr>
            </w:pPr>
            <w:r w:rsidRPr="00FA1782">
              <w:rPr>
                <w:rFonts w:ascii="Times New Roman" w:hAnsi="Times New Roman"/>
              </w:rPr>
              <w:t>Ne</w:t>
            </w:r>
          </w:p>
        </w:tc>
      </w:tr>
    </w:tbl>
    <w:p w14:paraId="4B4BF5EA" w14:textId="3CC44767" w:rsidR="00D74FEE" w:rsidRPr="00FA1782" w:rsidRDefault="00833172" w:rsidP="00D74FEE">
      <w:pPr>
        <w:spacing w:after="0"/>
        <w:jc w:val="both"/>
      </w:pPr>
      <w:r>
        <w:rPr>
          <w:rFonts w:cs="Calibri"/>
          <w:color w:val="000000"/>
          <w:sz w:val="18"/>
          <w:szCs w:val="18"/>
        </w:rPr>
        <w:t>1</w:t>
      </w:r>
      <w:r w:rsidR="00D74FEE" w:rsidRPr="00357FFD">
        <w:rPr>
          <w:rFonts w:cs="Calibri"/>
          <w:color w:val="000000"/>
          <w:sz w:val="18"/>
          <w:szCs w:val="18"/>
        </w:rPr>
        <w:t xml:space="preserve">) </w:t>
      </w:r>
      <w:r w:rsidR="00D74FEE" w:rsidRPr="00FA1782">
        <w:rPr>
          <w:rFonts w:cs="Calibri"/>
          <w:color w:val="000000"/>
          <w:sz w:val="18"/>
          <w:szCs w:val="18"/>
        </w:rPr>
        <w:t xml:space="preserve">Likusio pasaulio sektorius </w:t>
      </w:r>
      <w:r w:rsidR="00D74FEE" w:rsidRPr="00357FFD">
        <w:rPr>
          <w:rFonts w:cs="Calibri"/>
          <w:color w:val="000000"/>
          <w:sz w:val="18"/>
          <w:szCs w:val="18"/>
        </w:rPr>
        <w:t xml:space="preserve">(S.2) </w:t>
      </w:r>
      <w:r w:rsidR="00D74FEE" w:rsidRPr="00FA1782">
        <w:rPr>
          <w:rFonts w:cs="Calibri"/>
          <w:color w:val="000000"/>
          <w:sz w:val="18"/>
          <w:szCs w:val="18"/>
        </w:rPr>
        <w:t>yra suderintas su mokėjimo balansu (MB), todėl šio sektoriaus paklaida yra lygi MB grynosioms klaidoms ir praleidimams (GKP)</w:t>
      </w:r>
    </w:p>
    <w:p w14:paraId="3C25E9D3" w14:textId="50F40D37" w:rsidR="00D74FEE" w:rsidRPr="00833172" w:rsidRDefault="00D74FEE" w:rsidP="00D74FEE">
      <w:pPr>
        <w:pStyle w:val="Heading4"/>
        <w:numPr>
          <w:ilvl w:val="0"/>
          <w:numId w:val="0"/>
        </w:numPr>
        <w:jc w:val="both"/>
        <w:rPr>
          <w:b/>
          <w:bCs w:val="0"/>
          <w:u w:val="none"/>
        </w:rPr>
      </w:pPr>
      <w:r w:rsidRPr="00833172">
        <w:rPr>
          <w:b/>
          <w:bCs w:val="0"/>
          <w:u w:val="none"/>
        </w:rPr>
        <w:t>C.4.2 Laiko eilutės ir istorinių duomenų suderinamumas</w:t>
      </w:r>
    </w:p>
    <w:p w14:paraId="15881900" w14:textId="77777777" w:rsidR="00D74FEE" w:rsidRDefault="00D74FEE" w:rsidP="00D74FEE">
      <w:pPr>
        <w:pStyle w:val="CMFBtextintable"/>
        <w:spacing w:before="240" w:after="0"/>
      </w:pPr>
      <w:r w:rsidRPr="00E76DD9">
        <w:t>Metinių</w:t>
      </w:r>
      <w:r>
        <w:t xml:space="preserve"> ir ketvirtinių</w:t>
      </w:r>
      <w:r w:rsidRPr="00E76DD9">
        <w:t xml:space="preserve"> finansinių sąskaitų, sudarytų pagal ESS 2010 metodiką, duomenų eilutė prasideda nuo 1995 m. ir joje nėra trūkių. </w:t>
      </w:r>
    </w:p>
    <w:p w14:paraId="2133C435" w14:textId="77777777" w:rsidR="00D74FEE" w:rsidRPr="00E76DD9" w:rsidRDefault="00D74FEE" w:rsidP="00D74FEE">
      <w:pPr>
        <w:pStyle w:val="CMFBtextintable"/>
        <w:spacing w:after="0"/>
      </w:pPr>
      <w:r w:rsidRPr="00E76DD9">
        <w:t>KVSFS likučių duomenys yra nuo 1998 m. ketvirtojo ketvirčio</w:t>
      </w:r>
      <w:r>
        <w:t>,</w:t>
      </w:r>
      <w:r w:rsidRPr="00E76DD9">
        <w:t xml:space="preserve"> sandorių duomenys – nuo 1999 m. pirmojo ketvirčio</w:t>
      </w:r>
      <w:r>
        <w:t xml:space="preserve"> ir </w:t>
      </w:r>
      <w:r w:rsidRPr="00D630F5">
        <w:t>duomenų eilutėje nėra trūkių</w:t>
      </w:r>
      <w:r w:rsidRPr="00E76DD9">
        <w:t>.</w:t>
      </w:r>
    </w:p>
    <w:p w14:paraId="59FAE95D" w14:textId="3DABC5CE" w:rsidR="00D74FEE" w:rsidRPr="00833172" w:rsidRDefault="00D74FEE" w:rsidP="00D74FEE">
      <w:pPr>
        <w:pStyle w:val="Heading4"/>
        <w:numPr>
          <w:ilvl w:val="0"/>
          <w:numId w:val="0"/>
        </w:numPr>
        <w:jc w:val="both"/>
        <w:rPr>
          <w:b/>
          <w:bCs w:val="0"/>
          <w:u w:val="none"/>
        </w:rPr>
      </w:pPr>
      <w:r w:rsidRPr="00833172">
        <w:rPr>
          <w:b/>
          <w:bCs w:val="0"/>
          <w:u w:val="none"/>
        </w:rPr>
        <w:t>C.4.3 Duomenų dažnumo suderinamumas</w:t>
      </w:r>
    </w:p>
    <w:p w14:paraId="09D772E6" w14:textId="01D04CFA" w:rsidR="00D74FEE" w:rsidRPr="005C7943" w:rsidRDefault="00D74FEE" w:rsidP="00D74FEE">
      <w:pPr>
        <w:pStyle w:val="Heading3"/>
        <w:numPr>
          <w:ilvl w:val="0"/>
          <w:numId w:val="0"/>
        </w:numPr>
        <w:spacing w:before="240" w:after="120" w:line="276" w:lineRule="auto"/>
        <w:rPr>
          <w:i w:val="0"/>
          <w:sz w:val="22"/>
          <w:szCs w:val="22"/>
        </w:rPr>
      </w:pPr>
      <w:r w:rsidRPr="005C7943">
        <w:rPr>
          <w:i w:val="0"/>
          <w:sz w:val="22"/>
          <w:szCs w:val="22"/>
        </w:rPr>
        <w:t xml:space="preserve">Metinės ir ketvirtinės finansinės sąskaitos yra </w:t>
      </w:r>
      <w:r>
        <w:rPr>
          <w:i w:val="0"/>
          <w:sz w:val="22"/>
          <w:szCs w:val="22"/>
        </w:rPr>
        <w:t>visiškai</w:t>
      </w:r>
      <w:r w:rsidRPr="005C7943">
        <w:rPr>
          <w:i w:val="0"/>
          <w:sz w:val="22"/>
          <w:szCs w:val="22"/>
        </w:rPr>
        <w:t xml:space="preserve"> suderintos, nes metinės finansinės sąskaitos sudaromos iš ketvirtinių sąskaitų, kaip keturių ketvirčių suma. </w:t>
      </w:r>
      <w:bookmarkStart w:id="20" w:name="_Toc422500691"/>
    </w:p>
    <w:p w14:paraId="295F9A6D" w14:textId="23BFADA2" w:rsidR="00D74FEE" w:rsidRPr="00833172" w:rsidRDefault="00D74FEE" w:rsidP="00D74FEE">
      <w:pPr>
        <w:pStyle w:val="Heading3"/>
        <w:numPr>
          <w:ilvl w:val="0"/>
          <w:numId w:val="0"/>
        </w:numPr>
        <w:spacing w:before="240" w:after="120"/>
        <w:rPr>
          <w:b/>
          <w:bCs w:val="0"/>
        </w:rPr>
      </w:pPr>
      <w:r w:rsidRPr="00833172">
        <w:rPr>
          <w:b/>
          <w:bCs w:val="0"/>
        </w:rPr>
        <w:t xml:space="preserve">C.5 CoP15 Prieinamumas ir aiškumas / PC15 </w:t>
      </w:r>
      <w:bookmarkEnd w:id="20"/>
      <w:r w:rsidRPr="00833172">
        <w:rPr>
          <w:b/>
          <w:bCs w:val="0"/>
        </w:rPr>
        <w:t>Prieinamumas ir aiškumas</w:t>
      </w:r>
    </w:p>
    <w:p w14:paraId="53B41C44" w14:textId="0B74F473" w:rsidR="00D74FEE" w:rsidRPr="00833172" w:rsidRDefault="00D74FEE" w:rsidP="00833172">
      <w:pPr>
        <w:pStyle w:val="Heading4"/>
        <w:numPr>
          <w:ilvl w:val="0"/>
          <w:numId w:val="0"/>
        </w:numPr>
        <w:spacing w:before="120" w:after="240"/>
        <w:jc w:val="both"/>
        <w:rPr>
          <w:b/>
          <w:bCs w:val="0"/>
          <w:u w:val="none"/>
        </w:rPr>
      </w:pPr>
      <w:r w:rsidRPr="00833172">
        <w:rPr>
          <w:b/>
          <w:bCs w:val="0"/>
          <w:u w:val="none"/>
        </w:rPr>
        <w:t>C.5.1 Duomenys</w:t>
      </w:r>
    </w:p>
    <w:p w14:paraId="3FAD4048" w14:textId="77777777" w:rsidR="00D74FEE" w:rsidRPr="00B85866" w:rsidRDefault="00D74FEE" w:rsidP="00D74FEE">
      <w:pPr>
        <w:pStyle w:val="CMFBtextintable"/>
        <w:spacing w:after="0"/>
      </w:pPr>
      <w:r w:rsidRPr="00150971">
        <w:t xml:space="preserve">Ketvirtinės </w:t>
      </w:r>
      <w:r>
        <w:t xml:space="preserve">ir metinės </w:t>
      </w:r>
      <w:r w:rsidRPr="00150971">
        <w:t>finans</w:t>
      </w:r>
      <w:r w:rsidRPr="00B85866">
        <w:t xml:space="preserve">inės sąskaitos skelbiamos: </w:t>
      </w:r>
    </w:p>
    <w:p w14:paraId="7487F35A" w14:textId="77777777" w:rsidR="00D74FEE" w:rsidRPr="00E76DD9" w:rsidRDefault="00D74FEE" w:rsidP="00D74FEE">
      <w:pPr>
        <w:pStyle w:val="CMFBtextintable"/>
        <w:spacing w:after="0"/>
      </w:pPr>
      <w:r w:rsidRPr="00A26CFD">
        <w:t>LB interneto tinklalapyje</w:t>
      </w:r>
      <w:r w:rsidRPr="00B85866">
        <w:t xml:space="preserve"> (</w:t>
      </w:r>
      <w:hyperlink r:id="rId17" w:history="1">
        <w:r w:rsidRPr="00E76DD9">
          <w:rPr>
            <w:rStyle w:val="Hyperlink"/>
          </w:rPr>
          <w:t>Finansinių sąskai</w:t>
        </w:r>
        <w:r w:rsidRPr="00E76DD9">
          <w:rPr>
            <w:rStyle w:val="Hyperlink"/>
          </w:rPr>
          <w:t>t</w:t>
        </w:r>
        <w:r w:rsidRPr="00E76DD9">
          <w:rPr>
            <w:rStyle w:val="Hyperlink"/>
          </w:rPr>
          <w:t xml:space="preserve">ų </w:t>
        </w:r>
        <w:r>
          <w:rPr>
            <w:rStyle w:val="Hyperlink"/>
          </w:rPr>
          <w:t>statistika</w:t>
        </w:r>
        <w:r w:rsidRPr="00E76DD9">
          <w:rPr>
            <w:rStyle w:val="Hyperlink"/>
          </w:rPr>
          <w:t>)</w:t>
        </w:r>
      </w:hyperlink>
      <w:r w:rsidRPr="00E76DD9">
        <w:t>;</w:t>
      </w:r>
      <w:r>
        <w:t xml:space="preserve"> (</w:t>
      </w:r>
      <w:hyperlink r:id="rId18" w:anchor="group-3311" w:history="1">
        <w:r w:rsidRPr="00F20580">
          <w:rPr>
            <w:rStyle w:val="Hyperlink"/>
          </w:rPr>
          <w:t>Statistika trumpai</w:t>
        </w:r>
      </w:hyperlink>
      <w:r>
        <w:t>)</w:t>
      </w:r>
    </w:p>
    <w:p w14:paraId="1E8FC4CD" w14:textId="30DFBF44" w:rsidR="00D74FEE" w:rsidRDefault="00D74FEE" w:rsidP="00D74FEE">
      <w:pPr>
        <w:pStyle w:val="CMFBtextintable"/>
        <w:spacing w:after="0"/>
      </w:pPr>
      <w:r w:rsidRPr="00E76DD9">
        <w:t xml:space="preserve">ECB duomenų bazėje </w:t>
      </w:r>
      <w:r>
        <w:t>(</w:t>
      </w:r>
      <w:hyperlink r:id="rId19" w:history="1">
        <w:r w:rsidR="00833172" w:rsidRPr="00460C3A">
          <w:rPr>
            <w:rStyle w:val="Hyperlink"/>
          </w:rPr>
          <w:t>https://data.ecb.europa.eu/data/data-categories#financial-a</w:t>
        </w:r>
        <w:r w:rsidR="00833172" w:rsidRPr="00460C3A">
          <w:rPr>
            <w:rStyle w:val="Hyperlink"/>
          </w:rPr>
          <w:t>c</w:t>
        </w:r>
        <w:r w:rsidR="00833172" w:rsidRPr="00460C3A">
          <w:rPr>
            <w:rStyle w:val="Hyperlink"/>
          </w:rPr>
          <w:t>counts</w:t>
        </w:r>
      </w:hyperlink>
      <w:r w:rsidR="00833172">
        <w:t>);</w:t>
      </w:r>
    </w:p>
    <w:p w14:paraId="0C7D9EC1" w14:textId="77777777" w:rsidR="00D74FEE" w:rsidRPr="00E76DD9" w:rsidRDefault="00D74FEE" w:rsidP="00D74FEE">
      <w:pPr>
        <w:pStyle w:val="CMFBtextintable"/>
        <w:spacing w:after="0"/>
        <w:rPr>
          <w:rStyle w:val="Hyperlink"/>
          <w:color w:val="auto"/>
          <w:u w:val="none"/>
        </w:rPr>
      </w:pPr>
      <w:r w:rsidRPr="009C4349">
        <w:t xml:space="preserve">Eurostato </w:t>
      </w:r>
      <w:r w:rsidRPr="00E76DD9">
        <w:t xml:space="preserve">interneto </w:t>
      </w:r>
      <w:r>
        <w:t>tinklalapyje</w:t>
      </w:r>
      <w:r w:rsidRPr="00150971">
        <w:t xml:space="preserve"> (</w:t>
      </w:r>
      <w:hyperlink r:id="rId20" w:history="1">
        <w:r w:rsidRPr="00E76DD9">
          <w:rPr>
            <w:rStyle w:val="Hyperlink"/>
          </w:rPr>
          <w:t>http://ec.europa.eu/eurost</w:t>
        </w:r>
        <w:r w:rsidRPr="00E76DD9">
          <w:rPr>
            <w:rStyle w:val="Hyperlink"/>
          </w:rPr>
          <w:t>a</w:t>
        </w:r>
        <w:r w:rsidRPr="00E76DD9">
          <w:rPr>
            <w:rStyle w:val="Hyperlink"/>
          </w:rPr>
          <w:t>t/data/database</w:t>
        </w:r>
      </w:hyperlink>
      <w:r w:rsidRPr="00E76DD9">
        <w:rPr>
          <w:rStyle w:val="Hyperlink"/>
          <w:color w:val="auto"/>
          <w:u w:val="none"/>
        </w:rPr>
        <w:t>);</w:t>
      </w:r>
    </w:p>
    <w:p w14:paraId="4A400105" w14:textId="77777777" w:rsidR="00D74FEE" w:rsidRDefault="00D74FEE" w:rsidP="00D74FEE">
      <w:pPr>
        <w:pStyle w:val="CMFBtextintable"/>
        <w:spacing w:after="0"/>
      </w:pPr>
      <w:r w:rsidRPr="00E76DD9">
        <w:t xml:space="preserve">EBPO interneto </w:t>
      </w:r>
      <w:r>
        <w:t>tinklalapyje</w:t>
      </w:r>
      <w:r w:rsidRPr="00E76DD9">
        <w:t xml:space="preserve"> (</w:t>
      </w:r>
      <w:hyperlink r:id="rId21" w:history="1">
        <w:r w:rsidRPr="00E76DD9">
          <w:rPr>
            <w:rStyle w:val="Hyperlink"/>
          </w:rPr>
          <w:t>http://stats.o</w:t>
        </w:r>
        <w:r w:rsidRPr="00E76DD9">
          <w:rPr>
            <w:rStyle w:val="Hyperlink"/>
          </w:rPr>
          <w:t>e</w:t>
        </w:r>
        <w:r w:rsidRPr="00E76DD9">
          <w:rPr>
            <w:rStyle w:val="Hyperlink"/>
          </w:rPr>
          <w:t>cd.org/</w:t>
        </w:r>
      </w:hyperlink>
      <w:r w:rsidRPr="00E76DD9">
        <w:t>).</w:t>
      </w:r>
      <w:r w:rsidRPr="00F20580">
        <w:t xml:space="preserve"> </w:t>
      </w:r>
    </w:p>
    <w:p w14:paraId="3E1B301A" w14:textId="77777777" w:rsidR="00D74FEE" w:rsidRPr="00E76DD9" w:rsidRDefault="00D74FEE" w:rsidP="00D74FEE">
      <w:pPr>
        <w:pStyle w:val="CMFBtextintable"/>
        <w:spacing w:after="0"/>
      </w:pPr>
      <w:r>
        <w:t>V</w:t>
      </w:r>
      <w:r w:rsidRPr="00150971">
        <w:t xml:space="preserve">aldžios sektoriaus finansinės sąskaitos </w:t>
      </w:r>
      <w:r w:rsidRPr="00E76DD9">
        <w:t>skelbiamos</w:t>
      </w:r>
      <w:r>
        <w:t xml:space="preserve"> </w:t>
      </w:r>
      <w:hyperlink r:id="rId22" w:anchor="/" w:history="1">
        <w:r w:rsidRPr="0047792E">
          <w:rPr>
            <w:rStyle w:val="Hyperlink"/>
          </w:rPr>
          <w:t>Oficialiosios st</w:t>
        </w:r>
        <w:r w:rsidRPr="0047792E">
          <w:rPr>
            <w:rStyle w:val="Hyperlink"/>
          </w:rPr>
          <w:t>a</w:t>
        </w:r>
        <w:r w:rsidRPr="0047792E">
          <w:rPr>
            <w:rStyle w:val="Hyperlink"/>
          </w:rPr>
          <w:t>tistikos portale</w:t>
        </w:r>
      </w:hyperlink>
      <w:r>
        <w:t>.</w:t>
      </w:r>
    </w:p>
    <w:p w14:paraId="3411332F" w14:textId="2BC599A8" w:rsidR="00D74FEE" w:rsidRPr="00833172" w:rsidRDefault="00D74FEE" w:rsidP="00D74FEE">
      <w:pPr>
        <w:pStyle w:val="Heading4"/>
        <w:numPr>
          <w:ilvl w:val="0"/>
          <w:numId w:val="0"/>
        </w:numPr>
        <w:jc w:val="both"/>
        <w:rPr>
          <w:b/>
          <w:bCs w:val="0"/>
          <w:u w:val="none"/>
        </w:rPr>
      </w:pPr>
      <w:r w:rsidRPr="00833172">
        <w:rPr>
          <w:b/>
          <w:bCs w:val="0"/>
          <w:u w:val="none"/>
        </w:rPr>
        <w:lastRenderedPageBreak/>
        <w:t>C.5.2 Metaduomenys</w:t>
      </w:r>
    </w:p>
    <w:p w14:paraId="12E54E78" w14:textId="77777777" w:rsidR="00D74FEE" w:rsidRDefault="00D74FEE" w:rsidP="00D74FEE">
      <w:pPr>
        <w:pStyle w:val="Heading4"/>
        <w:numPr>
          <w:ilvl w:val="0"/>
          <w:numId w:val="0"/>
        </w:numPr>
        <w:jc w:val="both"/>
        <w:rPr>
          <w:rStyle w:val="Hyperlink"/>
        </w:rPr>
      </w:pPr>
      <w:r w:rsidRPr="004A45C3">
        <w:rPr>
          <w:u w:val="none"/>
        </w:rPr>
        <w:t>Ketvirtinių ir metinių finansinių sąskaitų metaduomenys skelbiami LB interneto tinklalapyje</w:t>
      </w:r>
      <w:r w:rsidRPr="00241D28">
        <w:t xml:space="preserve"> </w:t>
      </w:r>
      <w:hyperlink r:id="rId23" w:history="1">
        <w:r w:rsidRPr="00241D28">
          <w:rPr>
            <w:rStyle w:val="Hyperlink"/>
          </w:rPr>
          <w:t>Finansinių sąskaitų meta</w:t>
        </w:r>
        <w:r w:rsidRPr="00241D28">
          <w:rPr>
            <w:rStyle w:val="Hyperlink"/>
          </w:rPr>
          <w:t>d</w:t>
        </w:r>
        <w:r w:rsidRPr="00241D28">
          <w:rPr>
            <w:rStyle w:val="Hyperlink"/>
          </w:rPr>
          <w:t>uomenys</w:t>
        </w:r>
      </w:hyperlink>
    </w:p>
    <w:p w14:paraId="02001482" w14:textId="77777777" w:rsidR="00D74FEE" w:rsidRPr="004A45C3" w:rsidRDefault="00D74FEE" w:rsidP="00D74FEE">
      <w:pPr>
        <w:pStyle w:val="Heading4"/>
        <w:numPr>
          <w:ilvl w:val="0"/>
          <w:numId w:val="0"/>
        </w:numPr>
        <w:jc w:val="both"/>
        <w:rPr>
          <w:u w:val="none"/>
        </w:rPr>
      </w:pPr>
      <w:hyperlink r:id="rId24" w:history="1">
        <w:r w:rsidRPr="00BA0F53">
          <w:rPr>
            <w:rStyle w:val="Hyperlink"/>
          </w:rPr>
          <w:t>KV</w:t>
        </w:r>
        <w:r w:rsidRPr="00BA0F53">
          <w:rPr>
            <w:rStyle w:val="Hyperlink"/>
          </w:rPr>
          <w:t>S</w:t>
        </w:r>
        <w:r w:rsidRPr="00BA0F53">
          <w:rPr>
            <w:rStyle w:val="Hyperlink"/>
          </w:rPr>
          <w:t>FS</w:t>
        </w:r>
      </w:hyperlink>
      <w:r w:rsidRPr="00241D28">
        <w:t xml:space="preserve"> </w:t>
      </w:r>
      <w:r w:rsidRPr="004A45C3">
        <w:rPr>
          <w:u w:val="none"/>
        </w:rPr>
        <w:t xml:space="preserve">metaduomenys skelbiami </w:t>
      </w:r>
      <w:r>
        <w:rPr>
          <w:u w:val="none"/>
        </w:rPr>
        <w:t>VDA</w:t>
      </w:r>
      <w:r w:rsidRPr="004A45C3">
        <w:rPr>
          <w:u w:val="none"/>
        </w:rPr>
        <w:t xml:space="preserve"> interneto svetainėje.</w:t>
      </w:r>
    </w:p>
    <w:p w14:paraId="581F7A92" w14:textId="56A4923E" w:rsidR="00D74FEE" w:rsidRPr="00833172" w:rsidRDefault="00D74FEE" w:rsidP="00D74FEE">
      <w:pPr>
        <w:pStyle w:val="Heading4"/>
        <w:numPr>
          <w:ilvl w:val="0"/>
          <w:numId w:val="0"/>
        </w:numPr>
        <w:jc w:val="both"/>
        <w:rPr>
          <w:b/>
          <w:bCs w:val="0"/>
          <w:u w:val="none"/>
        </w:rPr>
      </w:pPr>
      <w:r w:rsidRPr="00833172">
        <w:rPr>
          <w:b/>
          <w:bCs w:val="0"/>
          <w:u w:val="none"/>
        </w:rPr>
        <w:t>C.5.3 Kontaktai</w:t>
      </w:r>
    </w:p>
    <w:p w14:paraId="4AAE077C" w14:textId="77777777" w:rsidR="00D74FEE" w:rsidRPr="00E76DD9" w:rsidRDefault="00D74FEE" w:rsidP="00D74FEE">
      <w:pPr>
        <w:pStyle w:val="CMFBText"/>
        <w:spacing w:after="0"/>
      </w:pPr>
      <w:r w:rsidRPr="00E76DD9">
        <w:t xml:space="preserve">Ketvirtinės </w:t>
      </w:r>
      <w:r>
        <w:t xml:space="preserve">ir metinės </w:t>
      </w:r>
      <w:r w:rsidRPr="00E76DD9">
        <w:t>finansinės sąskaitos:</w:t>
      </w:r>
    </w:p>
    <w:p w14:paraId="116205BA" w14:textId="77777777" w:rsidR="00D74FEE" w:rsidRPr="00A26CFD" w:rsidRDefault="00D74FEE" w:rsidP="00D74FEE">
      <w:pPr>
        <w:pStyle w:val="CMFBText"/>
        <w:spacing w:before="0" w:after="0"/>
      </w:pPr>
      <w:r w:rsidRPr="00A76D38">
        <w:t>Diana Liberienė</w:t>
      </w:r>
      <w:r>
        <w:t>,</w:t>
      </w:r>
      <w:r w:rsidRPr="00A76D38">
        <w:t xml:space="preserve"> el. paštas </w:t>
      </w:r>
      <w:hyperlink r:id="rId25" w:history="1">
        <w:r w:rsidRPr="00A76D38">
          <w:rPr>
            <w:rStyle w:val="Hyperlink"/>
          </w:rPr>
          <w:t>dliberiene@lb.lt</w:t>
        </w:r>
      </w:hyperlink>
    </w:p>
    <w:p w14:paraId="788276B3" w14:textId="77777777" w:rsidR="00D74FEE" w:rsidRDefault="00D74FEE" w:rsidP="00D74FEE">
      <w:pPr>
        <w:pStyle w:val="CMFBText"/>
        <w:spacing w:before="0" w:after="0"/>
      </w:pPr>
      <w:r w:rsidRPr="00A76D38">
        <w:t>Lietuvos bankas</w:t>
      </w:r>
      <w:r w:rsidRPr="00710A9A">
        <w:t xml:space="preserve"> </w:t>
      </w:r>
    </w:p>
    <w:p w14:paraId="4010B1D4" w14:textId="77777777" w:rsidR="00D74FEE" w:rsidRPr="00E76DD9" w:rsidRDefault="00D74FEE" w:rsidP="00D74FEE">
      <w:pPr>
        <w:pStyle w:val="CMFBText"/>
        <w:spacing w:after="0"/>
      </w:pPr>
      <w:r w:rsidRPr="00710A9A">
        <w:t>Valdžios sektoriaus finansinės sąskaitos</w:t>
      </w:r>
      <w:r w:rsidRPr="00E76DD9">
        <w:t>:</w:t>
      </w:r>
    </w:p>
    <w:p w14:paraId="5B82F525" w14:textId="77777777" w:rsidR="00D74FEE" w:rsidRDefault="00D74FEE" w:rsidP="00D74FEE">
      <w:pPr>
        <w:pStyle w:val="CMFBText"/>
        <w:spacing w:before="0" w:after="0"/>
      </w:pPr>
      <w:r w:rsidRPr="00710A9A">
        <w:t>Mantas Mal</w:t>
      </w:r>
      <w:r>
        <w:t>č</w:t>
      </w:r>
      <w:r w:rsidRPr="00710A9A">
        <w:t>ius</w:t>
      </w:r>
      <w:r>
        <w:t>,</w:t>
      </w:r>
      <w:r w:rsidRPr="00710A9A">
        <w:t xml:space="preserve"> </w:t>
      </w:r>
      <w:r>
        <w:t>el. paštas</w:t>
      </w:r>
      <w:r w:rsidRPr="00710A9A">
        <w:t xml:space="preserve">: </w:t>
      </w:r>
      <w:hyperlink r:id="rId26" w:history="1">
        <w:r w:rsidRPr="00C867B7">
          <w:rPr>
            <w:rStyle w:val="Hyperlink"/>
          </w:rPr>
          <w:t>mantas.malcius@stat.gov.lt</w:t>
        </w:r>
      </w:hyperlink>
      <w:r>
        <w:t xml:space="preserve"> </w:t>
      </w:r>
    </w:p>
    <w:p w14:paraId="4A037232" w14:textId="77777777" w:rsidR="00D74FEE" w:rsidRDefault="00D74FEE" w:rsidP="00D74FEE">
      <w:pPr>
        <w:pStyle w:val="CMFBText"/>
        <w:spacing w:before="0" w:after="0"/>
      </w:pPr>
      <w:r>
        <w:t>Vlstybės duomenų agentūra</w:t>
      </w:r>
    </w:p>
    <w:p w14:paraId="0140B545" w14:textId="77777777" w:rsidR="00D74FEE" w:rsidRDefault="00D74FEE" w:rsidP="00D74FEE">
      <w:pPr>
        <w:pStyle w:val="CMFBText"/>
        <w:spacing w:before="0" w:after="0"/>
      </w:pPr>
    </w:p>
    <w:p w14:paraId="2A76C806" w14:textId="77777777" w:rsidR="00D74FEE" w:rsidRDefault="00D74FEE" w:rsidP="00D74FEE">
      <w:pPr>
        <w:pStyle w:val="CMFBText"/>
        <w:spacing w:before="0" w:after="0"/>
      </w:pPr>
    </w:p>
    <w:p w14:paraId="29E44B40" w14:textId="77777777" w:rsidR="00D74FEE" w:rsidRDefault="00D74FEE" w:rsidP="00D74FEE">
      <w:pPr>
        <w:pStyle w:val="CMFBText"/>
        <w:spacing w:before="0" w:after="0"/>
      </w:pPr>
    </w:p>
    <w:p w14:paraId="362796A7" w14:textId="77777777" w:rsidR="00D74FEE" w:rsidRPr="00E76DD9" w:rsidRDefault="00D74FEE" w:rsidP="00D74FEE">
      <w:pPr>
        <w:pStyle w:val="CMFBText"/>
        <w:spacing w:before="0" w:after="0"/>
      </w:pPr>
    </w:p>
    <w:p w14:paraId="27CB4FEF" w14:textId="77777777" w:rsidR="00D74FEE" w:rsidRPr="00150971" w:rsidRDefault="00D74FEE" w:rsidP="00D74FEE">
      <w:pPr>
        <w:pStyle w:val="CMFBText"/>
        <w:spacing w:before="0" w:after="0"/>
      </w:pPr>
    </w:p>
    <w:p w14:paraId="0C1DB36A" w14:textId="77777777" w:rsidR="003140C3" w:rsidRPr="00241D28" w:rsidRDefault="003140C3" w:rsidP="00C4389C">
      <w:pPr>
        <w:jc w:val="both"/>
        <w:rPr>
          <w:rFonts w:ascii="Times New Roman" w:hAnsi="Times New Roman"/>
        </w:rPr>
        <w:sectPr w:rsidR="003140C3" w:rsidRPr="00241D28" w:rsidSect="004E3F50">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077" w:left="1440" w:header="709" w:footer="709" w:gutter="0"/>
          <w:cols w:space="708"/>
          <w:docGrid w:linePitch="360"/>
        </w:sectPr>
      </w:pPr>
    </w:p>
    <w:p w14:paraId="6A78AD17" w14:textId="06B99C2A" w:rsidR="00E51BCC" w:rsidRPr="00E76DD9" w:rsidRDefault="00D74FEE" w:rsidP="00D74FEE">
      <w:pPr>
        <w:keepNext/>
        <w:suppressAutoHyphens/>
        <w:spacing w:after="240" w:line="240" w:lineRule="auto"/>
        <w:jc w:val="both"/>
        <w:outlineLvl w:val="1"/>
        <w:rPr>
          <w:rFonts w:ascii="Times New Roman" w:eastAsia="Times New Roman" w:hAnsi="Times New Roman"/>
          <w:b/>
          <w:bCs/>
          <w:iCs/>
          <w:sz w:val="28"/>
          <w:szCs w:val="28"/>
        </w:rPr>
      </w:pPr>
      <w:bookmarkStart w:id="21" w:name="_Toc422500649"/>
      <w:bookmarkStart w:id="22" w:name="_Toc422748069"/>
      <w:bookmarkStart w:id="23" w:name="_Toc422500686"/>
      <w:bookmarkStart w:id="24" w:name="_Toc422748081"/>
      <w:r>
        <w:rPr>
          <w:rFonts w:ascii="Times New Roman" w:eastAsia="Times New Roman" w:hAnsi="Times New Roman"/>
          <w:b/>
          <w:bCs/>
          <w:iCs/>
          <w:sz w:val="28"/>
          <w:szCs w:val="28"/>
        </w:rPr>
        <w:lastRenderedPageBreak/>
        <w:t xml:space="preserve">Priedas B.2.1 </w:t>
      </w:r>
      <w:r w:rsidR="00E51BCC" w:rsidRPr="00E76DD9">
        <w:rPr>
          <w:rFonts w:ascii="Times New Roman" w:eastAsia="Times New Roman" w:hAnsi="Times New Roman"/>
          <w:b/>
          <w:bCs/>
          <w:iCs/>
          <w:sz w:val="28"/>
          <w:szCs w:val="28"/>
        </w:rPr>
        <w:t>CoP8 Finansinių sąskaitų duomenų šaltinių schema</w:t>
      </w:r>
      <w:bookmarkEnd w:id="21"/>
      <w:bookmarkEnd w:id="22"/>
    </w:p>
    <w:tbl>
      <w:tblPr>
        <w:tblW w:w="15718" w:type="dxa"/>
        <w:jc w:val="center"/>
        <w:tblLayout w:type="fixed"/>
        <w:tblLook w:val="04A0" w:firstRow="1" w:lastRow="0" w:firstColumn="1" w:lastColumn="0" w:noHBand="0" w:noVBand="1"/>
      </w:tblPr>
      <w:tblGrid>
        <w:gridCol w:w="523"/>
        <w:gridCol w:w="1413"/>
        <w:gridCol w:w="847"/>
        <w:gridCol w:w="706"/>
        <w:gridCol w:w="107"/>
        <w:gridCol w:w="277"/>
        <w:gridCol w:w="463"/>
        <w:gridCol w:w="249"/>
        <w:gridCol w:w="508"/>
        <w:gridCol w:w="513"/>
        <w:gridCol w:w="669"/>
        <w:gridCol w:w="743"/>
        <w:gridCol w:w="405"/>
        <w:gridCol w:w="574"/>
        <w:gridCol w:w="574"/>
        <w:gridCol w:w="430"/>
        <w:gridCol w:w="574"/>
        <w:gridCol w:w="490"/>
        <w:gridCol w:w="552"/>
        <w:gridCol w:w="709"/>
        <w:gridCol w:w="709"/>
        <w:gridCol w:w="430"/>
        <w:gridCol w:w="472"/>
        <w:gridCol w:w="2781"/>
      </w:tblGrid>
      <w:tr w:rsidR="00E51BCC" w:rsidRPr="0033274B" w14:paraId="2394C93A" w14:textId="77777777" w:rsidTr="00BB1E9A">
        <w:trPr>
          <w:trHeight w:val="21"/>
          <w:jc w:val="center"/>
        </w:trPr>
        <w:tc>
          <w:tcPr>
            <w:tcW w:w="15718" w:type="dxa"/>
            <w:gridSpan w:val="24"/>
            <w:tcBorders>
              <w:top w:val="nil"/>
              <w:left w:val="nil"/>
              <w:bottom w:val="nil"/>
              <w:right w:val="nil"/>
            </w:tcBorders>
            <w:shd w:val="clear" w:color="auto" w:fill="auto"/>
            <w:noWrap/>
            <w:vAlign w:val="center"/>
            <w:hideMark/>
          </w:tcPr>
          <w:p w14:paraId="3295456A" w14:textId="77777777" w:rsidR="00E51BCC" w:rsidRPr="00E76DD9" w:rsidRDefault="00E51BCC" w:rsidP="00C4389C">
            <w:pPr>
              <w:spacing w:after="0" w:line="240" w:lineRule="auto"/>
              <w:jc w:val="both"/>
              <w:rPr>
                <w:rFonts w:ascii="Arial" w:eastAsia="Times New Roman" w:hAnsi="Arial" w:cs="Arial"/>
                <w:color w:val="000000"/>
                <w:sz w:val="12"/>
                <w:szCs w:val="12"/>
                <w:lang w:eastAsia="en-GB"/>
              </w:rPr>
            </w:pPr>
          </w:p>
        </w:tc>
      </w:tr>
      <w:tr w:rsidR="00E51BCC" w:rsidRPr="00E76DD9" w14:paraId="628ABCC4" w14:textId="77777777" w:rsidTr="00BB1E9A">
        <w:trPr>
          <w:trHeight w:val="21"/>
          <w:jc w:val="center"/>
        </w:trPr>
        <w:tc>
          <w:tcPr>
            <w:tcW w:w="15718" w:type="dxa"/>
            <w:gridSpan w:val="24"/>
            <w:tcBorders>
              <w:top w:val="nil"/>
              <w:left w:val="nil"/>
              <w:bottom w:val="nil"/>
              <w:right w:val="nil"/>
            </w:tcBorders>
            <w:shd w:val="clear" w:color="auto" w:fill="auto"/>
            <w:noWrap/>
            <w:vAlign w:val="center"/>
            <w:hideMark/>
          </w:tcPr>
          <w:p w14:paraId="1DF8881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b/>
                <w:bCs/>
                <w:color w:val="000000"/>
                <w:sz w:val="12"/>
                <w:szCs w:val="12"/>
                <w:lang w:eastAsia="en-GB"/>
              </w:rPr>
              <w:t xml:space="preserve">Pagrindiniai duomenų šaltiniai </w:t>
            </w:r>
          </w:p>
        </w:tc>
      </w:tr>
      <w:tr w:rsidR="00E51BCC" w:rsidRPr="00E76DD9" w14:paraId="5A0D82FC" w14:textId="77777777" w:rsidTr="00BB1E9A">
        <w:trPr>
          <w:trHeight w:val="76"/>
          <w:jc w:val="center"/>
        </w:trPr>
        <w:tc>
          <w:tcPr>
            <w:tcW w:w="523" w:type="dxa"/>
            <w:tcBorders>
              <w:top w:val="nil"/>
              <w:left w:val="nil"/>
              <w:bottom w:val="nil"/>
              <w:right w:val="nil"/>
            </w:tcBorders>
            <w:shd w:val="clear" w:color="auto" w:fill="auto"/>
            <w:noWrap/>
            <w:vAlign w:val="center"/>
            <w:hideMark/>
          </w:tcPr>
          <w:p w14:paraId="7F788B2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1413" w:type="dxa"/>
            <w:tcBorders>
              <w:top w:val="nil"/>
              <w:left w:val="nil"/>
              <w:bottom w:val="nil"/>
              <w:right w:val="nil"/>
            </w:tcBorders>
            <w:shd w:val="clear" w:color="auto" w:fill="auto"/>
            <w:noWrap/>
            <w:vAlign w:val="center"/>
            <w:hideMark/>
          </w:tcPr>
          <w:p w14:paraId="4E807E1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Šalis</w:t>
            </w:r>
          </w:p>
        </w:tc>
        <w:tc>
          <w:tcPr>
            <w:tcW w:w="847" w:type="dxa"/>
            <w:tcBorders>
              <w:top w:val="single" w:sz="4" w:space="0" w:color="auto"/>
              <w:left w:val="single" w:sz="4" w:space="0" w:color="auto"/>
              <w:bottom w:val="single" w:sz="4" w:space="0" w:color="auto"/>
              <w:right w:val="nil"/>
            </w:tcBorders>
            <w:shd w:val="clear" w:color="auto" w:fill="auto"/>
            <w:vAlign w:val="center"/>
            <w:hideMark/>
          </w:tcPr>
          <w:p w14:paraId="32710C8C" w14:textId="77777777" w:rsidR="00E51BCC" w:rsidRPr="00241D28" w:rsidRDefault="00E51BCC" w:rsidP="00241D28">
            <w:pPr>
              <w:spacing w:after="0" w:line="240" w:lineRule="auto"/>
              <w:jc w:val="both"/>
              <w:rPr>
                <w:rFonts w:ascii="Times New Roman" w:eastAsia="Times New Roman" w:hAnsi="Times New Roman"/>
                <w:b/>
                <w:bCs/>
                <w:color w:val="000000"/>
                <w:sz w:val="12"/>
                <w:szCs w:val="12"/>
                <w:lang w:eastAsia="en-GB"/>
              </w:rPr>
            </w:pPr>
            <w:r w:rsidRPr="00241D28">
              <w:rPr>
                <w:rFonts w:ascii="Times New Roman" w:eastAsia="Times New Roman" w:hAnsi="Times New Roman"/>
                <w:b/>
                <w:bCs/>
                <w:color w:val="000000"/>
                <w:sz w:val="12"/>
                <w:szCs w:val="12"/>
                <w:lang w:eastAsia="en-GB"/>
              </w:rPr>
              <w:t> </w:t>
            </w:r>
          </w:p>
        </w:tc>
        <w:tc>
          <w:tcPr>
            <w:tcW w:w="813" w:type="dxa"/>
            <w:gridSpan w:val="2"/>
            <w:tcBorders>
              <w:top w:val="single" w:sz="4" w:space="0" w:color="auto"/>
              <w:left w:val="nil"/>
              <w:bottom w:val="single" w:sz="4" w:space="0" w:color="auto"/>
              <w:right w:val="nil"/>
            </w:tcBorders>
            <w:shd w:val="clear" w:color="auto" w:fill="auto"/>
            <w:hideMark/>
          </w:tcPr>
          <w:p w14:paraId="35FB1D71" w14:textId="77777777" w:rsidR="00E51BCC" w:rsidRPr="00241D28" w:rsidRDefault="00E51BCC" w:rsidP="00241D28">
            <w:pPr>
              <w:spacing w:after="0" w:line="240" w:lineRule="auto"/>
              <w:jc w:val="both"/>
              <w:rPr>
                <w:rFonts w:ascii="Times New Roman" w:eastAsia="Times New Roman" w:hAnsi="Times New Roman"/>
                <w:b/>
                <w:bCs/>
                <w:color w:val="000000"/>
                <w:sz w:val="12"/>
                <w:szCs w:val="12"/>
                <w:lang w:eastAsia="en-GB"/>
              </w:rPr>
            </w:pPr>
            <w:r w:rsidRPr="00241D28">
              <w:rPr>
                <w:rFonts w:ascii="Times New Roman" w:eastAsia="Times New Roman" w:hAnsi="Times New Roman"/>
                <w:b/>
                <w:bCs/>
                <w:color w:val="000000"/>
                <w:sz w:val="12"/>
                <w:szCs w:val="12"/>
                <w:lang w:eastAsia="en-GB"/>
              </w:rPr>
              <w:t>LT</w:t>
            </w:r>
          </w:p>
        </w:tc>
        <w:tc>
          <w:tcPr>
            <w:tcW w:w="740" w:type="dxa"/>
            <w:gridSpan w:val="2"/>
            <w:tcBorders>
              <w:top w:val="single" w:sz="4" w:space="0" w:color="auto"/>
              <w:left w:val="nil"/>
              <w:bottom w:val="single" w:sz="4" w:space="0" w:color="auto"/>
              <w:right w:val="single" w:sz="4" w:space="0" w:color="auto"/>
            </w:tcBorders>
            <w:shd w:val="clear" w:color="auto" w:fill="auto"/>
            <w:vAlign w:val="center"/>
            <w:hideMark/>
          </w:tcPr>
          <w:p w14:paraId="7DA555EF" w14:textId="77777777" w:rsidR="00E51BCC" w:rsidRPr="00241D28" w:rsidRDefault="00E51BCC" w:rsidP="00241D28">
            <w:pPr>
              <w:spacing w:after="0" w:line="240" w:lineRule="auto"/>
              <w:jc w:val="both"/>
              <w:rPr>
                <w:rFonts w:ascii="Times New Roman" w:eastAsia="Times New Roman" w:hAnsi="Times New Roman"/>
                <w:b/>
                <w:bCs/>
                <w:color w:val="000000"/>
                <w:sz w:val="12"/>
                <w:szCs w:val="12"/>
                <w:lang w:eastAsia="en-GB"/>
              </w:rPr>
            </w:pPr>
            <w:r w:rsidRPr="00241D28">
              <w:rPr>
                <w:rFonts w:ascii="Times New Roman" w:eastAsia="Times New Roman" w:hAnsi="Times New Roman"/>
                <w:b/>
                <w:bCs/>
                <w:color w:val="000000"/>
                <w:sz w:val="12"/>
                <w:szCs w:val="12"/>
                <w:lang w:eastAsia="en-GB"/>
              </w:rPr>
              <w:t> </w:t>
            </w:r>
          </w:p>
        </w:tc>
        <w:tc>
          <w:tcPr>
            <w:tcW w:w="11382" w:type="dxa"/>
            <w:gridSpan w:val="17"/>
            <w:tcBorders>
              <w:top w:val="nil"/>
              <w:left w:val="nil"/>
              <w:bottom w:val="nil"/>
              <w:right w:val="nil"/>
            </w:tcBorders>
            <w:shd w:val="clear" w:color="auto" w:fill="auto"/>
            <w:vAlign w:val="center"/>
            <w:hideMark/>
          </w:tcPr>
          <w:p w14:paraId="4ADEA28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r>
      <w:tr w:rsidR="00E51BCC" w:rsidRPr="00E76DD9" w14:paraId="74A5927D" w14:textId="77777777" w:rsidTr="00BB1E9A">
        <w:trPr>
          <w:trHeight w:val="21"/>
          <w:jc w:val="center"/>
        </w:trPr>
        <w:tc>
          <w:tcPr>
            <w:tcW w:w="523" w:type="dxa"/>
            <w:tcBorders>
              <w:top w:val="nil"/>
              <w:left w:val="nil"/>
              <w:bottom w:val="nil"/>
              <w:right w:val="nil"/>
            </w:tcBorders>
            <w:shd w:val="clear" w:color="auto" w:fill="auto"/>
            <w:noWrap/>
            <w:vAlign w:val="center"/>
            <w:hideMark/>
          </w:tcPr>
          <w:p w14:paraId="5366E00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1413" w:type="dxa"/>
            <w:tcBorders>
              <w:top w:val="nil"/>
              <w:left w:val="nil"/>
              <w:bottom w:val="nil"/>
              <w:right w:val="nil"/>
            </w:tcBorders>
            <w:shd w:val="clear" w:color="auto" w:fill="auto"/>
            <w:noWrap/>
            <w:vAlign w:val="center"/>
            <w:hideMark/>
          </w:tcPr>
          <w:p w14:paraId="2CAC53C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Institucija</w:t>
            </w:r>
          </w:p>
        </w:tc>
        <w:tc>
          <w:tcPr>
            <w:tcW w:w="847" w:type="dxa"/>
            <w:tcBorders>
              <w:top w:val="single" w:sz="4" w:space="0" w:color="auto"/>
              <w:left w:val="single" w:sz="4" w:space="0" w:color="auto"/>
              <w:bottom w:val="single" w:sz="4" w:space="0" w:color="auto"/>
              <w:right w:val="nil"/>
            </w:tcBorders>
            <w:shd w:val="clear" w:color="auto" w:fill="auto"/>
            <w:vAlign w:val="center"/>
            <w:hideMark/>
          </w:tcPr>
          <w:p w14:paraId="6A165207" w14:textId="7DB2FFAA" w:rsidR="00E51BCC" w:rsidRPr="00241D28" w:rsidRDefault="00E51BCC" w:rsidP="00241D28">
            <w:pPr>
              <w:spacing w:after="0" w:line="240" w:lineRule="auto"/>
              <w:rPr>
                <w:rFonts w:ascii="Times New Roman" w:eastAsia="Times New Roman" w:hAnsi="Times New Roman"/>
                <w:b/>
                <w:bCs/>
                <w:color w:val="000000"/>
                <w:sz w:val="12"/>
                <w:szCs w:val="12"/>
                <w:lang w:eastAsia="en-GB"/>
              </w:rPr>
            </w:pPr>
          </w:p>
        </w:tc>
        <w:tc>
          <w:tcPr>
            <w:tcW w:w="813" w:type="dxa"/>
            <w:gridSpan w:val="2"/>
            <w:tcBorders>
              <w:top w:val="single" w:sz="4" w:space="0" w:color="auto"/>
              <w:left w:val="nil"/>
              <w:bottom w:val="single" w:sz="4" w:space="0" w:color="auto"/>
              <w:right w:val="nil"/>
            </w:tcBorders>
            <w:shd w:val="clear" w:color="auto" w:fill="auto"/>
            <w:vAlign w:val="center"/>
            <w:hideMark/>
          </w:tcPr>
          <w:p w14:paraId="7555CFD9" w14:textId="77777777" w:rsidR="00E51BCC" w:rsidRPr="00241D28" w:rsidRDefault="00E51BCC" w:rsidP="00F067D2">
            <w:pPr>
              <w:spacing w:after="0" w:line="240" w:lineRule="auto"/>
              <w:rPr>
                <w:rFonts w:ascii="Times New Roman" w:eastAsia="Times New Roman" w:hAnsi="Times New Roman"/>
                <w:b/>
                <w:bCs/>
                <w:color w:val="000000"/>
                <w:sz w:val="12"/>
                <w:szCs w:val="12"/>
                <w:lang w:eastAsia="en-GB"/>
              </w:rPr>
            </w:pPr>
            <w:r w:rsidRPr="00241D28">
              <w:rPr>
                <w:rFonts w:ascii="Times New Roman" w:eastAsia="Times New Roman" w:hAnsi="Times New Roman"/>
                <w:b/>
                <w:bCs/>
                <w:color w:val="000000"/>
                <w:sz w:val="12"/>
                <w:szCs w:val="12"/>
                <w:lang w:eastAsia="en-GB"/>
              </w:rPr>
              <w:t>L</w:t>
            </w:r>
            <w:r w:rsidR="00F067D2">
              <w:rPr>
                <w:rFonts w:ascii="Times New Roman" w:eastAsia="Times New Roman" w:hAnsi="Times New Roman"/>
                <w:b/>
                <w:bCs/>
                <w:color w:val="000000"/>
                <w:sz w:val="12"/>
                <w:szCs w:val="12"/>
                <w:lang w:eastAsia="en-GB"/>
              </w:rPr>
              <w:t>B</w:t>
            </w:r>
          </w:p>
        </w:tc>
        <w:tc>
          <w:tcPr>
            <w:tcW w:w="740" w:type="dxa"/>
            <w:gridSpan w:val="2"/>
            <w:tcBorders>
              <w:top w:val="single" w:sz="4" w:space="0" w:color="auto"/>
              <w:left w:val="nil"/>
              <w:bottom w:val="single" w:sz="4" w:space="0" w:color="auto"/>
              <w:right w:val="single" w:sz="4" w:space="0" w:color="auto"/>
            </w:tcBorders>
            <w:shd w:val="clear" w:color="auto" w:fill="auto"/>
            <w:hideMark/>
          </w:tcPr>
          <w:p w14:paraId="7813BAF4" w14:textId="77777777" w:rsidR="00E51BCC" w:rsidRPr="00241D28" w:rsidRDefault="00E51BCC" w:rsidP="00241D28">
            <w:pPr>
              <w:spacing w:after="0" w:line="240" w:lineRule="auto"/>
              <w:rPr>
                <w:rFonts w:ascii="Times New Roman" w:eastAsia="Times New Roman" w:hAnsi="Times New Roman"/>
                <w:b/>
                <w:bCs/>
                <w:color w:val="000000"/>
                <w:sz w:val="12"/>
                <w:szCs w:val="12"/>
                <w:lang w:eastAsia="en-GB"/>
              </w:rPr>
            </w:pPr>
          </w:p>
        </w:tc>
        <w:tc>
          <w:tcPr>
            <w:tcW w:w="11382" w:type="dxa"/>
            <w:gridSpan w:val="17"/>
            <w:tcBorders>
              <w:top w:val="nil"/>
              <w:left w:val="nil"/>
              <w:bottom w:val="nil"/>
              <w:right w:val="nil"/>
            </w:tcBorders>
            <w:shd w:val="clear" w:color="auto" w:fill="auto"/>
            <w:vAlign w:val="center"/>
            <w:hideMark/>
          </w:tcPr>
          <w:p w14:paraId="27F81E0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r>
      <w:tr w:rsidR="00E51BCC" w:rsidRPr="00E76DD9" w14:paraId="6D18B863" w14:textId="77777777" w:rsidTr="00BB1E9A">
        <w:trPr>
          <w:trHeight w:val="21"/>
          <w:jc w:val="center"/>
        </w:trPr>
        <w:tc>
          <w:tcPr>
            <w:tcW w:w="523" w:type="dxa"/>
            <w:tcBorders>
              <w:top w:val="nil"/>
              <w:left w:val="nil"/>
              <w:bottom w:val="nil"/>
              <w:right w:val="nil"/>
            </w:tcBorders>
            <w:shd w:val="clear" w:color="auto" w:fill="auto"/>
            <w:noWrap/>
            <w:vAlign w:val="center"/>
            <w:hideMark/>
          </w:tcPr>
          <w:p w14:paraId="0EF1C75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1413" w:type="dxa"/>
            <w:tcBorders>
              <w:top w:val="nil"/>
              <w:left w:val="nil"/>
              <w:bottom w:val="nil"/>
              <w:right w:val="nil"/>
            </w:tcBorders>
            <w:shd w:val="clear" w:color="auto" w:fill="auto"/>
            <w:noWrap/>
            <w:vAlign w:val="center"/>
            <w:hideMark/>
          </w:tcPr>
          <w:p w14:paraId="6C7906E1"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Metai</w:t>
            </w:r>
          </w:p>
        </w:tc>
        <w:tc>
          <w:tcPr>
            <w:tcW w:w="847" w:type="dxa"/>
            <w:tcBorders>
              <w:top w:val="nil"/>
              <w:left w:val="single" w:sz="4" w:space="0" w:color="auto"/>
              <w:bottom w:val="single" w:sz="4" w:space="0" w:color="auto"/>
              <w:right w:val="nil"/>
            </w:tcBorders>
            <w:shd w:val="clear" w:color="auto" w:fill="auto"/>
            <w:noWrap/>
            <w:vAlign w:val="center"/>
            <w:hideMark/>
          </w:tcPr>
          <w:p w14:paraId="7A09E15E" w14:textId="77777777" w:rsidR="00E51BCC" w:rsidRPr="00241D28" w:rsidRDefault="00E51BCC" w:rsidP="00241D28">
            <w:pPr>
              <w:spacing w:after="0" w:line="240" w:lineRule="auto"/>
              <w:jc w:val="both"/>
              <w:rPr>
                <w:rFonts w:ascii="Times New Roman" w:eastAsia="Times New Roman" w:hAnsi="Times New Roman"/>
                <w:b/>
                <w:bCs/>
                <w:color w:val="000000"/>
                <w:sz w:val="12"/>
                <w:szCs w:val="12"/>
                <w:lang w:eastAsia="en-GB"/>
              </w:rPr>
            </w:pPr>
          </w:p>
        </w:tc>
        <w:tc>
          <w:tcPr>
            <w:tcW w:w="813" w:type="dxa"/>
            <w:gridSpan w:val="2"/>
            <w:tcBorders>
              <w:top w:val="nil"/>
              <w:left w:val="nil"/>
              <w:bottom w:val="single" w:sz="4" w:space="0" w:color="auto"/>
              <w:right w:val="nil"/>
            </w:tcBorders>
            <w:shd w:val="clear" w:color="auto" w:fill="auto"/>
            <w:vAlign w:val="center"/>
            <w:hideMark/>
          </w:tcPr>
          <w:p w14:paraId="6817C842" w14:textId="092DFBF1" w:rsidR="00E51BCC" w:rsidRPr="00241D28" w:rsidRDefault="00D74FEE" w:rsidP="00E84FC3">
            <w:pPr>
              <w:spacing w:after="0" w:line="240" w:lineRule="auto"/>
              <w:jc w:val="both"/>
              <w:rPr>
                <w:rFonts w:ascii="Times New Roman" w:eastAsia="Times New Roman" w:hAnsi="Times New Roman"/>
                <w:b/>
                <w:bCs/>
                <w:color w:val="000000"/>
                <w:sz w:val="12"/>
                <w:szCs w:val="12"/>
                <w:lang w:eastAsia="en-GB"/>
              </w:rPr>
            </w:pPr>
            <w:r>
              <w:rPr>
                <w:rFonts w:ascii="Times New Roman" w:eastAsia="Times New Roman" w:hAnsi="Times New Roman"/>
                <w:b/>
                <w:bCs/>
                <w:color w:val="000000"/>
                <w:sz w:val="12"/>
                <w:szCs w:val="12"/>
                <w:lang w:eastAsia="en-GB"/>
              </w:rPr>
              <w:t>2025</w:t>
            </w:r>
          </w:p>
        </w:tc>
        <w:tc>
          <w:tcPr>
            <w:tcW w:w="740" w:type="dxa"/>
            <w:gridSpan w:val="2"/>
            <w:tcBorders>
              <w:top w:val="nil"/>
              <w:left w:val="nil"/>
              <w:bottom w:val="single" w:sz="4" w:space="0" w:color="auto"/>
              <w:right w:val="single" w:sz="4" w:space="0" w:color="auto"/>
            </w:tcBorders>
            <w:shd w:val="clear" w:color="auto" w:fill="auto"/>
            <w:vAlign w:val="center"/>
            <w:hideMark/>
          </w:tcPr>
          <w:p w14:paraId="736A8894" w14:textId="77777777" w:rsidR="00E51BCC" w:rsidRPr="00241D28" w:rsidRDefault="00E51BCC" w:rsidP="00241D28">
            <w:pPr>
              <w:spacing w:after="0" w:line="240" w:lineRule="auto"/>
              <w:jc w:val="both"/>
              <w:rPr>
                <w:rFonts w:ascii="Times New Roman" w:eastAsia="Times New Roman" w:hAnsi="Times New Roman"/>
                <w:b/>
                <w:bCs/>
                <w:color w:val="000000"/>
                <w:sz w:val="12"/>
                <w:szCs w:val="12"/>
                <w:lang w:eastAsia="en-GB"/>
              </w:rPr>
            </w:pPr>
            <w:r w:rsidRPr="00241D28">
              <w:rPr>
                <w:rFonts w:ascii="Times New Roman" w:eastAsia="Times New Roman" w:hAnsi="Times New Roman"/>
                <w:b/>
                <w:bCs/>
                <w:color w:val="000000"/>
                <w:sz w:val="12"/>
                <w:szCs w:val="12"/>
                <w:lang w:eastAsia="en-GB"/>
              </w:rPr>
              <w:t> </w:t>
            </w:r>
          </w:p>
        </w:tc>
        <w:tc>
          <w:tcPr>
            <w:tcW w:w="11382" w:type="dxa"/>
            <w:gridSpan w:val="17"/>
            <w:tcBorders>
              <w:top w:val="nil"/>
              <w:left w:val="nil"/>
              <w:bottom w:val="nil"/>
              <w:right w:val="nil"/>
            </w:tcBorders>
            <w:shd w:val="clear" w:color="auto" w:fill="auto"/>
            <w:vAlign w:val="center"/>
            <w:hideMark/>
          </w:tcPr>
          <w:p w14:paraId="5906989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r>
      <w:tr w:rsidR="00E51BCC" w:rsidRPr="00E76DD9" w14:paraId="2A51D61B" w14:textId="77777777" w:rsidTr="00BB1E9A">
        <w:trPr>
          <w:trHeight w:val="21"/>
          <w:jc w:val="center"/>
        </w:trPr>
        <w:tc>
          <w:tcPr>
            <w:tcW w:w="523" w:type="dxa"/>
            <w:tcBorders>
              <w:top w:val="nil"/>
              <w:left w:val="nil"/>
              <w:bottom w:val="nil"/>
              <w:right w:val="nil"/>
            </w:tcBorders>
            <w:shd w:val="clear" w:color="auto" w:fill="auto"/>
            <w:noWrap/>
            <w:vAlign w:val="center"/>
            <w:hideMark/>
          </w:tcPr>
          <w:p w14:paraId="68669E81" w14:textId="77777777" w:rsidR="00E51BCC" w:rsidRPr="00241D28" w:rsidRDefault="00E51BCC" w:rsidP="00C4389C">
            <w:pPr>
              <w:spacing w:after="0" w:line="240" w:lineRule="auto"/>
              <w:jc w:val="both"/>
              <w:rPr>
                <w:rFonts w:ascii="Times New Roman" w:eastAsia="Times New Roman" w:hAnsi="Times New Roman"/>
                <w:sz w:val="12"/>
                <w:szCs w:val="12"/>
                <w:lang w:eastAsia="en-GB"/>
              </w:rPr>
            </w:pPr>
          </w:p>
        </w:tc>
        <w:tc>
          <w:tcPr>
            <w:tcW w:w="1413" w:type="dxa"/>
            <w:tcBorders>
              <w:top w:val="nil"/>
              <w:left w:val="nil"/>
              <w:bottom w:val="nil"/>
              <w:right w:val="nil"/>
            </w:tcBorders>
            <w:shd w:val="clear" w:color="auto" w:fill="auto"/>
            <w:noWrap/>
            <w:vAlign w:val="center"/>
            <w:hideMark/>
          </w:tcPr>
          <w:p w14:paraId="43DBB479" w14:textId="77777777" w:rsidR="00E51BCC" w:rsidRPr="00241D28" w:rsidRDefault="00E51BCC" w:rsidP="00C4389C">
            <w:pPr>
              <w:spacing w:after="0" w:line="240" w:lineRule="auto"/>
              <w:jc w:val="both"/>
              <w:rPr>
                <w:rFonts w:ascii="Times New Roman" w:eastAsia="Times New Roman" w:hAnsi="Times New Roman"/>
                <w:sz w:val="12"/>
                <w:szCs w:val="12"/>
                <w:lang w:eastAsia="en-GB"/>
              </w:rPr>
            </w:pPr>
          </w:p>
        </w:tc>
        <w:tc>
          <w:tcPr>
            <w:tcW w:w="5487" w:type="dxa"/>
            <w:gridSpan w:val="11"/>
            <w:tcBorders>
              <w:top w:val="nil"/>
              <w:left w:val="nil"/>
              <w:bottom w:val="single" w:sz="4" w:space="0" w:color="auto"/>
              <w:right w:val="nil"/>
            </w:tcBorders>
            <w:shd w:val="clear" w:color="auto" w:fill="auto"/>
            <w:vAlign w:val="center"/>
            <w:hideMark/>
          </w:tcPr>
          <w:p w14:paraId="5EA7583A" w14:textId="77777777" w:rsidR="00E51BCC" w:rsidRPr="00241D28" w:rsidRDefault="00E51BCC" w:rsidP="00C4389C">
            <w:pPr>
              <w:spacing w:after="0" w:line="240" w:lineRule="auto"/>
              <w:jc w:val="both"/>
              <w:rPr>
                <w:rFonts w:ascii="Times New Roman" w:eastAsia="Times New Roman" w:hAnsi="Times New Roman"/>
                <w:sz w:val="12"/>
                <w:szCs w:val="12"/>
                <w:lang w:eastAsia="en-GB"/>
              </w:rPr>
            </w:pPr>
            <w:r w:rsidRPr="00241D28">
              <w:rPr>
                <w:rFonts w:ascii="Times New Roman" w:eastAsia="Times New Roman" w:hAnsi="Times New Roman"/>
                <w:sz w:val="12"/>
                <w:szCs w:val="12"/>
                <w:lang w:eastAsia="en-GB"/>
              </w:rPr>
              <w:t>Turtas</w:t>
            </w:r>
          </w:p>
        </w:tc>
        <w:tc>
          <w:tcPr>
            <w:tcW w:w="5042" w:type="dxa"/>
            <w:gridSpan w:val="9"/>
            <w:tcBorders>
              <w:top w:val="nil"/>
              <w:left w:val="nil"/>
              <w:bottom w:val="single" w:sz="4" w:space="0" w:color="auto"/>
              <w:right w:val="nil"/>
            </w:tcBorders>
            <w:shd w:val="clear" w:color="auto" w:fill="auto"/>
            <w:vAlign w:val="center"/>
          </w:tcPr>
          <w:p w14:paraId="54F093D8" w14:textId="77777777" w:rsidR="00E51BCC" w:rsidRPr="00241D28" w:rsidRDefault="00E51BCC" w:rsidP="00C4389C">
            <w:pPr>
              <w:spacing w:after="0" w:line="240" w:lineRule="auto"/>
              <w:jc w:val="both"/>
              <w:rPr>
                <w:rFonts w:ascii="Times New Roman" w:eastAsia="Times New Roman" w:hAnsi="Times New Roman"/>
                <w:sz w:val="12"/>
                <w:szCs w:val="12"/>
                <w:lang w:eastAsia="en-GB"/>
              </w:rPr>
            </w:pPr>
            <w:r w:rsidRPr="00241D28">
              <w:rPr>
                <w:rFonts w:ascii="Times New Roman" w:eastAsia="Times New Roman" w:hAnsi="Times New Roman"/>
                <w:sz w:val="12"/>
                <w:szCs w:val="12"/>
                <w:lang w:eastAsia="en-GB"/>
              </w:rPr>
              <w:t>Įsipareigojimai</w:t>
            </w:r>
          </w:p>
        </w:tc>
        <w:tc>
          <w:tcPr>
            <w:tcW w:w="3253" w:type="dxa"/>
            <w:gridSpan w:val="2"/>
            <w:tcBorders>
              <w:top w:val="nil"/>
              <w:left w:val="nil"/>
              <w:bottom w:val="nil"/>
              <w:right w:val="nil"/>
            </w:tcBorders>
            <w:shd w:val="clear" w:color="auto" w:fill="auto"/>
            <w:noWrap/>
            <w:vAlign w:val="center"/>
            <w:hideMark/>
          </w:tcPr>
          <w:p w14:paraId="2C649917" w14:textId="77777777" w:rsidR="00E51BCC" w:rsidRPr="00241D28" w:rsidRDefault="00E51BCC" w:rsidP="00C4389C">
            <w:pPr>
              <w:spacing w:after="0" w:line="240" w:lineRule="auto"/>
              <w:jc w:val="both"/>
              <w:rPr>
                <w:rFonts w:ascii="Times New Roman" w:eastAsia="Times New Roman" w:hAnsi="Times New Roman"/>
                <w:sz w:val="12"/>
                <w:szCs w:val="12"/>
                <w:lang w:eastAsia="en-GB"/>
              </w:rPr>
            </w:pPr>
          </w:p>
        </w:tc>
      </w:tr>
      <w:tr w:rsidR="00E51BCC" w:rsidRPr="0033274B" w14:paraId="76FCCC14" w14:textId="77777777" w:rsidTr="00BB1E9A">
        <w:trPr>
          <w:trHeight w:val="21"/>
          <w:jc w:val="center"/>
        </w:trPr>
        <w:tc>
          <w:tcPr>
            <w:tcW w:w="523" w:type="dxa"/>
            <w:tcBorders>
              <w:top w:val="nil"/>
              <w:left w:val="nil"/>
              <w:bottom w:val="nil"/>
              <w:right w:val="nil"/>
            </w:tcBorders>
            <w:shd w:val="clear" w:color="000000" w:fill="FFFFFF"/>
            <w:noWrap/>
            <w:vAlign w:val="center"/>
            <w:hideMark/>
          </w:tcPr>
          <w:p w14:paraId="208F9FFA" w14:textId="77777777" w:rsidR="00E51BCC" w:rsidRPr="00241D28" w:rsidRDefault="00E51BCC" w:rsidP="00C4389C">
            <w:pPr>
              <w:spacing w:after="0" w:line="240" w:lineRule="auto"/>
              <w:jc w:val="both"/>
              <w:rPr>
                <w:rFonts w:ascii="Times New Roman" w:eastAsia="Times New Roman" w:hAnsi="Times New Roman"/>
                <w:b/>
                <w:bCs/>
                <w:color w:val="000000"/>
                <w:sz w:val="12"/>
                <w:szCs w:val="12"/>
                <w:lang w:eastAsia="en-GB"/>
              </w:rPr>
            </w:pPr>
            <w:r w:rsidRPr="00241D28">
              <w:rPr>
                <w:rFonts w:ascii="Times New Roman" w:eastAsia="Times New Roman" w:hAnsi="Times New Roman"/>
                <w:b/>
                <w:bCs/>
                <w:color w:val="000000"/>
                <w:sz w:val="12"/>
                <w:szCs w:val="12"/>
                <w:lang w:eastAsia="en-GB"/>
              </w:rPr>
              <w:t> </w:t>
            </w:r>
          </w:p>
        </w:tc>
        <w:tc>
          <w:tcPr>
            <w:tcW w:w="1413" w:type="dxa"/>
            <w:tcBorders>
              <w:top w:val="nil"/>
              <w:left w:val="nil"/>
              <w:bottom w:val="nil"/>
              <w:right w:val="nil"/>
            </w:tcBorders>
            <w:shd w:val="clear" w:color="000000" w:fill="FFFFFF"/>
            <w:noWrap/>
            <w:vAlign w:val="center"/>
            <w:hideMark/>
          </w:tcPr>
          <w:p w14:paraId="40F90F50" w14:textId="77777777" w:rsidR="00E51BCC" w:rsidRPr="00241D28" w:rsidRDefault="00E51BCC" w:rsidP="00C4389C">
            <w:pPr>
              <w:spacing w:after="0" w:line="240" w:lineRule="auto"/>
              <w:jc w:val="both"/>
              <w:rPr>
                <w:rFonts w:ascii="Times New Roman" w:eastAsia="Times New Roman" w:hAnsi="Times New Roman"/>
                <w:b/>
                <w:bCs/>
                <w:color w:val="000000"/>
                <w:sz w:val="12"/>
                <w:szCs w:val="12"/>
                <w:lang w:eastAsia="en-GB"/>
              </w:rPr>
            </w:pPr>
            <w:r w:rsidRPr="00241D28">
              <w:rPr>
                <w:rFonts w:ascii="Times New Roman" w:eastAsia="Times New Roman" w:hAnsi="Times New Roman"/>
                <w:b/>
                <w:bCs/>
                <w:color w:val="000000"/>
                <w:sz w:val="12"/>
                <w:szCs w:val="12"/>
                <w:lang w:eastAsia="en-GB"/>
              </w:rPr>
              <w:t> </w:t>
            </w:r>
          </w:p>
        </w:tc>
        <w:tc>
          <w:tcPr>
            <w:tcW w:w="847" w:type="dxa"/>
            <w:tcBorders>
              <w:top w:val="nil"/>
              <w:left w:val="single" w:sz="4" w:space="0" w:color="auto"/>
              <w:bottom w:val="nil"/>
              <w:right w:val="nil"/>
            </w:tcBorders>
            <w:shd w:val="clear" w:color="000000" w:fill="D9D9D9"/>
            <w:noWrap/>
            <w:vAlign w:val="center"/>
            <w:hideMark/>
          </w:tcPr>
          <w:p w14:paraId="2DCD539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S11</w:t>
            </w:r>
          </w:p>
        </w:tc>
        <w:tc>
          <w:tcPr>
            <w:tcW w:w="706" w:type="dxa"/>
            <w:tcBorders>
              <w:top w:val="nil"/>
              <w:left w:val="nil"/>
              <w:bottom w:val="nil"/>
              <w:right w:val="nil"/>
            </w:tcBorders>
            <w:shd w:val="clear" w:color="000000" w:fill="D9D9D9"/>
            <w:noWrap/>
            <w:vAlign w:val="center"/>
            <w:hideMark/>
          </w:tcPr>
          <w:p w14:paraId="390BC3E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S12K</w:t>
            </w:r>
          </w:p>
        </w:tc>
        <w:tc>
          <w:tcPr>
            <w:tcW w:w="384" w:type="dxa"/>
            <w:gridSpan w:val="2"/>
            <w:tcBorders>
              <w:top w:val="nil"/>
              <w:left w:val="nil"/>
              <w:bottom w:val="nil"/>
              <w:right w:val="nil"/>
            </w:tcBorders>
            <w:shd w:val="clear" w:color="000000" w:fill="D9D9D9"/>
            <w:noWrap/>
            <w:vAlign w:val="center"/>
            <w:hideMark/>
          </w:tcPr>
          <w:p w14:paraId="13677A2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S124</w:t>
            </w:r>
          </w:p>
        </w:tc>
        <w:tc>
          <w:tcPr>
            <w:tcW w:w="712" w:type="dxa"/>
            <w:gridSpan w:val="2"/>
            <w:tcBorders>
              <w:top w:val="nil"/>
              <w:left w:val="nil"/>
              <w:bottom w:val="nil"/>
              <w:right w:val="nil"/>
            </w:tcBorders>
            <w:shd w:val="clear" w:color="000000" w:fill="D9D9D9"/>
            <w:noWrap/>
            <w:vAlign w:val="center"/>
            <w:hideMark/>
          </w:tcPr>
          <w:p w14:paraId="03C58F4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S12O</w:t>
            </w:r>
          </w:p>
        </w:tc>
        <w:tc>
          <w:tcPr>
            <w:tcW w:w="508" w:type="dxa"/>
            <w:tcBorders>
              <w:top w:val="nil"/>
              <w:left w:val="nil"/>
              <w:bottom w:val="nil"/>
              <w:right w:val="nil"/>
            </w:tcBorders>
            <w:shd w:val="clear" w:color="000000" w:fill="D9D9D9"/>
            <w:noWrap/>
            <w:vAlign w:val="center"/>
            <w:hideMark/>
          </w:tcPr>
          <w:p w14:paraId="4D161BE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S128</w:t>
            </w:r>
          </w:p>
        </w:tc>
        <w:tc>
          <w:tcPr>
            <w:tcW w:w="513" w:type="dxa"/>
            <w:tcBorders>
              <w:top w:val="nil"/>
              <w:left w:val="nil"/>
              <w:bottom w:val="nil"/>
              <w:right w:val="nil"/>
            </w:tcBorders>
            <w:shd w:val="clear" w:color="000000" w:fill="D9D9D9"/>
            <w:noWrap/>
            <w:vAlign w:val="center"/>
            <w:hideMark/>
          </w:tcPr>
          <w:p w14:paraId="6438BAC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S129</w:t>
            </w:r>
          </w:p>
        </w:tc>
        <w:tc>
          <w:tcPr>
            <w:tcW w:w="669" w:type="dxa"/>
            <w:tcBorders>
              <w:top w:val="nil"/>
              <w:left w:val="nil"/>
              <w:bottom w:val="nil"/>
              <w:right w:val="nil"/>
            </w:tcBorders>
            <w:shd w:val="clear" w:color="000000" w:fill="D9D9D9"/>
            <w:noWrap/>
            <w:vAlign w:val="center"/>
            <w:hideMark/>
          </w:tcPr>
          <w:p w14:paraId="6F62C3B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S13</w:t>
            </w:r>
          </w:p>
        </w:tc>
        <w:tc>
          <w:tcPr>
            <w:tcW w:w="743" w:type="dxa"/>
            <w:tcBorders>
              <w:top w:val="nil"/>
              <w:left w:val="nil"/>
              <w:bottom w:val="nil"/>
              <w:right w:val="nil"/>
            </w:tcBorders>
            <w:shd w:val="clear" w:color="000000" w:fill="D9D9D9"/>
            <w:noWrap/>
            <w:vAlign w:val="center"/>
            <w:hideMark/>
          </w:tcPr>
          <w:p w14:paraId="3AFBA97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S14+</w:t>
            </w:r>
          </w:p>
          <w:p w14:paraId="639FF2B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S15</w:t>
            </w:r>
          </w:p>
        </w:tc>
        <w:tc>
          <w:tcPr>
            <w:tcW w:w="405" w:type="dxa"/>
            <w:tcBorders>
              <w:top w:val="nil"/>
              <w:left w:val="nil"/>
              <w:bottom w:val="nil"/>
              <w:right w:val="nil"/>
            </w:tcBorders>
            <w:shd w:val="clear" w:color="000000" w:fill="D9D9D9"/>
            <w:noWrap/>
            <w:vAlign w:val="center"/>
            <w:hideMark/>
          </w:tcPr>
          <w:p w14:paraId="0A2E7BA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S2</w:t>
            </w:r>
          </w:p>
        </w:tc>
        <w:tc>
          <w:tcPr>
            <w:tcW w:w="574" w:type="dxa"/>
            <w:tcBorders>
              <w:top w:val="nil"/>
              <w:left w:val="single" w:sz="4" w:space="0" w:color="auto"/>
              <w:bottom w:val="nil"/>
              <w:right w:val="nil"/>
            </w:tcBorders>
            <w:shd w:val="clear" w:color="000000" w:fill="D9D9D9"/>
            <w:noWrap/>
            <w:vAlign w:val="center"/>
            <w:hideMark/>
          </w:tcPr>
          <w:p w14:paraId="344B234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S11</w:t>
            </w:r>
          </w:p>
        </w:tc>
        <w:tc>
          <w:tcPr>
            <w:tcW w:w="574" w:type="dxa"/>
            <w:tcBorders>
              <w:top w:val="nil"/>
              <w:left w:val="nil"/>
              <w:bottom w:val="nil"/>
              <w:right w:val="nil"/>
            </w:tcBorders>
            <w:shd w:val="clear" w:color="000000" w:fill="D9D9D9"/>
            <w:noWrap/>
            <w:vAlign w:val="center"/>
            <w:hideMark/>
          </w:tcPr>
          <w:p w14:paraId="4194C0D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S12K</w:t>
            </w:r>
          </w:p>
        </w:tc>
        <w:tc>
          <w:tcPr>
            <w:tcW w:w="430" w:type="dxa"/>
            <w:tcBorders>
              <w:top w:val="nil"/>
              <w:left w:val="nil"/>
              <w:bottom w:val="nil"/>
              <w:right w:val="nil"/>
            </w:tcBorders>
            <w:shd w:val="clear" w:color="000000" w:fill="D9D9D9"/>
            <w:noWrap/>
            <w:vAlign w:val="center"/>
            <w:hideMark/>
          </w:tcPr>
          <w:p w14:paraId="02B7E45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S124</w:t>
            </w:r>
          </w:p>
        </w:tc>
        <w:tc>
          <w:tcPr>
            <w:tcW w:w="574" w:type="dxa"/>
            <w:tcBorders>
              <w:top w:val="nil"/>
              <w:left w:val="nil"/>
              <w:bottom w:val="nil"/>
              <w:right w:val="nil"/>
            </w:tcBorders>
            <w:shd w:val="clear" w:color="000000" w:fill="D9D9D9"/>
            <w:noWrap/>
            <w:vAlign w:val="center"/>
            <w:hideMark/>
          </w:tcPr>
          <w:p w14:paraId="63BF68F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S12O</w:t>
            </w:r>
          </w:p>
        </w:tc>
        <w:tc>
          <w:tcPr>
            <w:tcW w:w="490" w:type="dxa"/>
            <w:tcBorders>
              <w:top w:val="nil"/>
              <w:left w:val="nil"/>
              <w:bottom w:val="nil"/>
              <w:right w:val="nil"/>
            </w:tcBorders>
            <w:shd w:val="clear" w:color="000000" w:fill="D9D9D9"/>
            <w:noWrap/>
            <w:vAlign w:val="center"/>
            <w:hideMark/>
          </w:tcPr>
          <w:p w14:paraId="412BC97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S128</w:t>
            </w:r>
          </w:p>
        </w:tc>
        <w:tc>
          <w:tcPr>
            <w:tcW w:w="552" w:type="dxa"/>
            <w:tcBorders>
              <w:top w:val="nil"/>
              <w:left w:val="nil"/>
              <w:bottom w:val="nil"/>
              <w:right w:val="nil"/>
            </w:tcBorders>
            <w:shd w:val="clear" w:color="000000" w:fill="D9D9D9"/>
            <w:noWrap/>
            <w:vAlign w:val="center"/>
            <w:hideMark/>
          </w:tcPr>
          <w:p w14:paraId="47DDC2D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S129</w:t>
            </w:r>
          </w:p>
        </w:tc>
        <w:tc>
          <w:tcPr>
            <w:tcW w:w="709" w:type="dxa"/>
            <w:tcBorders>
              <w:top w:val="nil"/>
              <w:left w:val="nil"/>
              <w:bottom w:val="nil"/>
              <w:right w:val="nil"/>
            </w:tcBorders>
            <w:shd w:val="clear" w:color="000000" w:fill="D9D9D9"/>
            <w:noWrap/>
            <w:vAlign w:val="center"/>
            <w:hideMark/>
          </w:tcPr>
          <w:p w14:paraId="218954D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S13</w:t>
            </w:r>
          </w:p>
        </w:tc>
        <w:tc>
          <w:tcPr>
            <w:tcW w:w="709" w:type="dxa"/>
            <w:tcBorders>
              <w:top w:val="nil"/>
              <w:left w:val="nil"/>
              <w:bottom w:val="nil"/>
              <w:right w:val="nil"/>
            </w:tcBorders>
            <w:shd w:val="clear" w:color="000000" w:fill="D9D9D9"/>
            <w:noWrap/>
            <w:vAlign w:val="center"/>
            <w:hideMark/>
          </w:tcPr>
          <w:p w14:paraId="2C8819D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S14+</w:t>
            </w:r>
          </w:p>
          <w:p w14:paraId="7C550CB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S15</w:t>
            </w:r>
          </w:p>
        </w:tc>
        <w:tc>
          <w:tcPr>
            <w:tcW w:w="425" w:type="dxa"/>
            <w:tcBorders>
              <w:top w:val="single" w:sz="4" w:space="0" w:color="auto"/>
              <w:left w:val="nil"/>
              <w:bottom w:val="nil"/>
              <w:right w:val="single" w:sz="4" w:space="0" w:color="auto"/>
            </w:tcBorders>
            <w:shd w:val="clear" w:color="000000" w:fill="D9D9D9"/>
            <w:noWrap/>
            <w:vAlign w:val="center"/>
            <w:hideMark/>
          </w:tcPr>
          <w:p w14:paraId="65D6F6F1"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S2</w:t>
            </w:r>
          </w:p>
        </w:tc>
        <w:tc>
          <w:tcPr>
            <w:tcW w:w="3253" w:type="dxa"/>
            <w:gridSpan w:val="2"/>
            <w:tcBorders>
              <w:top w:val="nil"/>
              <w:left w:val="nil"/>
              <w:bottom w:val="nil"/>
              <w:right w:val="nil"/>
            </w:tcBorders>
            <w:shd w:val="clear" w:color="auto" w:fill="auto"/>
            <w:noWrap/>
            <w:vAlign w:val="center"/>
            <w:hideMark/>
          </w:tcPr>
          <w:p w14:paraId="02CC69A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u w:val="single"/>
                <w:lang w:eastAsia="en-GB"/>
              </w:rPr>
              <w:t>Duomenų šaltinių ir skaičiavimų (įverčių) santrumpos</w:t>
            </w:r>
            <w:r w:rsidRPr="00241D28">
              <w:rPr>
                <w:rFonts w:ascii="Times New Roman" w:eastAsia="Times New Roman" w:hAnsi="Times New Roman"/>
                <w:color w:val="000000"/>
                <w:sz w:val="12"/>
                <w:szCs w:val="12"/>
                <w:lang w:eastAsia="en-GB"/>
              </w:rPr>
              <w:t>:</w:t>
            </w:r>
          </w:p>
        </w:tc>
      </w:tr>
      <w:tr w:rsidR="00E51BCC" w:rsidRPr="00E76DD9" w14:paraId="1150EC7C" w14:textId="77777777" w:rsidTr="00BB1E9A">
        <w:trPr>
          <w:trHeight w:val="21"/>
          <w:jc w:val="center"/>
        </w:trPr>
        <w:tc>
          <w:tcPr>
            <w:tcW w:w="523" w:type="dxa"/>
            <w:tcBorders>
              <w:top w:val="nil"/>
              <w:left w:val="nil"/>
              <w:bottom w:val="single" w:sz="4" w:space="0" w:color="auto"/>
              <w:right w:val="nil"/>
            </w:tcBorders>
            <w:shd w:val="clear" w:color="000000" w:fill="FFFFFF"/>
            <w:noWrap/>
            <w:vAlign w:val="center"/>
            <w:hideMark/>
          </w:tcPr>
          <w:p w14:paraId="5B2E1ADF" w14:textId="77777777" w:rsidR="00E51BCC" w:rsidRPr="00241D28" w:rsidRDefault="00E51BCC" w:rsidP="00C4389C">
            <w:pPr>
              <w:spacing w:after="0" w:line="240" w:lineRule="auto"/>
              <w:jc w:val="both"/>
              <w:rPr>
                <w:rFonts w:ascii="Times New Roman" w:eastAsia="Times New Roman" w:hAnsi="Times New Roman"/>
                <w:b/>
                <w:bCs/>
                <w:color w:val="000000"/>
                <w:sz w:val="12"/>
                <w:szCs w:val="12"/>
                <w:lang w:eastAsia="en-GB"/>
              </w:rPr>
            </w:pPr>
            <w:r w:rsidRPr="00241D28">
              <w:rPr>
                <w:rFonts w:ascii="Times New Roman" w:eastAsia="Times New Roman" w:hAnsi="Times New Roman"/>
                <w:b/>
                <w:bCs/>
                <w:color w:val="000000"/>
                <w:sz w:val="12"/>
                <w:szCs w:val="12"/>
                <w:lang w:eastAsia="en-GB"/>
              </w:rPr>
              <w:t> </w:t>
            </w:r>
          </w:p>
        </w:tc>
        <w:tc>
          <w:tcPr>
            <w:tcW w:w="1413" w:type="dxa"/>
            <w:tcBorders>
              <w:top w:val="nil"/>
              <w:left w:val="nil"/>
              <w:bottom w:val="nil"/>
              <w:right w:val="nil"/>
            </w:tcBorders>
            <w:shd w:val="clear" w:color="000000" w:fill="FFFFFF"/>
            <w:noWrap/>
            <w:vAlign w:val="center"/>
            <w:hideMark/>
          </w:tcPr>
          <w:p w14:paraId="12C9B44E" w14:textId="77777777" w:rsidR="00E51BCC" w:rsidRPr="00241D28" w:rsidRDefault="00E51BCC" w:rsidP="00C4389C">
            <w:pPr>
              <w:spacing w:after="0" w:line="240" w:lineRule="auto"/>
              <w:jc w:val="both"/>
              <w:rPr>
                <w:rFonts w:ascii="Times New Roman" w:eastAsia="Times New Roman" w:hAnsi="Times New Roman"/>
                <w:b/>
                <w:bCs/>
                <w:color w:val="000000"/>
                <w:sz w:val="12"/>
                <w:szCs w:val="12"/>
                <w:lang w:eastAsia="en-GB"/>
              </w:rPr>
            </w:pPr>
            <w:r w:rsidRPr="00241D28">
              <w:rPr>
                <w:rFonts w:ascii="Times New Roman" w:eastAsia="Times New Roman" w:hAnsi="Times New Roman"/>
                <w:b/>
                <w:bCs/>
                <w:color w:val="000000"/>
                <w:sz w:val="12"/>
                <w:szCs w:val="12"/>
                <w:lang w:eastAsia="en-GB"/>
              </w:rPr>
              <w:t> </w:t>
            </w:r>
          </w:p>
        </w:tc>
        <w:tc>
          <w:tcPr>
            <w:tcW w:w="847" w:type="dxa"/>
            <w:tcBorders>
              <w:top w:val="nil"/>
              <w:left w:val="single" w:sz="4" w:space="0" w:color="auto"/>
              <w:bottom w:val="single" w:sz="4" w:space="0" w:color="auto"/>
              <w:right w:val="nil"/>
            </w:tcBorders>
            <w:shd w:val="clear" w:color="000000" w:fill="D9D9D9"/>
            <w:noWrap/>
            <w:vAlign w:val="center"/>
            <w:hideMark/>
          </w:tcPr>
          <w:p w14:paraId="5F16DF4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NFB</w:t>
            </w:r>
          </w:p>
        </w:tc>
        <w:tc>
          <w:tcPr>
            <w:tcW w:w="706" w:type="dxa"/>
            <w:tcBorders>
              <w:top w:val="nil"/>
              <w:left w:val="nil"/>
              <w:bottom w:val="single" w:sz="4" w:space="0" w:color="auto"/>
              <w:right w:val="nil"/>
            </w:tcBorders>
            <w:shd w:val="clear" w:color="000000" w:fill="D9D9D9"/>
            <w:noWrap/>
            <w:vAlign w:val="center"/>
            <w:hideMark/>
          </w:tcPr>
          <w:p w14:paraId="0B7FFFC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384" w:type="dxa"/>
            <w:gridSpan w:val="2"/>
            <w:tcBorders>
              <w:top w:val="nil"/>
              <w:left w:val="nil"/>
              <w:bottom w:val="single" w:sz="4" w:space="0" w:color="auto"/>
              <w:right w:val="nil"/>
            </w:tcBorders>
            <w:shd w:val="clear" w:color="000000" w:fill="D9D9D9"/>
            <w:noWrap/>
            <w:vAlign w:val="center"/>
            <w:hideMark/>
          </w:tcPr>
          <w:p w14:paraId="488376F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712" w:type="dxa"/>
            <w:gridSpan w:val="2"/>
            <w:tcBorders>
              <w:top w:val="nil"/>
              <w:left w:val="nil"/>
              <w:bottom w:val="single" w:sz="4" w:space="0" w:color="auto"/>
              <w:right w:val="nil"/>
            </w:tcBorders>
            <w:shd w:val="clear" w:color="000000" w:fill="D9D9D9"/>
            <w:noWrap/>
            <w:vAlign w:val="center"/>
            <w:hideMark/>
          </w:tcPr>
          <w:p w14:paraId="7677B22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KFT</w:t>
            </w:r>
          </w:p>
        </w:tc>
        <w:tc>
          <w:tcPr>
            <w:tcW w:w="508" w:type="dxa"/>
            <w:tcBorders>
              <w:top w:val="nil"/>
              <w:left w:val="nil"/>
              <w:bottom w:val="single" w:sz="4" w:space="0" w:color="auto"/>
              <w:right w:val="nil"/>
            </w:tcBorders>
            <w:shd w:val="clear" w:color="000000" w:fill="D9D9D9"/>
            <w:noWrap/>
            <w:vAlign w:val="center"/>
            <w:hideMark/>
          </w:tcPr>
          <w:p w14:paraId="68F97201"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w:t>
            </w:r>
          </w:p>
        </w:tc>
        <w:tc>
          <w:tcPr>
            <w:tcW w:w="513" w:type="dxa"/>
            <w:tcBorders>
              <w:top w:val="nil"/>
              <w:left w:val="nil"/>
              <w:bottom w:val="single" w:sz="4" w:space="0" w:color="auto"/>
              <w:right w:val="nil"/>
            </w:tcBorders>
            <w:shd w:val="clear" w:color="000000" w:fill="D9D9D9"/>
            <w:noWrap/>
            <w:vAlign w:val="center"/>
            <w:hideMark/>
          </w:tcPr>
          <w:p w14:paraId="44977E4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669" w:type="dxa"/>
            <w:tcBorders>
              <w:top w:val="nil"/>
              <w:left w:val="nil"/>
              <w:bottom w:val="single" w:sz="4" w:space="0" w:color="auto"/>
              <w:right w:val="nil"/>
            </w:tcBorders>
            <w:shd w:val="clear" w:color="000000" w:fill="D9D9D9"/>
            <w:noWrap/>
            <w:vAlign w:val="center"/>
            <w:hideMark/>
          </w:tcPr>
          <w:p w14:paraId="02D47BE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VS</w:t>
            </w:r>
          </w:p>
        </w:tc>
        <w:tc>
          <w:tcPr>
            <w:tcW w:w="743" w:type="dxa"/>
            <w:tcBorders>
              <w:top w:val="nil"/>
              <w:left w:val="nil"/>
              <w:bottom w:val="single" w:sz="4" w:space="0" w:color="auto"/>
              <w:right w:val="nil"/>
            </w:tcBorders>
            <w:shd w:val="clear" w:color="000000" w:fill="D9D9D9"/>
            <w:noWrap/>
            <w:vAlign w:val="center"/>
            <w:hideMark/>
          </w:tcPr>
          <w:p w14:paraId="2CA22E6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NŪ+</w:t>
            </w:r>
          </w:p>
          <w:p w14:paraId="64DAE4F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NŪNPI</w:t>
            </w:r>
          </w:p>
        </w:tc>
        <w:tc>
          <w:tcPr>
            <w:tcW w:w="405" w:type="dxa"/>
            <w:tcBorders>
              <w:top w:val="nil"/>
              <w:left w:val="nil"/>
              <w:bottom w:val="single" w:sz="4" w:space="0" w:color="auto"/>
              <w:right w:val="single" w:sz="4" w:space="0" w:color="auto"/>
            </w:tcBorders>
            <w:shd w:val="clear" w:color="000000" w:fill="D9D9D9"/>
            <w:noWrap/>
            <w:vAlign w:val="center"/>
            <w:hideMark/>
          </w:tcPr>
          <w:p w14:paraId="3C8E7D0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LP</w:t>
            </w:r>
          </w:p>
        </w:tc>
        <w:tc>
          <w:tcPr>
            <w:tcW w:w="574" w:type="dxa"/>
            <w:tcBorders>
              <w:top w:val="nil"/>
              <w:left w:val="nil"/>
              <w:bottom w:val="single" w:sz="4" w:space="0" w:color="auto"/>
              <w:right w:val="nil"/>
            </w:tcBorders>
            <w:shd w:val="clear" w:color="000000" w:fill="D9D9D9"/>
            <w:noWrap/>
            <w:vAlign w:val="center"/>
            <w:hideMark/>
          </w:tcPr>
          <w:p w14:paraId="415FFA5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NFB</w:t>
            </w:r>
          </w:p>
        </w:tc>
        <w:tc>
          <w:tcPr>
            <w:tcW w:w="574" w:type="dxa"/>
            <w:tcBorders>
              <w:top w:val="nil"/>
              <w:left w:val="nil"/>
              <w:bottom w:val="single" w:sz="4" w:space="0" w:color="auto"/>
              <w:right w:val="nil"/>
            </w:tcBorders>
            <w:shd w:val="clear" w:color="000000" w:fill="D9D9D9"/>
            <w:noWrap/>
            <w:vAlign w:val="center"/>
            <w:hideMark/>
          </w:tcPr>
          <w:p w14:paraId="1A14CD2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430" w:type="dxa"/>
            <w:tcBorders>
              <w:top w:val="nil"/>
              <w:left w:val="nil"/>
              <w:bottom w:val="single" w:sz="4" w:space="0" w:color="auto"/>
              <w:right w:val="nil"/>
            </w:tcBorders>
            <w:shd w:val="clear" w:color="000000" w:fill="D9D9D9"/>
            <w:noWrap/>
            <w:vAlign w:val="center"/>
            <w:hideMark/>
          </w:tcPr>
          <w:p w14:paraId="2B0F255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574" w:type="dxa"/>
            <w:tcBorders>
              <w:top w:val="nil"/>
              <w:left w:val="nil"/>
              <w:bottom w:val="single" w:sz="4" w:space="0" w:color="auto"/>
              <w:right w:val="nil"/>
            </w:tcBorders>
            <w:shd w:val="clear" w:color="000000" w:fill="D9D9D9"/>
            <w:noWrap/>
            <w:vAlign w:val="center"/>
            <w:hideMark/>
          </w:tcPr>
          <w:p w14:paraId="7F17473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KFT</w:t>
            </w:r>
          </w:p>
        </w:tc>
        <w:tc>
          <w:tcPr>
            <w:tcW w:w="490" w:type="dxa"/>
            <w:tcBorders>
              <w:top w:val="nil"/>
              <w:left w:val="nil"/>
              <w:bottom w:val="single" w:sz="4" w:space="0" w:color="auto"/>
              <w:right w:val="nil"/>
            </w:tcBorders>
            <w:shd w:val="clear" w:color="000000" w:fill="D9D9D9"/>
            <w:noWrap/>
            <w:vAlign w:val="center"/>
            <w:hideMark/>
          </w:tcPr>
          <w:p w14:paraId="3B145BC1"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w:t>
            </w:r>
          </w:p>
        </w:tc>
        <w:tc>
          <w:tcPr>
            <w:tcW w:w="552" w:type="dxa"/>
            <w:tcBorders>
              <w:top w:val="nil"/>
              <w:left w:val="nil"/>
              <w:bottom w:val="single" w:sz="4" w:space="0" w:color="auto"/>
              <w:right w:val="nil"/>
            </w:tcBorders>
            <w:shd w:val="clear" w:color="000000" w:fill="D9D9D9"/>
            <w:noWrap/>
            <w:vAlign w:val="center"/>
            <w:hideMark/>
          </w:tcPr>
          <w:p w14:paraId="1710D34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709" w:type="dxa"/>
            <w:tcBorders>
              <w:top w:val="nil"/>
              <w:left w:val="nil"/>
              <w:bottom w:val="single" w:sz="4" w:space="0" w:color="auto"/>
              <w:right w:val="nil"/>
            </w:tcBorders>
            <w:shd w:val="clear" w:color="000000" w:fill="D9D9D9"/>
            <w:noWrap/>
            <w:vAlign w:val="center"/>
            <w:hideMark/>
          </w:tcPr>
          <w:p w14:paraId="7B87292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VS</w:t>
            </w:r>
          </w:p>
        </w:tc>
        <w:tc>
          <w:tcPr>
            <w:tcW w:w="709" w:type="dxa"/>
            <w:tcBorders>
              <w:top w:val="nil"/>
              <w:left w:val="nil"/>
              <w:bottom w:val="single" w:sz="4" w:space="0" w:color="auto"/>
              <w:right w:val="nil"/>
            </w:tcBorders>
            <w:shd w:val="clear" w:color="000000" w:fill="D9D9D9"/>
            <w:noWrap/>
            <w:vAlign w:val="center"/>
            <w:hideMark/>
          </w:tcPr>
          <w:p w14:paraId="0B42CAD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NŪ+</w:t>
            </w:r>
          </w:p>
          <w:p w14:paraId="1C6D1FF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NŪNPI</w:t>
            </w:r>
          </w:p>
        </w:tc>
        <w:tc>
          <w:tcPr>
            <w:tcW w:w="425" w:type="dxa"/>
            <w:tcBorders>
              <w:top w:val="nil"/>
              <w:left w:val="nil"/>
              <w:bottom w:val="single" w:sz="4" w:space="0" w:color="auto"/>
              <w:right w:val="single" w:sz="4" w:space="0" w:color="auto"/>
            </w:tcBorders>
            <w:shd w:val="clear" w:color="000000" w:fill="D9D9D9"/>
            <w:noWrap/>
            <w:vAlign w:val="center"/>
            <w:hideMark/>
          </w:tcPr>
          <w:p w14:paraId="2170B3A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LP</w:t>
            </w:r>
          </w:p>
        </w:tc>
        <w:tc>
          <w:tcPr>
            <w:tcW w:w="472" w:type="dxa"/>
            <w:tcBorders>
              <w:top w:val="nil"/>
              <w:left w:val="nil"/>
              <w:bottom w:val="nil"/>
              <w:right w:val="nil"/>
            </w:tcBorders>
            <w:shd w:val="clear" w:color="auto" w:fill="auto"/>
            <w:noWrap/>
            <w:vAlign w:val="center"/>
            <w:hideMark/>
          </w:tcPr>
          <w:p w14:paraId="7BA8F4D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NFB</w:t>
            </w:r>
          </w:p>
        </w:tc>
        <w:tc>
          <w:tcPr>
            <w:tcW w:w="2781" w:type="dxa"/>
            <w:tcBorders>
              <w:top w:val="nil"/>
              <w:left w:val="nil"/>
              <w:bottom w:val="nil"/>
              <w:right w:val="nil"/>
            </w:tcBorders>
            <w:shd w:val="clear" w:color="auto" w:fill="auto"/>
            <w:noWrap/>
            <w:vAlign w:val="center"/>
            <w:hideMark/>
          </w:tcPr>
          <w:p w14:paraId="1BC5E0E2" w14:textId="23C3A2F2" w:rsidR="00E51BCC" w:rsidRPr="00241D28" w:rsidRDefault="00BB1E9A" w:rsidP="006F4D56">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sz w:val="12"/>
                <w:szCs w:val="12"/>
                <w:lang w:eastAsia="en-GB"/>
              </w:rPr>
              <w:t>Metinis n</w:t>
            </w:r>
            <w:r w:rsidR="006F4D56">
              <w:rPr>
                <w:rFonts w:ascii="Times New Roman" w:eastAsia="Times New Roman" w:hAnsi="Times New Roman"/>
                <w:sz w:val="12"/>
                <w:szCs w:val="12"/>
                <w:lang w:eastAsia="en-GB"/>
              </w:rPr>
              <w:t>e</w:t>
            </w:r>
            <w:r w:rsidR="00E51BCC" w:rsidRPr="00241D28">
              <w:rPr>
                <w:rFonts w:ascii="Times New Roman" w:eastAsia="Times New Roman" w:hAnsi="Times New Roman"/>
                <w:sz w:val="12"/>
                <w:szCs w:val="12"/>
                <w:lang w:eastAsia="en-GB"/>
              </w:rPr>
              <w:t xml:space="preserve"> finansų bendrovių statistinis tyrimas </w:t>
            </w:r>
          </w:p>
        </w:tc>
      </w:tr>
      <w:tr w:rsidR="00E51BCC" w:rsidRPr="00E76DD9" w14:paraId="4994C961" w14:textId="77777777" w:rsidTr="00BB1E9A">
        <w:trPr>
          <w:trHeight w:val="21"/>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688D153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F11</w:t>
            </w:r>
          </w:p>
        </w:tc>
        <w:tc>
          <w:tcPr>
            <w:tcW w:w="1413" w:type="dxa"/>
            <w:tcBorders>
              <w:top w:val="single" w:sz="4" w:space="0" w:color="auto"/>
              <w:left w:val="nil"/>
              <w:bottom w:val="nil"/>
              <w:right w:val="nil"/>
            </w:tcBorders>
            <w:shd w:val="clear" w:color="000000" w:fill="D9D9D9"/>
            <w:vAlign w:val="center"/>
            <w:hideMark/>
          </w:tcPr>
          <w:p w14:paraId="07745D8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xml:space="preserve">Piniginis auksas </w:t>
            </w:r>
          </w:p>
        </w:tc>
        <w:tc>
          <w:tcPr>
            <w:tcW w:w="847" w:type="dxa"/>
            <w:tcBorders>
              <w:top w:val="single" w:sz="4" w:space="0" w:color="auto"/>
              <w:left w:val="single" w:sz="4" w:space="0" w:color="auto"/>
              <w:bottom w:val="nil"/>
              <w:right w:val="nil"/>
            </w:tcBorders>
            <w:shd w:val="clear" w:color="auto" w:fill="D9D9D9" w:themeFill="background1" w:themeFillShade="D9"/>
            <w:noWrap/>
            <w:vAlign w:val="center"/>
            <w:hideMark/>
          </w:tcPr>
          <w:p w14:paraId="163445B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xml:space="preserve"> </w:t>
            </w:r>
          </w:p>
        </w:tc>
        <w:tc>
          <w:tcPr>
            <w:tcW w:w="706" w:type="dxa"/>
            <w:tcBorders>
              <w:top w:val="single" w:sz="4" w:space="0" w:color="auto"/>
              <w:left w:val="nil"/>
              <w:bottom w:val="nil"/>
              <w:right w:val="nil"/>
            </w:tcBorders>
            <w:shd w:val="clear" w:color="auto" w:fill="auto"/>
            <w:noWrap/>
            <w:vAlign w:val="center"/>
            <w:hideMark/>
          </w:tcPr>
          <w:p w14:paraId="6E62DF6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384" w:type="dxa"/>
            <w:gridSpan w:val="2"/>
            <w:tcBorders>
              <w:top w:val="single" w:sz="4" w:space="0" w:color="auto"/>
              <w:left w:val="nil"/>
              <w:bottom w:val="nil"/>
              <w:right w:val="nil"/>
            </w:tcBorders>
            <w:shd w:val="clear" w:color="auto" w:fill="D9D9D9" w:themeFill="background1" w:themeFillShade="D9"/>
            <w:noWrap/>
            <w:vAlign w:val="center"/>
            <w:hideMark/>
          </w:tcPr>
          <w:p w14:paraId="62228561"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12" w:type="dxa"/>
            <w:gridSpan w:val="2"/>
            <w:tcBorders>
              <w:top w:val="single" w:sz="4" w:space="0" w:color="auto"/>
              <w:left w:val="nil"/>
              <w:bottom w:val="nil"/>
              <w:right w:val="nil"/>
            </w:tcBorders>
            <w:shd w:val="clear" w:color="auto" w:fill="D9D9D9" w:themeFill="background1" w:themeFillShade="D9"/>
            <w:noWrap/>
            <w:vAlign w:val="center"/>
            <w:hideMark/>
          </w:tcPr>
          <w:p w14:paraId="6163D55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08" w:type="dxa"/>
            <w:tcBorders>
              <w:top w:val="single" w:sz="4" w:space="0" w:color="auto"/>
              <w:left w:val="nil"/>
              <w:bottom w:val="nil"/>
              <w:right w:val="nil"/>
            </w:tcBorders>
            <w:shd w:val="clear" w:color="auto" w:fill="D9D9D9" w:themeFill="background1" w:themeFillShade="D9"/>
            <w:noWrap/>
            <w:vAlign w:val="center"/>
            <w:hideMark/>
          </w:tcPr>
          <w:p w14:paraId="4DFC7B8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13" w:type="dxa"/>
            <w:tcBorders>
              <w:top w:val="single" w:sz="4" w:space="0" w:color="auto"/>
              <w:left w:val="nil"/>
              <w:bottom w:val="nil"/>
              <w:right w:val="nil"/>
            </w:tcBorders>
            <w:shd w:val="clear" w:color="auto" w:fill="D9D9D9" w:themeFill="background1" w:themeFillShade="D9"/>
            <w:noWrap/>
            <w:vAlign w:val="center"/>
            <w:hideMark/>
          </w:tcPr>
          <w:p w14:paraId="6A1B5C0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669" w:type="dxa"/>
            <w:tcBorders>
              <w:top w:val="single" w:sz="4" w:space="0" w:color="auto"/>
              <w:left w:val="nil"/>
              <w:bottom w:val="nil"/>
              <w:right w:val="nil"/>
            </w:tcBorders>
            <w:shd w:val="clear" w:color="auto" w:fill="auto"/>
            <w:noWrap/>
            <w:vAlign w:val="center"/>
            <w:hideMark/>
          </w:tcPr>
          <w:p w14:paraId="36A67A0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743" w:type="dxa"/>
            <w:tcBorders>
              <w:top w:val="single" w:sz="4" w:space="0" w:color="auto"/>
              <w:left w:val="nil"/>
              <w:bottom w:val="nil"/>
              <w:right w:val="nil"/>
            </w:tcBorders>
            <w:shd w:val="clear" w:color="auto" w:fill="D9D9D9" w:themeFill="background1" w:themeFillShade="D9"/>
            <w:noWrap/>
            <w:vAlign w:val="center"/>
            <w:hideMark/>
          </w:tcPr>
          <w:p w14:paraId="2BA3E6D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05" w:type="dxa"/>
            <w:tcBorders>
              <w:top w:val="nil"/>
              <w:left w:val="nil"/>
              <w:bottom w:val="nil"/>
              <w:right w:val="single" w:sz="4" w:space="0" w:color="auto"/>
            </w:tcBorders>
            <w:shd w:val="clear" w:color="auto" w:fill="auto"/>
            <w:noWrap/>
            <w:vAlign w:val="center"/>
            <w:hideMark/>
          </w:tcPr>
          <w:p w14:paraId="49DC65F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574" w:type="dxa"/>
            <w:tcBorders>
              <w:top w:val="single" w:sz="4" w:space="0" w:color="auto"/>
              <w:left w:val="nil"/>
              <w:bottom w:val="nil"/>
              <w:right w:val="nil"/>
            </w:tcBorders>
            <w:shd w:val="clear" w:color="auto" w:fill="D9D9D9" w:themeFill="background1" w:themeFillShade="D9"/>
            <w:noWrap/>
            <w:vAlign w:val="center"/>
            <w:hideMark/>
          </w:tcPr>
          <w:p w14:paraId="274122C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bottom w:val="nil"/>
              <w:right w:val="nil"/>
            </w:tcBorders>
            <w:shd w:val="clear" w:color="auto" w:fill="auto"/>
            <w:noWrap/>
            <w:vAlign w:val="center"/>
            <w:hideMark/>
          </w:tcPr>
          <w:p w14:paraId="08E008E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430" w:type="dxa"/>
            <w:tcBorders>
              <w:top w:val="single" w:sz="4" w:space="0" w:color="auto"/>
              <w:left w:val="nil"/>
              <w:bottom w:val="nil"/>
              <w:right w:val="nil"/>
            </w:tcBorders>
            <w:shd w:val="clear" w:color="auto" w:fill="D9D9D9" w:themeFill="background1" w:themeFillShade="D9"/>
            <w:noWrap/>
            <w:vAlign w:val="center"/>
            <w:hideMark/>
          </w:tcPr>
          <w:p w14:paraId="15C2733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single" w:sz="4" w:space="0" w:color="auto"/>
              <w:left w:val="nil"/>
              <w:bottom w:val="nil"/>
              <w:right w:val="nil"/>
            </w:tcBorders>
            <w:shd w:val="clear" w:color="auto" w:fill="D9D9D9" w:themeFill="background1" w:themeFillShade="D9"/>
            <w:noWrap/>
            <w:vAlign w:val="center"/>
            <w:hideMark/>
          </w:tcPr>
          <w:p w14:paraId="5FCBC58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90" w:type="dxa"/>
            <w:tcBorders>
              <w:top w:val="single" w:sz="4" w:space="0" w:color="auto"/>
              <w:left w:val="nil"/>
              <w:bottom w:val="nil"/>
              <w:right w:val="nil"/>
            </w:tcBorders>
            <w:shd w:val="clear" w:color="auto" w:fill="D9D9D9" w:themeFill="background1" w:themeFillShade="D9"/>
            <w:noWrap/>
            <w:vAlign w:val="center"/>
            <w:hideMark/>
          </w:tcPr>
          <w:p w14:paraId="276581C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52" w:type="dxa"/>
            <w:tcBorders>
              <w:top w:val="single" w:sz="4" w:space="0" w:color="auto"/>
              <w:left w:val="nil"/>
              <w:bottom w:val="nil"/>
              <w:right w:val="nil"/>
            </w:tcBorders>
            <w:shd w:val="clear" w:color="auto" w:fill="D9D9D9" w:themeFill="background1" w:themeFillShade="D9"/>
            <w:noWrap/>
            <w:vAlign w:val="center"/>
            <w:hideMark/>
          </w:tcPr>
          <w:p w14:paraId="7C301F1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09" w:type="dxa"/>
            <w:tcBorders>
              <w:top w:val="single" w:sz="4" w:space="0" w:color="auto"/>
              <w:left w:val="nil"/>
              <w:right w:val="nil"/>
            </w:tcBorders>
            <w:shd w:val="clear" w:color="auto" w:fill="D9D9D9" w:themeFill="background1" w:themeFillShade="D9"/>
            <w:noWrap/>
            <w:vAlign w:val="center"/>
            <w:hideMark/>
          </w:tcPr>
          <w:p w14:paraId="5D26460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09" w:type="dxa"/>
            <w:tcBorders>
              <w:top w:val="single" w:sz="4" w:space="0" w:color="auto"/>
              <w:left w:val="nil"/>
              <w:bottom w:val="nil"/>
              <w:right w:val="nil"/>
            </w:tcBorders>
            <w:shd w:val="clear" w:color="auto" w:fill="D9D9D9" w:themeFill="background1" w:themeFillShade="D9"/>
            <w:noWrap/>
            <w:vAlign w:val="center"/>
            <w:hideMark/>
          </w:tcPr>
          <w:p w14:paraId="2059075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25" w:type="dxa"/>
            <w:tcBorders>
              <w:top w:val="single" w:sz="4" w:space="0" w:color="auto"/>
              <w:left w:val="nil"/>
              <w:bottom w:val="nil"/>
              <w:right w:val="single" w:sz="4" w:space="0" w:color="auto"/>
            </w:tcBorders>
            <w:shd w:val="clear" w:color="auto" w:fill="auto"/>
            <w:noWrap/>
            <w:vAlign w:val="center"/>
            <w:hideMark/>
          </w:tcPr>
          <w:p w14:paraId="127C0A3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472" w:type="dxa"/>
            <w:tcBorders>
              <w:top w:val="nil"/>
              <w:left w:val="nil"/>
              <w:bottom w:val="nil"/>
              <w:right w:val="nil"/>
            </w:tcBorders>
            <w:shd w:val="clear" w:color="auto" w:fill="auto"/>
            <w:noWrap/>
            <w:vAlign w:val="center"/>
            <w:hideMark/>
          </w:tcPr>
          <w:p w14:paraId="3BA0F038" w14:textId="77777777" w:rsidR="001A6095" w:rsidRPr="00241D28" w:rsidRDefault="001A6095"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ST</w:t>
            </w:r>
          </w:p>
        </w:tc>
        <w:tc>
          <w:tcPr>
            <w:tcW w:w="2781" w:type="dxa"/>
            <w:tcBorders>
              <w:top w:val="nil"/>
              <w:left w:val="nil"/>
              <w:bottom w:val="nil"/>
              <w:right w:val="nil"/>
            </w:tcBorders>
            <w:shd w:val="clear" w:color="auto" w:fill="auto"/>
            <w:noWrap/>
            <w:vAlign w:val="center"/>
            <w:hideMark/>
          </w:tcPr>
          <w:p w14:paraId="282C6112" w14:textId="77777777" w:rsidR="001A6095" w:rsidRPr="00241D28" w:rsidRDefault="001A6095"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Statistinio tyrimo duomenys</w:t>
            </w:r>
          </w:p>
        </w:tc>
      </w:tr>
      <w:tr w:rsidR="00E51BCC" w:rsidRPr="00E76DD9" w14:paraId="3F57B47A" w14:textId="77777777" w:rsidTr="00BB1E9A">
        <w:trPr>
          <w:trHeight w:val="21"/>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6BFE5FE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p w14:paraId="18B2470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F12</w:t>
            </w:r>
          </w:p>
        </w:tc>
        <w:tc>
          <w:tcPr>
            <w:tcW w:w="1413" w:type="dxa"/>
            <w:tcBorders>
              <w:top w:val="nil"/>
              <w:left w:val="nil"/>
              <w:bottom w:val="nil"/>
              <w:right w:val="nil"/>
            </w:tcBorders>
            <w:shd w:val="clear" w:color="000000" w:fill="D9D9D9"/>
            <w:vAlign w:val="center"/>
            <w:hideMark/>
          </w:tcPr>
          <w:p w14:paraId="0A5BF29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xml:space="preserve">SST </w:t>
            </w:r>
          </w:p>
        </w:tc>
        <w:tc>
          <w:tcPr>
            <w:tcW w:w="847" w:type="dxa"/>
            <w:tcBorders>
              <w:top w:val="nil"/>
              <w:left w:val="single" w:sz="4" w:space="0" w:color="auto"/>
              <w:bottom w:val="nil"/>
              <w:right w:val="nil"/>
            </w:tcBorders>
            <w:shd w:val="clear" w:color="auto" w:fill="D9D9D9" w:themeFill="background1" w:themeFillShade="D9"/>
            <w:noWrap/>
            <w:vAlign w:val="center"/>
            <w:hideMark/>
          </w:tcPr>
          <w:p w14:paraId="04759DC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xml:space="preserve"> </w:t>
            </w:r>
          </w:p>
        </w:tc>
        <w:tc>
          <w:tcPr>
            <w:tcW w:w="706" w:type="dxa"/>
            <w:tcBorders>
              <w:top w:val="nil"/>
              <w:left w:val="nil"/>
              <w:bottom w:val="nil"/>
              <w:right w:val="nil"/>
            </w:tcBorders>
            <w:shd w:val="clear" w:color="auto" w:fill="auto"/>
            <w:noWrap/>
            <w:vAlign w:val="center"/>
            <w:hideMark/>
          </w:tcPr>
          <w:p w14:paraId="2F3209B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384" w:type="dxa"/>
            <w:gridSpan w:val="2"/>
            <w:tcBorders>
              <w:top w:val="nil"/>
              <w:left w:val="nil"/>
              <w:bottom w:val="nil"/>
              <w:right w:val="nil"/>
            </w:tcBorders>
            <w:shd w:val="clear" w:color="auto" w:fill="D9D9D9" w:themeFill="background1" w:themeFillShade="D9"/>
            <w:noWrap/>
            <w:vAlign w:val="center"/>
            <w:hideMark/>
          </w:tcPr>
          <w:p w14:paraId="2DAAD2E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12" w:type="dxa"/>
            <w:gridSpan w:val="2"/>
            <w:tcBorders>
              <w:top w:val="nil"/>
              <w:left w:val="nil"/>
              <w:bottom w:val="nil"/>
              <w:right w:val="nil"/>
            </w:tcBorders>
            <w:shd w:val="clear" w:color="auto" w:fill="D9D9D9" w:themeFill="background1" w:themeFillShade="D9"/>
            <w:noWrap/>
            <w:vAlign w:val="center"/>
            <w:hideMark/>
          </w:tcPr>
          <w:p w14:paraId="0D6A78B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08" w:type="dxa"/>
            <w:tcBorders>
              <w:top w:val="nil"/>
              <w:left w:val="nil"/>
              <w:right w:val="nil"/>
            </w:tcBorders>
            <w:shd w:val="clear" w:color="auto" w:fill="D9D9D9" w:themeFill="background1" w:themeFillShade="D9"/>
            <w:noWrap/>
            <w:vAlign w:val="center"/>
            <w:hideMark/>
          </w:tcPr>
          <w:p w14:paraId="48A6855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13" w:type="dxa"/>
            <w:tcBorders>
              <w:top w:val="nil"/>
              <w:left w:val="nil"/>
              <w:right w:val="nil"/>
            </w:tcBorders>
            <w:shd w:val="clear" w:color="auto" w:fill="D9D9D9" w:themeFill="background1" w:themeFillShade="D9"/>
            <w:noWrap/>
            <w:vAlign w:val="center"/>
            <w:hideMark/>
          </w:tcPr>
          <w:p w14:paraId="3756013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669" w:type="dxa"/>
            <w:tcBorders>
              <w:top w:val="nil"/>
              <w:left w:val="nil"/>
              <w:bottom w:val="nil"/>
              <w:right w:val="nil"/>
            </w:tcBorders>
            <w:shd w:val="clear" w:color="auto" w:fill="auto"/>
            <w:noWrap/>
            <w:vAlign w:val="center"/>
            <w:hideMark/>
          </w:tcPr>
          <w:p w14:paraId="7978A38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743" w:type="dxa"/>
            <w:tcBorders>
              <w:top w:val="nil"/>
              <w:left w:val="nil"/>
              <w:bottom w:val="nil"/>
              <w:right w:val="nil"/>
            </w:tcBorders>
            <w:shd w:val="clear" w:color="auto" w:fill="D9D9D9" w:themeFill="background1" w:themeFillShade="D9"/>
            <w:noWrap/>
            <w:vAlign w:val="center"/>
            <w:hideMark/>
          </w:tcPr>
          <w:p w14:paraId="2426F72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05" w:type="dxa"/>
            <w:tcBorders>
              <w:top w:val="nil"/>
              <w:left w:val="nil"/>
              <w:bottom w:val="nil"/>
              <w:right w:val="single" w:sz="4" w:space="0" w:color="auto"/>
            </w:tcBorders>
            <w:shd w:val="clear" w:color="auto" w:fill="auto"/>
            <w:noWrap/>
            <w:vAlign w:val="center"/>
            <w:hideMark/>
          </w:tcPr>
          <w:p w14:paraId="05E5073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574" w:type="dxa"/>
            <w:tcBorders>
              <w:top w:val="nil"/>
              <w:left w:val="nil"/>
              <w:bottom w:val="nil"/>
              <w:right w:val="nil"/>
            </w:tcBorders>
            <w:shd w:val="clear" w:color="auto" w:fill="D9D9D9" w:themeFill="background1" w:themeFillShade="D9"/>
            <w:noWrap/>
            <w:vAlign w:val="center"/>
            <w:hideMark/>
          </w:tcPr>
          <w:p w14:paraId="3E526D3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bottom w:val="nil"/>
              <w:right w:val="nil"/>
            </w:tcBorders>
            <w:shd w:val="clear" w:color="auto" w:fill="auto"/>
            <w:noWrap/>
            <w:vAlign w:val="center"/>
            <w:hideMark/>
          </w:tcPr>
          <w:p w14:paraId="7B35E06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430" w:type="dxa"/>
            <w:tcBorders>
              <w:top w:val="nil"/>
              <w:left w:val="nil"/>
              <w:bottom w:val="nil"/>
              <w:right w:val="nil"/>
            </w:tcBorders>
            <w:shd w:val="clear" w:color="auto" w:fill="D9D9D9" w:themeFill="background1" w:themeFillShade="D9"/>
            <w:noWrap/>
            <w:vAlign w:val="center"/>
            <w:hideMark/>
          </w:tcPr>
          <w:p w14:paraId="5CEFADE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bottom w:val="nil"/>
              <w:right w:val="nil"/>
            </w:tcBorders>
            <w:shd w:val="clear" w:color="auto" w:fill="D9D9D9" w:themeFill="background1" w:themeFillShade="D9"/>
            <w:noWrap/>
            <w:vAlign w:val="center"/>
            <w:hideMark/>
          </w:tcPr>
          <w:p w14:paraId="71F078D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90" w:type="dxa"/>
            <w:tcBorders>
              <w:top w:val="nil"/>
              <w:left w:val="nil"/>
              <w:bottom w:val="nil"/>
              <w:right w:val="nil"/>
            </w:tcBorders>
            <w:shd w:val="clear" w:color="auto" w:fill="D9D9D9" w:themeFill="background1" w:themeFillShade="D9"/>
            <w:noWrap/>
            <w:vAlign w:val="center"/>
            <w:hideMark/>
          </w:tcPr>
          <w:p w14:paraId="3159F50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52" w:type="dxa"/>
            <w:tcBorders>
              <w:top w:val="nil"/>
              <w:left w:val="nil"/>
              <w:bottom w:val="nil"/>
              <w:right w:val="nil"/>
            </w:tcBorders>
            <w:shd w:val="clear" w:color="auto" w:fill="D9D9D9" w:themeFill="background1" w:themeFillShade="D9"/>
            <w:noWrap/>
            <w:vAlign w:val="center"/>
            <w:hideMark/>
          </w:tcPr>
          <w:p w14:paraId="631ADF3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09" w:type="dxa"/>
            <w:tcBorders>
              <w:top w:val="nil"/>
              <w:left w:val="nil"/>
              <w:bottom w:val="nil"/>
              <w:right w:val="nil"/>
            </w:tcBorders>
            <w:shd w:val="clear" w:color="auto" w:fill="auto"/>
            <w:noWrap/>
            <w:vAlign w:val="center"/>
            <w:hideMark/>
          </w:tcPr>
          <w:p w14:paraId="18F3407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709" w:type="dxa"/>
            <w:tcBorders>
              <w:top w:val="nil"/>
              <w:left w:val="nil"/>
              <w:bottom w:val="nil"/>
              <w:right w:val="nil"/>
            </w:tcBorders>
            <w:shd w:val="clear" w:color="auto" w:fill="D9D9D9" w:themeFill="background1" w:themeFillShade="D9"/>
            <w:noWrap/>
            <w:vAlign w:val="center"/>
            <w:hideMark/>
          </w:tcPr>
          <w:p w14:paraId="46FCE12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25" w:type="dxa"/>
            <w:tcBorders>
              <w:top w:val="nil"/>
              <w:left w:val="nil"/>
              <w:bottom w:val="nil"/>
              <w:right w:val="single" w:sz="4" w:space="0" w:color="auto"/>
            </w:tcBorders>
            <w:shd w:val="clear" w:color="auto" w:fill="auto"/>
            <w:noWrap/>
            <w:vAlign w:val="center"/>
            <w:hideMark/>
          </w:tcPr>
          <w:p w14:paraId="6E55AF4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472" w:type="dxa"/>
            <w:tcBorders>
              <w:top w:val="nil"/>
              <w:left w:val="nil"/>
              <w:bottom w:val="nil"/>
              <w:right w:val="nil"/>
            </w:tcBorders>
            <w:shd w:val="clear" w:color="auto" w:fill="auto"/>
            <w:noWrap/>
            <w:vAlign w:val="center"/>
            <w:hideMark/>
          </w:tcPr>
          <w:p w14:paraId="68319C5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p w14:paraId="5247B15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2781" w:type="dxa"/>
            <w:tcBorders>
              <w:top w:val="nil"/>
              <w:left w:val="nil"/>
              <w:bottom w:val="nil"/>
              <w:right w:val="nil"/>
            </w:tcBorders>
            <w:shd w:val="clear" w:color="auto" w:fill="auto"/>
            <w:noWrap/>
            <w:vAlign w:val="center"/>
            <w:hideMark/>
          </w:tcPr>
          <w:p w14:paraId="236A1FA2" w14:textId="77777777" w:rsidR="00E51BCC" w:rsidRPr="00241D28" w:rsidRDefault="00E51BCC" w:rsidP="00C4389C">
            <w:pPr>
              <w:spacing w:after="0" w:line="240" w:lineRule="auto"/>
              <w:jc w:val="both"/>
              <w:rPr>
                <w:rFonts w:ascii="Times New Roman" w:eastAsia="Times New Roman" w:hAnsi="Times New Roman"/>
                <w:sz w:val="12"/>
                <w:szCs w:val="12"/>
                <w:lang w:eastAsia="en-GB"/>
              </w:rPr>
            </w:pPr>
          </w:p>
          <w:p w14:paraId="394C4DF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sz w:val="12"/>
                <w:szCs w:val="12"/>
                <w:lang w:eastAsia="en-GB"/>
              </w:rPr>
              <w:t>PFĮ balansų statistika</w:t>
            </w:r>
          </w:p>
        </w:tc>
      </w:tr>
      <w:tr w:rsidR="00E51BCC" w:rsidRPr="00E76DD9" w14:paraId="3B3F64D8" w14:textId="77777777" w:rsidTr="00BB1E9A">
        <w:trPr>
          <w:trHeight w:val="21"/>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22B38B8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p w14:paraId="5CFD9B41"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F21</w:t>
            </w:r>
          </w:p>
        </w:tc>
        <w:tc>
          <w:tcPr>
            <w:tcW w:w="1413" w:type="dxa"/>
            <w:tcBorders>
              <w:top w:val="nil"/>
              <w:left w:val="nil"/>
              <w:bottom w:val="nil"/>
              <w:right w:val="nil"/>
            </w:tcBorders>
            <w:shd w:val="clear" w:color="000000" w:fill="D9D9D9"/>
            <w:vAlign w:val="center"/>
            <w:hideMark/>
          </w:tcPr>
          <w:p w14:paraId="0839F03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Pinigai</w:t>
            </w:r>
          </w:p>
        </w:tc>
        <w:tc>
          <w:tcPr>
            <w:tcW w:w="847" w:type="dxa"/>
            <w:tcBorders>
              <w:top w:val="nil"/>
              <w:left w:val="single" w:sz="4" w:space="0" w:color="auto"/>
              <w:bottom w:val="nil"/>
              <w:right w:val="nil"/>
            </w:tcBorders>
            <w:shd w:val="clear" w:color="auto" w:fill="auto"/>
            <w:noWrap/>
            <w:vAlign w:val="center"/>
            <w:hideMark/>
          </w:tcPr>
          <w:p w14:paraId="31C0710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r w:rsidR="00E84FC3" w:rsidRPr="00E84FC3">
              <w:rPr>
                <w:rFonts w:ascii="Times New Roman" w:eastAsia="Times New Roman" w:hAnsi="Times New Roman"/>
                <w:color w:val="000000"/>
                <w:sz w:val="12"/>
                <w:szCs w:val="12"/>
                <w:lang w:eastAsia="en-GB"/>
              </w:rPr>
              <w:t>e^^</w:t>
            </w:r>
          </w:p>
        </w:tc>
        <w:tc>
          <w:tcPr>
            <w:tcW w:w="706" w:type="dxa"/>
            <w:tcBorders>
              <w:top w:val="nil"/>
              <w:left w:val="nil"/>
              <w:bottom w:val="nil"/>
              <w:right w:val="nil"/>
            </w:tcBorders>
            <w:shd w:val="clear" w:color="auto" w:fill="auto"/>
            <w:noWrap/>
            <w:vAlign w:val="center"/>
            <w:hideMark/>
          </w:tcPr>
          <w:p w14:paraId="3EBBE7B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384" w:type="dxa"/>
            <w:gridSpan w:val="2"/>
            <w:tcBorders>
              <w:top w:val="nil"/>
              <w:left w:val="nil"/>
              <w:bottom w:val="nil"/>
              <w:right w:val="nil"/>
            </w:tcBorders>
            <w:shd w:val="clear" w:color="auto" w:fill="auto"/>
            <w:noWrap/>
            <w:vAlign w:val="center"/>
            <w:hideMark/>
          </w:tcPr>
          <w:p w14:paraId="49B6163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0</w:t>
            </w:r>
          </w:p>
        </w:tc>
        <w:tc>
          <w:tcPr>
            <w:tcW w:w="712" w:type="dxa"/>
            <w:gridSpan w:val="2"/>
            <w:tcBorders>
              <w:top w:val="nil"/>
              <w:left w:val="nil"/>
              <w:bottom w:val="nil"/>
              <w:right w:val="nil"/>
            </w:tcBorders>
            <w:shd w:val="clear" w:color="auto" w:fill="auto"/>
            <w:noWrap/>
            <w:vAlign w:val="center"/>
            <w:hideMark/>
          </w:tcPr>
          <w:p w14:paraId="697F7D5E" w14:textId="0EE41CB7" w:rsidR="00E51BCC" w:rsidRPr="00241D28" w:rsidRDefault="00E84FC3" w:rsidP="00E84FC3">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ST</w:t>
            </w:r>
            <w:r w:rsidR="00BB1E9A">
              <w:rPr>
                <w:rFonts w:ascii="Times New Roman" w:eastAsia="Times New Roman" w:hAnsi="Times New Roman"/>
                <w:color w:val="000000"/>
                <w:sz w:val="12"/>
                <w:szCs w:val="12"/>
                <w:vertAlign w:val="superscript"/>
                <w:lang w:eastAsia="en-GB"/>
              </w:rPr>
              <w:t>1</w:t>
            </w:r>
          </w:p>
        </w:tc>
        <w:tc>
          <w:tcPr>
            <w:tcW w:w="508" w:type="dxa"/>
            <w:tcBorders>
              <w:top w:val="nil"/>
              <w:left w:val="nil"/>
              <w:bottom w:val="nil"/>
              <w:right w:val="nil"/>
            </w:tcBorders>
            <w:shd w:val="clear" w:color="auto" w:fill="auto"/>
            <w:noWrap/>
            <w:vAlign w:val="center"/>
            <w:hideMark/>
          </w:tcPr>
          <w:p w14:paraId="5AF9783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513" w:type="dxa"/>
            <w:tcBorders>
              <w:top w:val="nil"/>
              <w:left w:val="nil"/>
              <w:bottom w:val="nil"/>
              <w:right w:val="nil"/>
            </w:tcBorders>
            <w:shd w:val="clear" w:color="auto" w:fill="auto"/>
            <w:noWrap/>
            <w:vAlign w:val="center"/>
            <w:hideMark/>
          </w:tcPr>
          <w:p w14:paraId="2F865DA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0 </w:t>
            </w:r>
          </w:p>
        </w:tc>
        <w:tc>
          <w:tcPr>
            <w:tcW w:w="669" w:type="dxa"/>
            <w:tcBorders>
              <w:top w:val="nil"/>
              <w:left w:val="nil"/>
              <w:bottom w:val="nil"/>
              <w:right w:val="nil"/>
            </w:tcBorders>
            <w:shd w:val="clear" w:color="auto" w:fill="auto"/>
            <w:noWrap/>
            <w:vAlign w:val="center"/>
            <w:hideMark/>
          </w:tcPr>
          <w:p w14:paraId="50C3B0E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0 </w:t>
            </w:r>
          </w:p>
        </w:tc>
        <w:tc>
          <w:tcPr>
            <w:tcW w:w="743" w:type="dxa"/>
            <w:tcBorders>
              <w:top w:val="nil"/>
              <w:left w:val="nil"/>
              <w:bottom w:val="nil"/>
              <w:right w:val="nil"/>
            </w:tcBorders>
            <w:shd w:val="clear" w:color="auto" w:fill="auto"/>
            <w:noWrap/>
            <w:vAlign w:val="center"/>
            <w:hideMark/>
          </w:tcPr>
          <w:p w14:paraId="7E67451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w:t>
            </w:r>
          </w:p>
        </w:tc>
        <w:tc>
          <w:tcPr>
            <w:tcW w:w="405" w:type="dxa"/>
            <w:tcBorders>
              <w:top w:val="nil"/>
              <w:left w:val="nil"/>
              <w:bottom w:val="nil"/>
              <w:right w:val="single" w:sz="4" w:space="0" w:color="auto"/>
            </w:tcBorders>
            <w:shd w:val="clear" w:color="auto" w:fill="auto"/>
            <w:noWrap/>
            <w:vAlign w:val="center"/>
            <w:hideMark/>
          </w:tcPr>
          <w:p w14:paraId="5AD2911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right w:val="nil"/>
            </w:tcBorders>
            <w:shd w:val="clear" w:color="auto" w:fill="D9D9D9" w:themeFill="background1" w:themeFillShade="D9"/>
            <w:noWrap/>
            <w:vAlign w:val="center"/>
            <w:hideMark/>
          </w:tcPr>
          <w:p w14:paraId="5B161F3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bottom w:val="nil"/>
              <w:right w:val="nil"/>
            </w:tcBorders>
            <w:shd w:val="clear" w:color="auto" w:fill="auto"/>
            <w:noWrap/>
            <w:vAlign w:val="center"/>
            <w:hideMark/>
          </w:tcPr>
          <w:p w14:paraId="7AB8495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430" w:type="dxa"/>
            <w:tcBorders>
              <w:top w:val="nil"/>
              <w:left w:val="nil"/>
              <w:bottom w:val="nil"/>
              <w:right w:val="nil"/>
            </w:tcBorders>
            <w:shd w:val="clear" w:color="auto" w:fill="D9D9D9" w:themeFill="background1" w:themeFillShade="D9"/>
            <w:noWrap/>
            <w:vAlign w:val="center"/>
            <w:hideMark/>
          </w:tcPr>
          <w:p w14:paraId="0AE33A1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bottom w:val="nil"/>
              <w:right w:val="nil"/>
            </w:tcBorders>
            <w:shd w:val="clear" w:color="auto" w:fill="D9D9D9" w:themeFill="background1" w:themeFillShade="D9"/>
            <w:noWrap/>
            <w:vAlign w:val="center"/>
            <w:hideMark/>
          </w:tcPr>
          <w:p w14:paraId="4A38854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90" w:type="dxa"/>
            <w:tcBorders>
              <w:top w:val="nil"/>
              <w:left w:val="nil"/>
              <w:bottom w:val="nil"/>
              <w:right w:val="nil"/>
            </w:tcBorders>
            <w:shd w:val="clear" w:color="auto" w:fill="D9D9D9" w:themeFill="background1" w:themeFillShade="D9"/>
            <w:noWrap/>
            <w:vAlign w:val="center"/>
            <w:hideMark/>
          </w:tcPr>
          <w:p w14:paraId="755EF25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52" w:type="dxa"/>
            <w:tcBorders>
              <w:top w:val="nil"/>
              <w:left w:val="nil"/>
              <w:bottom w:val="nil"/>
              <w:right w:val="nil"/>
            </w:tcBorders>
            <w:shd w:val="clear" w:color="auto" w:fill="D9D9D9" w:themeFill="background1" w:themeFillShade="D9"/>
            <w:noWrap/>
            <w:vAlign w:val="center"/>
            <w:hideMark/>
          </w:tcPr>
          <w:p w14:paraId="5683570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09" w:type="dxa"/>
            <w:tcBorders>
              <w:top w:val="nil"/>
              <w:left w:val="nil"/>
              <w:bottom w:val="nil"/>
              <w:right w:val="nil"/>
            </w:tcBorders>
            <w:shd w:val="clear" w:color="auto" w:fill="D9D9D9" w:themeFill="background1" w:themeFillShade="D9"/>
            <w:noWrap/>
            <w:vAlign w:val="center"/>
            <w:hideMark/>
          </w:tcPr>
          <w:p w14:paraId="07AFAC8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09" w:type="dxa"/>
            <w:tcBorders>
              <w:top w:val="nil"/>
              <w:left w:val="nil"/>
              <w:bottom w:val="nil"/>
              <w:right w:val="nil"/>
            </w:tcBorders>
            <w:shd w:val="clear" w:color="auto" w:fill="D9D9D9" w:themeFill="background1" w:themeFillShade="D9"/>
            <w:noWrap/>
            <w:vAlign w:val="center"/>
            <w:hideMark/>
          </w:tcPr>
          <w:p w14:paraId="79795A0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25" w:type="dxa"/>
            <w:tcBorders>
              <w:top w:val="nil"/>
              <w:left w:val="nil"/>
              <w:bottom w:val="nil"/>
              <w:right w:val="single" w:sz="4" w:space="0" w:color="auto"/>
            </w:tcBorders>
            <w:shd w:val="clear" w:color="auto" w:fill="auto"/>
            <w:noWrap/>
            <w:vAlign w:val="center"/>
            <w:hideMark/>
          </w:tcPr>
          <w:p w14:paraId="3F7EB85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472" w:type="dxa"/>
            <w:tcBorders>
              <w:top w:val="nil"/>
              <w:left w:val="nil"/>
              <w:bottom w:val="nil"/>
              <w:right w:val="nil"/>
            </w:tcBorders>
            <w:shd w:val="clear" w:color="auto" w:fill="auto"/>
            <w:noWrap/>
            <w:vAlign w:val="center"/>
            <w:hideMark/>
          </w:tcPr>
          <w:p w14:paraId="7B72FC0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p w14:paraId="053BA69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2781" w:type="dxa"/>
            <w:tcBorders>
              <w:top w:val="nil"/>
              <w:left w:val="nil"/>
              <w:bottom w:val="nil"/>
              <w:right w:val="nil"/>
            </w:tcBorders>
            <w:shd w:val="clear" w:color="auto" w:fill="auto"/>
            <w:noWrap/>
            <w:vAlign w:val="center"/>
            <w:hideMark/>
          </w:tcPr>
          <w:p w14:paraId="5C737122" w14:textId="77777777" w:rsidR="00E51BCC" w:rsidRPr="00241D28" w:rsidRDefault="00E51BCC" w:rsidP="00C4389C">
            <w:pPr>
              <w:spacing w:after="0" w:line="240" w:lineRule="auto"/>
              <w:jc w:val="both"/>
              <w:rPr>
                <w:rFonts w:ascii="Times New Roman" w:eastAsia="Times New Roman" w:hAnsi="Times New Roman"/>
                <w:sz w:val="12"/>
                <w:szCs w:val="12"/>
                <w:lang w:eastAsia="en-GB"/>
              </w:rPr>
            </w:pPr>
          </w:p>
          <w:p w14:paraId="53C8039C" w14:textId="77777777" w:rsidR="00E51BCC" w:rsidRPr="00241D28" w:rsidRDefault="006F4D56" w:rsidP="00C4389C">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sz w:val="12"/>
                <w:szCs w:val="12"/>
                <w:lang w:eastAsia="en-GB"/>
              </w:rPr>
              <w:t>I</w:t>
            </w:r>
            <w:r w:rsidR="00E51BCC" w:rsidRPr="00241D28">
              <w:rPr>
                <w:rFonts w:ascii="Times New Roman" w:eastAsia="Times New Roman" w:hAnsi="Times New Roman"/>
                <w:sz w:val="12"/>
                <w:szCs w:val="12"/>
                <w:lang w:eastAsia="en-GB"/>
              </w:rPr>
              <w:t>nvesticinių fondų statistika</w:t>
            </w:r>
          </w:p>
        </w:tc>
      </w:tr>
      <w:tr w:rsidR="00E51BCC" w:rsidRPr="00E76DD9" w14:paraId="46A09F74" w14:textId="77777777" w:rsidTr="00BB1E9A">
        <w:trPr>
          <w:trHeight w:val="21"/>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0A0C7EE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F22</w:t>
            </w:r>
          </w:p>
        </w:tc>
        <w:tc>
          <w:tcPr>
            <w:tcW w:w="1413" w:type="dxa"/>
            <w:tcBorders>
              <w:top w:val="nil"/>
              <w:left w:val="nil"/>
              <w:bottom w:val="nil"/>
              <w:right w:val="nil"/>
            </w:tcBorders>
            <w:shd w:val="clear" w:color="000000" w:fill="D9D9D9"/>
            <w:vAlign w:val="center"/>
            <w:hideMark/>
          </w:tcPr>
          <w:p w14:paraId="1C6CFB8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Pervedamieji indėliai</w:t>
            </w:r>
          </w:p>
        </w:tc>
        <w:tc>
          <w:tcPr>
            <w:tcW w:w="847" w:type="dxa"/>
            <w:tcBorders>
              <w:top w:val="nil"/>
              <w:left w:val="single" w:sz="4" w:space="0" w:color="auto"/>
              <w:bottom w:val="nil"/>
              <w:right w:val="nil"/>
            </w:tcBorders>
            <w:shd w:val="clear" w:color="auto" w:fill="auto"/>
            <w:noWrap/>
            <w:vAlign w:val="center"/>
            <w:hideMark/>
          </w:tcPr>
          <w:p w14:paraId="1BF9FF7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PFĮ*/MB</w:t>
            </w:r>
          </w:p>
        </w:tc>
        <w:tc>
          <w:tcPr>
            <w:tcW w:w="706" w:type="dxa"/>
            <w:tcBorders>
              <w:top w:val="nil"/>
              <w:left w:val="nil"/>
              <w:bottom w:val="nil"/>
              <w:right w:val="nil"/>
            </w:tcBorders>
            <w:shd w:val="clear" w:color="auto" w:fill="auto"/>
            <w:noWrap/>
            <w:vAlign w:val="center"/>
            <w:hideMark/>
          </w:tcPr>
          <w:p w14:paraId="60CA9CD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384" w:type="dxa"/>
            <w:gridSpan w:val="2"/>
            <w:tcBorders>
              <w:top w:val="nil"/>
              <w:left w:val="nil"/>
              <w:bottom w:val="nil"/>
              <w:right w:val="nil"/>
            </w:tcBorders>
            <w:shd w:val="clear" w:color="auto" w:fill="auto"/>
            <w:noWrap/>
            <w:vAlign w:val="center"/>
            <w:hideMark/>
          </w:tcPr>
          <w:p w14:paraId="57F00D2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712" w:type="dxa"/>
            <w:gridSpan w:val="2"/>
            <w:tcBorders>
              <w:top w:val="nil"/>
              <w:left w:val="nil"/>
              <w:bottom w:val="nil"/>
              <w:right w:val="nil"/>
            </w:tcBorders>
            <w:shd w:val="clear" w:color="auto" w:fill="auto"/>
            <w:noWrap/>
            <w:vAlign w:val="center"/>
            <w:hideMark/>
          </w:tcPr>
          <w:p w14:paraId="2F3515E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 / MB</w:t>
            </w:r>
          </w:p>
        </w:tc>
        <w:tc>
          <w:tcPr>
            <w:tcW w:w="508" w:type="dxa"/>
            <w:tcBorders>
              <w:top w:val="nil"/>
              <w:left w:val="nil"/>
              <w:bottom w:val="nil"/>
              <w:right w:val="nil"/>
            </w:tcBorders>
            <w:shd w:val="clear" w:color="auto" w:fill="auto"/>
            <w:noWrap/>
            <w:vAlign w:val="center"/>
            <w:hideMark/>
          </w:tcPr>
          <w:p w14:paraId="22959051" w14:textId="77777777" w:rsidR="00E51BCC" w:rsidRPr="00241D28" w:rsidRDefault="00997BD2"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p>
        </w:tc>
        <w:tc>
          <w:tcPr>
            <w:tcW w:w="513" w:type="dxa"/>
            <w:tcBorders>
              <w:top w:val="nil"/>
              <w:left w:val="nil"/>
              <w:bottom w:val="nil"/>
              <w:right w:val="nil"/>
            </w:tcBorders>
            <w:shd w:val="clear" w:color="auto" w:fill="auto"/>
            <w:noWrap/>
            <w:vAlign w:val="center"/>
            <w:hideMark/>
          </w:tcPr>
          <w:p w14:paraId="5ECE27A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669" w:type="dxa"/>
            <w:tcBorders>
              <w:top w:val="nil"/>
              <w:left w:val="nil"/>
              <w:bottom w:val="nil"/>
              <w:right w:val="nil"/>
            </w:tcBorders>
            <w:shd w:val="clear" w:color="auto" w:fill="auto"/>
            <w:noWrap/>
            <w:vAlign w:val="center"/>
            <w:hideMark/>
          </w:tcPr>
          <w:p w14:paraId="25D3FC4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KVSFS</w:t>
            </w:r>
          </w:p>
        </w:tc>
        <w:tc>
          <w:tcPr>
            <w:tcW w:w="743" w:type="dxa"/>
            <w:tcBorders>
              <w:top w:val="nil"/>
              <w:left w:val="nil"/>
              <w:bottom w:val="nil"/>
              <w:right w:val="nil"/>
            </w:tcBorders>
            <w:shd w:val="clear" w:color="auto" w:fill="auto"/>
            <w:noWrap/>
            <w:vAlign w:val="center"/>
            <w:hideMark/>
          </w:tcPr>
          <w:p w14:paraId="5082C62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405" w:type="dxa"/>
            <w:tcBorders>
              <w:top w:val="nil"/>
              <w:left w:val="nil"/>
              <w:bottom w:val="nil"/>
              <w:right w:val="single" w:sz="4" w:space="0" w:color="auto"/>
            </w:tcBorders>
            <w:shd w:val="clear" w:color="auto" w:fill="auto"/>
            <w:noWrap/>
            <w:vAlign w:val="center"/>
            <w:hideMark/>
          </w:tcPr>
          <w:p w14:paraId="43F8982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574" w:type="dxa"/>
            <w:tcBorders>
              <w:top w:val="nil"/>
              <w:left w:val="nil"/>
              <w:bottom w:val="nil"/>
              <w:right w:val="nil"/>
            </w:tcBorders>
            <w:shd w:val="clear" w:color="auto" w:fill="auto"/>
            <w:noWrap/>
            <w:vAlign w:val="center"/>
            <w:hideMark/>
          </w:tcPr>
          <w:p w14:paraId="32F16BF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574" w:type="dxa"/>
            <w:tcBorders>
              <w:top w:val="nil"/>
              <w:left w:val="nil"/>
              <w:bottom w:val="nil"/>
              <w:right w:val="nil"/>
            </w:tcBorders>
            <w:shd w:val="clear" w:color="auto" w:fill="auto"/>
            <w:noWrap/>
            <w:vAlign w:val="center"/>
            <w:hideMark/>
          </w:tcPr>
          <w:p w14:paraId="72C839E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430" w:type="dxa"/>
            <w:tcBorders>
              <w:top w:val="nil"/>
              <w:left w:val="nil"/>
              <w:right w:val="nil"/>
            </w:tcBorders>
            <w:shd w:val="clear" w:color="auto" w:fill="D9D9D9" w:themeFill="background1" w:themeFillShade="D9"/>
            <w:noWrap/>
            <w:vAlign w:val="center"/>
            <w:hideMark/>
          </w:tcPr>
          <w:p w14:paraId="0663065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bottom w:val="nil"/>
              <w:right w:val="nil"/>
            </w:tcBorders>
            <w:shd w:val="clear" w:color="auto" w:fill="D9D9D9" w:themeFill="background1" w:themeFillShade="D9"/>
            <w:noWrap/>
            <w:vAlign w:val="center"/>
            <w:hideMark/>
          </w:tcPr>
          <w:p w14:paraId="1FF768A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90" w:type="dxa"/>
            <w:tcBorders>
              <w:top w:val="nil"/>
              <w:left w:val="nil"/>
              <w:bottom w:val="nil"/>
              <w:right w:val="nil"/>
            </w:tcBorders>
            <w:shd w:val="clear" w:color="auto" w:fill="D9D9D9" w:themeFill="background1" w:themeFillShade="D9"/>
            <w:noWrap/>
            <w:vAlign w:val="center"/>
            <w:hideMark/>
          </w:tcPr>
          <w:p w14:paraId="7176FD8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52" w:type="dxa"/>
            <w:tcBorders>
              <w:top w:val="nil"/>
              <w:left w:val="nil"/>
              <w:bottom w:val="nil"/>
              <w:right w:val="nil"/>
            </w:tcBorders>
            <w:shd w:val="clear" w:color="auto" w:fill="D9D9D9" w:themeFill="background1" w:themeFillShade="D9"/>
            <w:noWrap/>
            <w:vAlign w:val="center"/>
            <w:hideMark/>
          </w:tcPr>
          <w:p w14:paraId="7CE9E21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09" w:type="dxa"/>
            <w:tcBorders>
              <w:top w:val="nil"/>
              <w:left w:val="nil"/>
              <w:bottom w:val="nil"/>
              <w:right w:val="nil"/>
            </w:tcBorders>
            <w:shd w:val="clear" w:color="auto" w:fill="D9D9D9" w:themeFill="background1" w:themeFillShade="D9"/>
            <w:noWrap/>
            <w:vAlign w:val="center"/>
            <w:hideMark/>
          </w:tcPr>
          <w:p w14:paraId="33944EE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09" w:type="dxa"/>
            <w:tcBorders>
              <w:top w:val="nil"/>
              <w:left w:val="nil"/>
              <w:right w:val="nil"/>
            </w:tcBorders>
            <w:shd w:val="clear" w:color="auto" w:fill="D9D9D9" w:themeFill="background1" w:themeFillShade="D9"/>
            <w:noWrap/>
            <w:vAlign w:val="center"/>
            <w:hideMark/>
          </w:tcPr>
          <w:p w14:paraId="5BA48C3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25" w:type="dxa"/>
            <w:tcBorders>
              <w:top w:val="nil"/>
              <w:left w:val="nil"/>
              <w:bottom w:val="nil"/>
              <w:right w:val="single" w:sz="4" w:space="0" w:color="auto"/>
            </w:tcBorders>
            <w:shd w:val="clear" w:color="auto" w:fill="auto"/>
            <w:noWrap/>
            <w:vAlign w:val="center"/>
            <w:hideMark/>
          </w:tcPr>
          <w:p w14:paraId="52A4546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 </w:t>
            </w:r>
          </w:p>
        </w:tc>
        <w:tc>
          <w:tcPr>
            <w:tcW w:w="472" w:type="dxa"/>
            <w:tcBorders>
              <w:top w:val="nil"/>
              <w:left w:val="nil"/>
              <w:bottom w:val="nil"/>
              <w:right w:val="nil"/>
            </w:tcBorders>
            <w:shd w:val="clear" w:color="auto" w:fill="auto"/>
            <w:noWrap/>
            <w:vAlign w:val="center"/>
          </w:tcPr>
          <w:p w14:paraId="0546CA4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p w14:paraId="07CA33D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p w14:paraId="7332E411" w14:textId="77777777" w:rsidR="00FD17F0" w:rsidRPr="00241D28" w:rsidRDefault="00FD17F0" w:rsidP="00C4389C">
            <w:pPr>
              <w:spacing w:after="0" w:line="240" w:lineRule="auto"/>
              <w:jc w:val="both"/>
              <w:rPr>
                <w:rFonts w:ascii="Times New Roman" w:eastAsia="Times New Roman" w:hAnsi="Times New Roman"/>
                <w:color w:val="000000"/>
                <w:sz w:val="12"/>
                <w:szCs w:val="12"/>
                <w:lang w:eastAsia="en-GB"/>
              </w:rPr>
            </w:pPr>
          </w:p>
          <w:p w14:paraId="026445C8" w14:textId="77777777" w:rsidR="00997BD2" w:rsidRPr="00241D28" w:rsidRDefault="00FD17F0"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p>
        </w:tc>
        <w:tc>
          <w:tcPr>
            <w:tcW w:w="2781" w:type="dxa"/>
            <w:tcBorders>
              <w:top w:val="nil"/>
              <w:left w:val="nil"/>
              <w:bottom w:val="nil"/>
              <w:right w:val="nil"/>
            </w:tcBorders>
            <w:shd w:val="clear" w:color="auto" w:fill="auto"/>
            <w:noWrap/>
            <w:vAlign w:val="center"/>
          </w:tcPr>
          <w:p w14:paraId="5BD5C8D2" w14:textId="77777777" w:rsidR="00E51BCC" w:rsidRPr="00241D28" w:rsidRDefault="00E51BCC" w:rsidP="00C4389C">
            <w:pPr>
              <w:spacing w:after="0" w:line="240" w:lineRule="auto"/>
              <w:jc w:val="both"/>
              <w:rPr>
                <w:rFonts w:ascii="Times New Roman" w:eastAsia="Times New Roman" w:hAnsi="Times New Roman"/>
                <w:sz w:val="12"/>
                <w:szCs w:val="12"/>
                <w:lang w:eastAsia="en-GB"/>
              </w:rPr>
            </w:pPr>
          </w:p>
          <w:p w14:paraId="3385FEDA" w14:textId="77777777" w:rsidR="00E51BCC" w:rsidRPr="00241D28" w:rsidRDefault="006F4D56" w:rsidP="00C4389C">
            <w:pPr>
              <w:spacing w:after="0" w:line="240" w:lineRule="auto"/>
              <w:jc w:val="both"/>
              <w:rPr>
                <w:rFonts w:ascii="Times New Roman" w:eastAsia="Times New Roman" w:hAnsi="Times New Roman"/>
                <w:sz w:val="12"/>
                <w:szCs w:val="12"/>
                <w:lang w:eastAsia="en-GB"/>
              </w:rPr>
            </w:pPr>
            <w:r>
              <w:rPr>
                <w:rFonts w:ascii="Times New Roman" w:eastAsia="Times New Roman" w:hAnsi="Times New Roman"/>
                <w:sz w:val="12"/>
                <w:szCs w:val="12"/>
                <w:lang w:eastAsia="en-GB"/>
              </w:rPr>
              <w:t>P</w:t>
            </w:r>
            <w:r w:rsidR="00E51BCC" w:rsidRPr="00241D28">
              <w:rPr>
                <w:rFonts w:ascii="Times New Roman" w:eastAsia="Times New Roman" w:hAnsi="Times New Roman"/>
                <w:sz w:val="12"/>
                <w:szCs w:val="12"/>
                <w:lang w:eastAsia="en-GB"/>
              </w:rPr>
              <w:t>ensijų fondų statistika</w:t>
            </w:r>
          </w:p>
          <w:p w14:paraId="368EC484" w14:textId="77777777" w:rsidR="00FD17F0" w:rsidRPr="00241D28" w:rsidRDefault="00FD17F0" w:rsidP="00C4389C">
            <w:pPr>
              <w:spacing w:after="0" w:line="240" w:lineRule="auto"/>
              <w:jc w:val="both"/>
              <w:rPr>
                <w:rFonts w:ascii="Times New Roman" w:eastAsia="Times New Roman" w:hAnsi="Times New Roman"/>
                <w:sz w:val="12"/>
                <w:szCs w:val="12"/>
                <w:lang w:eastAsia="en-GB"/>
              </w:rPr>
            </w:pPr>
          </w:p>
          <w:p w14:paraId="1E15D532" w14:textId="77777777" w:rsidR="00997BD2" w:rsidRPr="00241D28" w:rsidRDefault="006F4D56" w:rsidP="00C4389C">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D</w:t>
            </w:r>
            <w:r w:rsidR="00FD17F0" w:rsidRPr="00241D28">
              <w:rPr>
                <w:rFonts w:ascii="Times New Roman" w:eastAsia="Times New Roman" w:hAnsi="Times New Roman"/>
                <w:color w:val="000000"/>
                <w:sz w:val="12"/>
                <w:szCs w:val="12"/>
                <w:lang w:eastAsia="en-GB"/>
              </w:rPr>
              <w:t>raudimo bendrovių statistika</w:t>
            </w:r>
          </w:p>
        </w:tc>
      </w:tr>
      <w:tr w:rsidR="00E51BCC" w:rsidRPr="0033274B" w14:paraId="1792F1AC" w14:textId="77777777" w:rsidTr="00BB1E9A">
        <w:trPr>
          <w:trHeight w:val="21"/>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1B11F92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F29</w:t>
            </w:r>
          </w:p>
        </w:tc>
        <w:tc>
          <w:tcPr>
            <w:tcW w:w="1413" w:type="dxa"/>
            <w:tcBorders>
              <w:top w:val="nil"/>
              <w:left w:val="nil"/>
              <w:bottom w:val="nil"/>
              <w:right w:val="nil"/>
            </w:tcBorders>
            <w:shd w:val="clear" w:color="000000" w:fill="D9D9D9"/>
            <w:vAlign w:val="center"/>
            <w:hideMark/>
          </w:tcPr>
          <w:p w14:paraId="1B8F7EF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Kiti indėliai</w:t>
            </w:r>
          </w:p>
        </w:tc>
        <w:tc>
          <w:tcPr>
            <w:tcW w:w="847" w:type="dxa"/>
            <w:tcBorders>
              <w:top w:val="nil"/>
              <w:left w:val="single" w:sz="4" w:space="0" w:color="auto"/>
              <w:bottom w:val="nil"/>
              <w:right w:val="nil"/>
            </w:tcBorders>
            <w:shd w:val="clear" w:color="auto" w:fill="auto"/>
            <w:noWrap/>
            <w:vAlign w:val="center"/>
            <w:hideMark/>
          </w:tcPr>
          <w:p w14:paraId="6B05CB7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PFĮ*/MB</w:t>
            </w:r>
          </w:p>
        </w:tc>
        <w:tc>
          <w:tcPr>
            <w:tcW w:w="706" w:type="dxa"/>
            <w:tcBorders>
              <w:top w:val="nil"/>
              <w:left w:val="nil"/>
              <w:bottom w:val="nil"/>
              <w:right w:val="nil"/>
            </w:tcBorders>
            <w:shd w:val="clear" w:color="auto" w:fill="auto"/>
            <w:noWrap/>
            <w:vAlign w:val="center"/>
            <w:hideMark/>
          </w:tcPr>
          <w:p w14:paraId="585BDEB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384" w:type="dxa"/>
            <w:gridSpan w:val="2"/>
            <w:tcBorders>
              <w:top w:val="nil"/>
              <w:left w:val="nil"/>
              <w:bottom w:val="nil"/>
              <w:right w:val="nil"/>
            </w:tcBorders>
            <w:shd w:val="clear" w:color="auto" w:fill="auto"/>
            <w:noWrap/>
            <w:vAlign w:val="center"/>
            <w:hideMark/>
          </w:tcPr>
          <w:p w14:paraId="577AD7F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712" w:type="dxa"/>
            <w:gridSpan w:val="2"/>
            <w:tcBorders>
              <w:top w:val="nil"/>
              <w:left w:val="nil"/>
              <w:bottom w:val="nil"/>
              <w:right w:val="nil"/>
            </w:tcBorders>
            <w:shd w:val="clear" w:color="auto" w:fill="auto"/>
            <w:noWrap/>
            <w:vAlign w:val="center"/>
            <w:hideMark/>
          </w:tcPr>
          <w:p w14:paraId="1EBCB46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 /MB</w:t>
            </w:r>
          </w:p>
        </w:tc>
        <w:tc>
          <w:tcPr>
            <w:tcW w:w="508" w:type="dxa"/>
            <w:tcBorders>
              <w:top w:val="nil"/>
              <w:left w:val="nil"/>
              <w:bottom w:val="nil"/>
              <w:right w:val="nil"/>
            </w:tcBorders>
            <w:shd w:val="clear" w:color="auto" w:fill="auto"/>
            <w:noWrap/>
            <w:vAlign w:val="center"/>
            <w:hideMark/>
          </w:tcPr>
          <w:p w14:paraId="4862267E" w14:textId="77777777" w:rsidR="00E51BCC" w:rsidRPr="00241D28" w:rsidRDefault="00997BD2"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r w:rsidR="00E51BCC" w:rsidRPr="00241D28">
              <w:rPr>
                <w:rFonts w:ascii="Times New Roman" w:eastAsia="Times New Roman" w:hAnsi="Times New Roman"/>
                <w:color w:val="000000"/>
                <w:sz w:val="12"/>
                <w:szCs w:val="12"/>
                <w:lang w:eastAsia="en-GB"/>
              </w:rPr>
              <w:t xml:space="preserve"> </w:t>
            </w:r>
          </w:p>
        </w:tc>
        <w:tc>
          <w:tcPr>
            <w:tcW w:w="513" w:type="dxa"/>
            <w:tcBorders>
              <w:top w:val="nil"/>
              <w:left w:val="nil"/>
              <w:bottom w:val="nil"/>
              <w:right w:val="nil"/>
            </w:tcBorders>
            <w:shd w:val="clear" w:color="auto" w:fill="auto"/>
            <w:noWrap/>
            <w:vAlign w:val="center"/>
            <w:hideMark/>
          </w:tcPr>
          <w:p w14:paraId="786B7D6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669" w:type="dxa"/>
            <w:tcBorders>
              <w:top w:val="nil"/>
              <w:left w:val="nil"/>
              <w:bottom w:val="nil"/>
              <w:right w:val="nil"/>
            </w:tcBorders>
            <w:shd w:val="clear" w:color="auto" w:fill="auto"/>
            <w:noWrap/>
            <w:vAlign w:val="center"/>
            <w:hideMark/>
          </w:tcPr>
          <w:p w14:paraId="4EB692C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KVSFS</w:t>
            </w:r>
          </w:p>
        </w:tc>
        <w:tc>
          <w:tcPr>
            <w:tcW w:w="743" w:type="dxa"/>
            <w:tcBorders>
              <w:top w:val="nil"/>
              <w:left w:val="nil"/>
              <w:bottom w:val="nil"/>
              <w:right w:val="nil"/>
            </w:tcBorders>
            <w:shd w:val="clear" w:color="auto" w:fill="auto"/>
            <w:noWrap/>
            <w:vAlign w:val="center"/>
            <w:hideMark/>
          </w:tcPr>
          <w:p w14:paraId="4D2A160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405" w:type="dxa"/>
            <w:tcBorders>
              <w:top w:val="nil"/>
              <w:left w:val="nil"/>
              <w:bottom w:val="nil"/>
              <w:right w:val="single" w:sz="4" w:space="0" w:color="auto"/>
            </w:tcBorders>
            <w:shd w:val="clear" w:color="auto" w:fill="auto"/>
            <w:noWrap/>
            <w:vAlign w:val="center"/>
            <w:hideMark/>
          </w:tcPr>
          <w:p w14:paraId="629C627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574" w:type="dxa"/>
            <w:tcBorders>
              <w:top w:val="nil"/>
              <w:left w:val="nil"/>
              <w:bottom w:val="nil"/>
              <w:right w:val="nil"/>
            </w:tcBorders>
            <w:shd w:val="clear" w:color="auto" w:fill="auto"/>
            <w:noWrap/>
            <w:vAlign w:val="center"/>
            <w:hideMark/>
          </w:tcPr>
          <w:p w14:paraId="247B1B9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574" w:type="dxa"/>
            <w:tcBorders>
              <w:top w:val="nil"/>
              <w:left w:val="nil"/>
              <w:bottom w:val="nil"/>
              <w:right w:val="nil"/>
            </w:tcBorders>
            <w:shd w:val="clear" w:color="auto" w:fill="auto"/>
            <w:noWrap/>
            <w:vAlign w:val="center"/>
            <w:hideMark/>
          </w:tcPr>
          <w:p w14:paraId="21DF5DC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430" w:type="dxa"/>
            <w:tcBorders>
              <w:top w:val="nil"/>
              <w:left w:val="nil"/>
              <w:right w:val="nil"/>
            </w:tcBorders>
            <w:shd w:val="clear" w:color="auto" w:fill="D9D9D9" w:themeFill="background1" w:themeFillShade="D9"/>
            <w:noWrap/>
            <w:vAlign w:val="center"/>
            <w:hideMark/>
          </w:tcPr>
          <w:p w14:paraId="111E86C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bottom w:val="nil"/>
              <w:right w:val="nil"/>
            </w:tcBorders>
            <w:shd w:val="clear" w:color="auto" w:fill="D9D9D9" w:themeFill="background1" w:themeFillShade="D9"/>
            <w:noWrap/>
            <w:vAlign w:val="center"/>
            <w:hideMark/>
          </w:tcPr>
          <w:p w14:paraId="5B2512B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90" w:type="dxa"/>
            <w:tcBorders>
              <w:top w:val="nil"/>
              <w:left w:val="nil"/>
              <w:right w:val="nil"/>
            </w:tcBorders>
            <w:shd w:val="clear" w:color="auto" w:fill="D9D9D9" w:themeFill="background1" w:themeFillShade="D9"/>
            <w:noWrap/>
            <w:vAlign w:val="center"/>
            <w:hideMark/>
          </w:tcPr>
          <w:p w14:paraId="384C374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52" w:type="dxa"/>
            <w:tcBorders>
              <w:top w:val="nil"/>
              <w:left w:val="nil"/>
              <w:right w:val="nil"/>
            </w:tcBorders>
            <w:shd w:val="clear" w:color="auto" w:fill="D9D9D9" w:themeFill="background1" w:themeFillShade="D9"/>
            <w:noWrap/>
            <w:vAlign w:val="center"/>
            <w:hideMark/>
          </w:tcPr>
          <w:p w14:paraId="5EF139C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09" w:type="dxa"/>
            <w:tcBorders>
              <w:top w:val="nil"/>
              <w:left w:val="nil"/>
              <w:bottom w:val="nil"/>
              <w:right w:val="nil"/>
            </w:tcBorders>
            <w:shd w:val="clear" w:color="auto" w:fill="auto"/>
            <w:noWrap/>
            <w:vAlign w:val="center"/>
            <w:hideMark/>
          </w:tcPr>
          <w:p w14:paraId="6741FD0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KVSFS</w:t>
            </w:r>
          </w:p>
        </w:tc>
        <w:tc>
          <w:tcPr>
            <w:tcW w:w="709" w:type="dxa"/>
            <w:tcBorders>
              <w:top w:val="nil"/>
              <w:left w:val="nil"/>
              <w:bottom w:val="nil"/>
              <w:right w:val="nil"/>
            </w:tcBorders>
            <w:shd w:val="clear" w:color="auto" w:fill="D9D9D9" w:themeFill="background1" w:themeFillShade="D9"/>
            <w:noWrap/>
            <w:vAlign w:val="center"/>
            <w:hideMark/>
          </w:tcPr>
          <w:p w14:paraId="6994D3C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25" w:type="dxa"/>
            <w:tcBorders>
              <w:top w:val="nil"/>
              <w:left w:val="nil"/>
              <w:bottom w:val="nil"/>
              <w:right w:val="single" w:sz="4" w:space="0" w:color="auto"/>
            </w:tcBorders>
            <w:shd w:val="clear" w:color="auto" w:fill="auto"/>
            <w:noWrap/>
            <w:vAlign w:val="center"/>
            <w:hideMark/>
          </w:tcPr>
          <w:p w14:paraId="0D8E4CA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472" w:type="dxa"/>
            <w:tcBorders>
              <w:top w:val="nil"/>
              <w:left w:val="nil"/>
              <w:bottom w:val="nil"/>
              <w:right w:val="nil"/>
            </w:tcBorders>
            <w:shd w:val="clear" w:color="auto" w:fill="auto"/>
            <w:noWrap/>
            <w:vAlign w:val="center"/>
          </w:tcPr>
          <w:p w14:paraId="271F225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p w14:paraId="7076547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KVSFS</w:t>
            </w:r>
          </w:p>
        </w:tc>
        <w:tc>
          <w:tcPr>
            <w:tcW w:w="2781" w:type="dxa"/>
            <w:tcBorders>
              <w:top w:val="nil"/>
              <w:left w:val="nil"/>
              <w:bottom w:val="nil"/>
              <w:right w:val="nil"/>
            </w:tcBorders>
            <w:shd w:val="clear" w:color="auto" w:fill="auto"/>
            <w:noWrap/>
            <w:vAlign w:val="center"/>
          </w:tcPr>
          <w:p w14:paraId="0693AE7B" w14:textId="77777777" w:rsidR="00E51BCC" w:rsidRPr="00241D28" w:rsidRDefault="00E51BCC" w:rsidP="00C4389C">
            <w:pPr>
              <w:spacing w:after="0" w:line="240" w:lineRule="auto"/>
              <w:jc w:val="both"/>
              <w:rPr>
                <w:rFonts w:ascii="Times New Roman" w:eastAsia="Times New Roman" w:hAnsi="Times New Roman"/>
                <w:sz w:val="12"/>
                <w:szCs w:val="12"/>
                <w:lang w:eastAsia="en-GB"/>
              </w:rPr>
            </w:pPr>
          </w:p>
          <w:p w14:paraId="6A99565C" w14:textId="77777777" w:rsidR="00E51BCC" w:rsidRPr="00241D28" w:rsidRDefault="006F4D56" w:rsidP="00C4389C">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sz w:val="12"/>
                <w:szCs w:val="12"/>
                <w:lang w:eastAsia="en-GB"/>
              </w:rPr>
              <w:t>K</w:t>
            </w:r>
            <w:r w:rsidR="00E51BCC" w:rsidRPr="00241D28">
              <w:rPr>
                <w:rFonts w:ascii="Times New Roman" w:eastAsia="Times New Roman" w:hAnsi="Times New Roman"/>
                <w:sz w:val="12"/>
                <w:szCs w:val="12"/>
                <w:lang w:eastAsia="en-GB"/>
              </w:rPr>
              <w:t>etvirtinės valdžios sektoriaus finansinės sąskaitos</w:t>
            </w:r>
          </w:p>
        </w:tc>
      </w:tr>
      <w:tr w:rsidR="00E51BCC" w:rsidRPr="00E76DD9" w14:paraId="09599072" w14:textId="77777777" w:rsidTr="00BB1E9A">
        <w:trPr>
          <w:trHeight w:val="137"/>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7B4E1CB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F3</w:t>
            </w:r>
          </w:p>
        </w:tc>
        <w:tc>
          <w:tcPr>
            <w:tcW w:w="1413" w:type="dxa"/>
            <w:tcBorders>
              <w:top w:val="nil"/>
              <w:left w:val="nil"/>
              <w:bottom w:val="nil"/>
              <w:right w:val="nil"/>
            </w:tcBorders>
            <w:shd w:val="clear" w:color="000000" w:fill="D9D9D9"/>
            <w:vAlign w:val="center"/>
            <w:hideMark/>
          </w:tcPr>
          <w:p w14:paraId="7EAF778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p w14:paraId="2C899651"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Skolos vertybiniai popieriai</w:t>
            </w:r>
          </w:p>
        </w:tc>
        <w:tc>
          <w:tcPr>
            <w:tcW w:w="847" w:type="dxa"/>
            <w:tcBorders>
              <w:top w:val="nil"/>
              <w:left w:val="single" w:sz="4" w:space="0" w:color="auto"/>
              <w:bottom w:val="nil"/>
              <w:right w:val="nil"/>
            </w:tcBorders>
            <w:shd w:val="clear" w:color="auto" w:fill="auto"/>
            <w:noWrap/>
            <w:vAlign w:val="center"/>
            <w:hideMark/>
          </w:tcPr>
          <w:p w14:paraId="3558694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VPT</w:t>
            </w:r>
          </w:p>
        </w:tc>
        <w:tc>
          <w:tcPr>
            <w:tcW w:w="706" w:type="dxa"/>
            <w:tcBorders>
              <w:top w:val="nil"/>
              <w:left w:val="nil"/>
              <w:bottom w:val="nil"/>
              <w:right w:val="nil"/>
            </w:tcBorders>
            <w:shd w:val="clear" w:color="auto" w:fill="auto"/>
            <w:noWrap/>
            <w:vAlign w:val="center"/>
            <w:hideMark/>
          </w:tcPr>
          <w:p w14:paraId="1BCBD06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384" w:type="dxa"/>
            <w:gridSpan w:val="2"/>
            <w:tcBorders>
              <w:top w:val="nil"/>
              <w:left w:val="nil"/>
              <w:bottom w:val="nil"/>
              <w:right w:val="nil"/>
            </w:tcBorders>
            <w:shd w:val="clear" w:color="auto" w:fill="auto"/>
            <w:noWrap/>
            <w:vAlign w:val="center"/>
            <w:hideMark/>
          </w:tcPr>
          <w:p w14:paraId="75074381"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712" w:type="dxa"/>
            <w:gridSpan w:val="2"/>
            <w:tcBorders>
              <w:top w:val="nil"/>
              <w:left w:val="nil"/>
              <w:bottom w:val="nil"/>
              <w:right w:val="nil"/>
            </w:tcBorders>
            <w:shd w:val="clear" w:color="auto" w:fill="auto"/>
            <w:noWrap/>
            <w:vAlign w:val="center"/>
            <w:hideMark/>
          </w:tcPr>
          <w:p w14:paraId="32B5934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VPT</w:t>
            </w:r>
          </w:p>
        </w:tc>
        <w:tc>
          <w:tcPr>
            <w:tcW w:w="508" w:type="dxa"/>
            <w:tcBorders>
              <w:top w:val="nil"/>
              <w:left w:val="nil"/>
              <w:bottom w:val="nil"/>
              <w:right w:val="nil"/>
            </w:tcBorders>
            <w:shd w:val="clear" w:color="auto" w:fill="auto"/>
            <w:noWrap/>
            <w:vAlign w:val="center"/>
            <w:hideMark/>
          </w:tcPr>
          <w:p w14:paraId="7ADF64A7" w14:textId="77777777" w:rsidR="00E51BCC" w:rsidRPr="00241D28" w:rsidRDefault="00997BD2"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p>
        </w:tc>
        <w:tc>
          <w:tcPr>
            <w:tcW w:w="513" w:type="dxa"/>
            <w:tcBorders>
              <w:top w:val="nil"/>
              <w:left w:val="nil"/>
              <w:right w:val="nil"/>
            </w:tcBorders>
            <w:shd w:val="clear" w:color="auto" w:fill="auto"/>
            <w:noWrap/>
            <w:vAlign w:val="center"/>
            <w:hideMark/>
          </w:tcPr>
          <w:p w14:paraId="6725496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669" w:type="dxa"/>
            <w:tcBorders>
              <w:top w:val="nil"/>
              <w:left w:val="nil"/>
              <w:bottom w:val="nil"/>
              <w:right w:val="nil"/>
            </w:tcBorders>
            <w:shd w:val="clear" w:color="auto" w:fill="auto"/>
            <w:noWrap/>
            <w:vAlign w:val="center"/>
            <w:hideMark/>
          </w:tcPr>
          <w:p w14:paraId="1C7E2CF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KVSFS</w:t>
            </w:r>
          </w:p>
        </w:tc>
        <w:tc>
          <w:tcPr>
            <w:tcW w:w="743" w:type="dxa"/>
            <w:tcBorders>
              <w:top w:val="nil"/>
              <w:left w:val="nil"/>
              <w:bottom w:val="nil"/>
              <w:right w:val="nil"/>
            </w:tcBorders>
            <w:shd w:val="clear" w:color="auto" w:fill="auto"/>
            <w:noWrap/>
            <w:vAlign w:val="center"/>
            <w:hideMark/>
          </w:tcPr>
          <w:p w14:paraId="2F8FE82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VPT*</w:t>
            </w:r>
          </w:p>
        </w:tc>
        <w:tc>
          <w:tcPr>
            <w:tcW w:w="405" w:type="dxa"/>
            <w:tcBorders>
              <w:top w:val="nil"/>
              <w:left w:val="nil"/>
              <w:bottom w:val="nil"/>
              <w:right w:val="single" w:sz="4" w:space="0" w:color="auto"/>
            </w:tcBorders>
            <w:shd w:val="clear" w:color="auto" w:fill="auto"/>
            <w:noWrap/>
            <w:vAlign w:val="center"/>
            <w:hideMark/>
          </w:tcPr>
          <w:p w14:paraId="3ECB0E7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574" w:type="dxa"/>
            <w:tcBorders>
              <w:top w:val="nil"/>
              <w:left w:val="nil"/>
              <w:bottom w:val="nil"/>
              <w:right w:val="nil"/>
            </w:tcBorders>
            <w:shd w:val="clear" w:color="auto" w:fill="auto"/>
            <w:noWrap/>
            <w:vAlign w:val="center"/>
            <w:hideMark/>
          </w:tcPr>
          <w:p w14:paraId="0EF7D33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VPI</w:t>
            </w:r>
          </w:p>
        </w:tc>
        <w:tc>
          <w:tcPr>
            <w:tcW w:w="574" w:type="dxa"/>
            <w:tcBorders>
              <w:top w:val="nil"/>
              <w:left w:val="nil"/>
              <w:right w:val="nil"/>
            </w:tcBorders>
            <w:shd w:val="clear" w:color="auto" w:fill="auto"/>
            <w:noWrap/>
            <w:vAlign w:val="center"/>
            <w:hideMark/>
          </w:tcPr>
          <w:p w14:paraId="546DA2F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430" w:type="dxa"/>
            <w:tcBorders>
              <w:top w:val="nil"/>
              <w:left w:val="nil"/>
              <w:bottom w:val="nil"/>
              <w:right w:val="nil"/>
            </w:tcBorders>
            <w:shd w:val="clear" w:color="auto" w:fill="auto"/>
            <w:noWrap/>
            <w:vAlign w:val="center"/>
            <w:hideMark/>
          </w:tcPr>
          <w:p w14:paraId="0D12B9D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574" w:type="dxa"/>
            <w:tcBorders>
              <w:top w:val="nil"/>
              <w:left w:val="nil"/>
              <w:bottom w:val="nil"/>
              <w:right w:val="nil"/>
            </w:tcBorders>
            <w:shd w:val="clear" w:color="auto" w:fill="auto"/>
            <w:noWrap/>
            <w:vAlign w:val="center"/>
            <w:hideMark/>
          </w:tcPr>
          <w:p w14:paraId="22708FE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VPI</w:t>
            </w:r>
          </w:p>
        </w:tc>
        <w:tc>
          <w:tcPr>
            <w:tcW w:w="490" w:type="dxa"/>
            <w:tcBorders>
              <w:top w:val="nil"/>
              <w:left w:val="nil"/>
              <w:bottom w:val="nil"/>
              <w:right w:val="nil"/>
            </w:tcBorders>
            <w:shd w:val="clear" w:color="auto" w:fill="auto"/>
            <w:noWrap/>
            <w:vAlign w:val="center"/>
            <w:hideMark/>
          </w:tcPr>
          <w:p w14:paraId="534E459F" w14:textId="77777777" w:rsidR="00E51BCC" w:rsidRPr="00241D28" w:rsidRDefault="00997BD2"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p>
        </w:tc>
        <w:tc>
          <w:tcPr>
            <w:tcW w:w="552" w:type="dxa"/>
            <w:tcBorders>
              <w:top w:val="nil"/>
              <w:left w:val="nil"/>
              <w:bottom w:val="nil"/>
              <w:right w:val="nil"/>
            </w:tcBorders>
            <w:shd w:val="clear" w:color="auto" w:fill="auto"/>
            <w:noWrap/>
            <w:vAlign w:val="center"/>
            <w:hideMark/>
          </w:tcPr>
          <w:p w14:paraId="7CD1CC6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709" w:type="dxa"/>
            <w:tcBorders>
              <w:top w:val="nil"/>
              <w:left w:val="nil"/>
              <w:bottom w:val="nil"/>
              <w:right w:val="nil"/>
            </w:tcBorders>
            <w:shd w:val="clear" w:color="auto" w:fill="auto"/>
            <w:noWrap/>
            <w:vAlign w:val="center"/>
            <w:hideMark/>
          </w:tcPr>
          <w:p w14:paraId="179AD3D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KVSFS</w:t>
            </w:r>
          </w:p>
        </w:tc>
        <w:tc>
          <w:tcPr>
            <w:tcW w:w="709" w:type="dxa"/>
            <w:tcBorders>
              <w:top w:val="nil"/>
              <w:left w:val="nil"/>
              <w:bottom w:val="nil"/>
              <w:right w:val="nil"/>
            </w:tcBorders>
            <w:shd w:val="clear" w:color="auto" w:fill="auto"/>
            <w:noWrap/>
            <w:vAlign w:val="center"/>
            <w:hideMark/>
          </w:tcPr>
          <w:p w14:paraId="29BD01D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425" w:type="dxa"/>
            <w:tcBorders>
              <w:top w:val="nil"/>
              <w:left w:val="nil"/>
              <w:bottom w:val="nil"/>
              <w:right w:val="single" w:sz="4" w:space="0" w:color="auto"/>
            </w:tcBorders>
            <w:shd w:val="clear" w:color="auto" w:fill="auto"/>
            <w:noWrap/>
            <w:vAlign w:val="center"/>
            <w:hideMark/>
          </w:tcPr>
          <w:p w14:paraId="52FBA9A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472" w:type="dxa"/>
            <w:tcBorders>
              <w:top w:val="nil"/>
              <w:left w:val="nil"/>
              <w:bottom w:val="nil"/>
              <w:right w:val="nil"/>
            </w:tcBorders>
            <w:shd w:val="clear" w:color="auto" w:fill="auto"/>
            <w:noWrap/>
            <w:vAlign w:val="center"/>
          </w:tcPr>
          <w:p w14:paraId="1BA8801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2781" w:type="dxa"/>
            <w:tcBorders>
              <w:top w:val="nil"/>
              <w:left w:val="nil"/>
              <w:bottom w:val="nil"/>
              <w:right w:val="nil"/>
            </w:tcBorders>
            <w:shd w:val="clear" w:color="auto" w:fill="auto"/>
            <w:noWrap/>
            <w:vAlign w:val="center"/>
          </w:tcPr>
          <w:p w14:paraId="2A4738C4" w14:textId="77777777" w:rsidR="00E51BCC" w:rsidRPr="00241D28" w:rsidRDefault="006F4D56" w:rsidP="00C4389C">
            <w:pPr>
              <w:spacing w:after="0" w:line="240" w:lineRule="auto"/>
              <w:jc w:val="both"/>
              <w:rPr>
                <w:rFonts w:ascii="Times New Roman" w:eastAsia="Times New Roman" w:hAnsi="Times New Roman"/>
                <w:sz w:val="12"/>
                <w:szCs w:val="12"/>
                <w:lang w:eastAsia="en-GB"/>
              </w:rPr>
            </w:pPr>
            <w:r>
              <w:rPr>
                <w:rFonts w:ascii="Times New Roman" w:eastAsia="Times New Roman" w:hAnsi="Times New Roman"/>
                <w:sz w:val="12"/>
                <w:szCs w:val="12"/>
                <w:lang w:eastAsia="en-GB"/>
              </w:rPr>
              <w:t>M</w:t>
            </w:r>
            <w:r w:rsidR="00E51BCC" w:rsidRPr="00241D28">
              <w:rPr>
                <w:rFonts w:ascii="Times New Roman" w:eastAsia="Times New Roman" w:hAnsi="Times New Roman"/>
                <w:sz w:val="12"/>
                <w:szCs w:val="12"/>
                <w:lang w:eastAsia="en-GB"/>
              </w:rPr>
              <w:t>okėjimų balansas ir tarptautinės investicijos</w:t>
            </w:r>
          </w:p>
        </w:tc>
      </w:tr>
      <w:tr w:rsidR="00E51BCC" w:rsidRPr="00E76DD9" w14:paraId="738ED43C" w14:textId="77777777" w:rsidTr="00BB1E9A">
        <w:trPr>
          <w:trHeight w:val="21"/>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4C0725B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F4</w:t>
            </w:r>
          </w:p>
        </w:tc>
        <w:tc>
          <w:tcPr>
            <w:tcW w:w="1413" w:type="dxa"/>
            <w:tcBorders>
              <w:top w:val="nil"/>
              <w:left w:val="nil"/>
              <w:bottom w:val="nil"/>
              <w:right w:val="nil"/>
            </w:tcBorders>
            <w:shd w:val="clear" w:color="000000" w:fill="D9D9D9"/>
            <w:vAlign w:val="center"/>
            <w:hideMark/>
          </w:tcPr>
          <w:p w14:paraId="493E3E6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Paskolos</w:t>
            </w:r>
          </w:p>
        </w:tc>
        <w:tc>
          <w:tcPr>
            <w:tcW w:w="847" w:type="dxa"/>
            <w:tcBorders>
              <w:top w:val="nil"/>
              <w:left w:val="single" w:sz="4" w:space="0" w:color="auto"/>
              <w:bottom w:val="nil"/>
              <w:right w:val="nil"/>
            </w:tcBorders>
            <w:shd w:val="clear" w:color="auto" w:fill="auto"/>
            <w:noWrap/>
            <w:vAlign w:val="center"/>
            <w:hideMark/>
          </w:tcPr>
          <w:p w14:paraId="73EC2731" w14:textId="234EDE21"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NFB</w:t>
            </w:r>
          </w:p>
        </w:tc>
        <w:tc>
          <w:tcPr>
            <w:tcW w:w="706" w:type="dxa"/>
            <w:tcBorders>
              <w:top w:val="nil"/>
              <w:left w:val="nil"/>
              <w:bottom w:val="nil"/>
              <w:right w:val="nil"/>
            </w:tcBorders>
            <w:shd w:val="clear" w:color="auto" w:fill="auto"/>
            <w:noWrap/>
            <w:vAlign w:val="center"/>
            <w:hideMark/>
          </w:tcPr>
          <w:p w14:paraId="45A86AB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384" w:type="dxa"/>
            <w:gridSpan w:val="2"/>
            <w:tcBorders>
              <w:top w:val="nil"/>
              <w:left w:val="nil"/>
              <w:bottom w:val="nil"/>
              <w:right w:val="nil"/>
            </w:tcBorders>
            <w:shd w:val="clear" w:color="auto" w:fill="auto"/>
            <w:noWrap/>
            <w:vAlign w:val="center"/>
            <w:hideMark/>
          </w:tcPr>
          <w:p w14:paraId="6913390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712" w:type="dxa"/>
            <w:gridSpan w:val="2"/>
            <w:tcBorders>
              <w:top w:val="nil"/>
              <w:left w:val="nil"/>
              <w:bottom w:val="nil"/>
              <w:right w:val="nil"/>
            </w:tcBorders>
            <w:shd w:val="clear" w:color="auto" w:fill="auto"/>
            <w:noWrap/>
            <w:vAlign w:val="center"/>
            <w:hideMark/>
          </w:tcPr>
          <w:p w14:paraId="217F00F5" w14:textId="12104AA0" w:rsidR="00E51BCC" w:rsidRPr="00241D28" w:rsidRDefault="00E84FC3" w:rsidP="00E84FC3">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ST</w:t>
            </w:r>
            <w:r w:rsidR="00BB1E9A">
              <w:rPr>
                <w:rFonts w:ascii="Times New Roman" w:eastAsia="Times New Roman" w:hAnsi="Times New Roman"/>
                <w:color w:val="000000"/>
                <w:sz w:val="12"/>
                <w:szCs w:val="12"/>
                <w:vertAlign w:val="superscript"/>
                <w:lang w:eastAsia="en-GB"/>
              </w:rPr>
              <w:t>1</w:t>
            </w:r>
          </w:p>
        </w:tc>
        <w:tc>
          <w:tcPr>
            <w:tcW w:w="508" w:type="dxa"/>
            <w:tcBorders>
              <w:top w:val="nil"/>
              <w:left w:val="nil"/>
              <w:bottom w:val="nil"/>
              <w:right w:val="nil"/>
            </w:tcBorders>
            <w:shd w:val="clear" w:color="auto" w:fill="auto"/>
            <w:noWrap/>
            <w:vAlign w:val="center"/>
            <w:hideMark/>
          </w:tcPr>
          <w:p w14:paraId="20547AD1" w14:textId="77777777" w:rsidR="00E51BCC" w:rsidRPr="00241D28" w:rsidRDefault="00997BD2"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p>
        </w:tc>
        <w:tc>
          <w:tcPr>
            <w:tcW w:w="513" w:type="dxa"/>
            <w:tcBorders>
              <w:top w:val="nil"/>
              <w:left w:val="nil"/>
              <w:bottom w:val="nil"/>
              <w:right w:val="nil"/>
            </w:tcBorders>
            <w:shd w:val="clear" w:color="auto" w:fill="auto"/>
            <w:noWrap/>
            <w:vAlign w:val="center"/>
            <w:hideMark/>
          </w:tcPr>
          <w:p w14:paraId="63F8662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669" w:type="dxa"/>
            <w:tcBorders>
              <w:top w:val="nil"/>
              <w:left w:val="nil"/>
              <w:bottom w:val="nil"/>
              <w:right w:val="nil"/>
            </w:tcBorders>
            <w:shd w:val="clear" w:color="auto" w:fill="auto"/>
            <w:noWrap/>
            <w:vAlign w:val="center"/>
            <w:hideMark/>
          </w:tcPr>
          <w:p w14:paraId="4B74229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KVSFS</w:t>
            </w:r>
          </w:p>
        </w:tc>
        <w:tc>
          <w:tcPr>
            <w:tcW w:w="743" w:type="dxa"/>
            <w:tcBorders>
              <w:top w:val="nil"/>
              <w:left w:val="nil"/>
              <w:bottom w:val="nil"/>
              <w:right w:val="nil"/>
            </w:tcBorders>
            <w:shd w:val="clear" w:color="auto" w:fill="auto"/>
            <w:noWrap/>
            <w:vAlign w:val="center"/>
            <w:hideMark/>
          </w:tcPr>
          <w:p w14:paraId="4160B43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405" w:type="dxa"/>
            <w:tcBorders>
              <w:top w:val="nil"/>
              <w:left w:val="nil"/>
              <w:bottom w:val="nil"/>
              <w:right w:val="single" w:sz="4" w:space="0" w:color="auto"/>
            </w:tcBorders>
            <w:shd w:val="clear" w:color="auto" w:fill="auto"/>
            <w:noWrap/>
            <w:vAlign w:val="center"/>
            <w:hideMark/>
          </w:tcPr>
          <w:p w14:paraId="35EE208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574" w:type="dxa"/>
            <w:tcBorders>
              <w:top w:val="nil"/>
              <w:left w:val="nil"/>
              <w:bottom w:val="nil"/>
              <w:right w:val="nil"/>
            </w:tcBorders>
            <w:shd w:val="clear" w:color="auto" w:fill="auto"/>
            <w:noWrap/>
            <w:vAlign w:val="center"/>
            <w:hideMark/>
          </w:tcPr>
          <w:p w14:paraId="0B63D67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 MB</w:t>
            </w:r>
          </w:p>
        </w:tc>
        <w:tc>
          <w:tcPr>
            <w:tcW w:w="574" w:type="dxa"/>
            <w:tcBorders>
              <w:top w:val="nil"/>
              <w:left w:val="nil"/>
              <w:bottom w:val="nil"/>
              <w:right w:val="nil"/>
            </w:tcBorders>
            <w:shd w:val="clear" w:color="auto" w:fill="auto"/>
            <w:noWrap/>
            <w:vAlign w:val="center"/>
            <w:hideMark/>
          </w:tcPr>
          <w:p w14:paraId="1027FFE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430" w:type="dxa"/>
            <w:tcBorders>
              <w:top w:val="nil"/>
              <w:left w:val="nil"/>
              <w:right w:val="nil"/>
            </w:tcBorders>
            <w:shd w:val="clear" w:color="auto" w:fill="auto"/>
            <w:noWrap/>
            <w:vAlign w:val="center"/>
            <w:hideMark/>
          </w:tcPr>
          <w:p w14:paraId="69921FB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574" w:type="dxa"/>
            <w:tcBorders>
              <w:top w:val="nil"/>
              <w:left w:val="nil"/>
              <w:bottom w:val="nil"/>
              <w:right w:val="nil"/>
            </w:tcBorders>
            <w:shd w:val="clear" w:color="auto" w:fill="auto"/>
            <w:noWrap/>
            <w:vAlign w:val="center"/>
            <w:hideMark/>
          </w:tcPr>
          <w:p w14:paraId="25D833B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 MB</w:t>
            </w:r>
          </w:p>
        </w:tc>
        <w:tc>
          <w:tcPr>
            <w:tcW w:w="490" w:type="dxa"/>
            <w:tcBorders>
              <w:top w:val="nil"/>
              <w:left w:val="nil"/>
              <w:right w:val="nil"/>
            </w:tcBorders>
            <w:shd w:val="clear" w:color="auto" w:fill="auto"/>
            <w:noWrap/>
            <w:vAlign w:val="center"/>
            <w:hideMark/>
          </w:tcPr>
          <w:p w14:paraId="72447A5F" w14:textId="77777777" w:rsidR="00E51BCC" w:rsidRPr="00241D28" w:rsidRDefault="00997BD2"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p>
        </w:tc>
        <w:tc>
          <w:tcPr>
            <w:tcW w:w="552" w:type="dxa"/>
            <w:tcBorders>
              <w:top w:val="nil"/>
              <w:left w:val="nil"/>
              <w:right w:val="nil"/>
            </w:tcBorders>
            <w:shd w:val="clear" w:color="auto" w:fill="auto"/>
            <w:noWrap/>
            <w:vAlign w:val="center"/>
            <w:hideMark/>
          </w:tcPr>
          <w:p w14:paraId="481783A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 MB</w:t>
            </w:r>
          </w:p>
        </w:tc>
        <w:tc>
          <w:tcPr>
            <w:tcW w:w="709" w:type="dxa"/>
            <w:tcBorders>
              <w:top w:val="nil"/>
              <w:left w:val="nil"/>
              <w:right w:val="nil"/>
            </w:tcBorders>
            <w:shd w:val="clear" w:color="auto" w:fill="auto"/>
            <w:noWrap/>
            <w:vAlign w:val="center"/>
            <w:hideMark/>
          </w:tcPr>
          <w:p w14:paraId="4921675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KVSFS</w:t>
            </w:r>
          </w:p>
        </w:tc>
        <w:tc>
          <w:tcPr>
            <w:tcW w:w="709" w:type="dxa"/>
            <w:tcBorders>
              <w:top w:val="nil"/>
              <w:left w:val="nil"/>
              <w:right w:val="nil"/>
            </w:tcBorders>
            <w:shd w:val="clear" w:color="auto" w:fill="auto"/>
            <w:noWrap/>
            <w:vAlign w:val="center"/>
            <w:hideMark/>
          </w:tcPr>
          <w:p w14:paraId="21875D9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PFĮ/MB</w:t>
            </w:r>
          </w:p>
        </w:tc>
        <w:tc>
          <w:tcPr>
            <w:tcW w:w="425" w:type="dxa"/>
            <w:tcBorders>
              <w:top w:val="nil"/>
              <w:left w:val="nil"/>
              <w:bottom w:val="nil"/>
              <w:right w:val="single" w:sz="4" w:space="0" w:color="auto"/>
            </w:tcBorders>
            <w:shd w:val="clear" w:color="auto" w:fill="auto"/>
            <w:noWrap/>
            <w:vAlign w:val="center"/>
            <w:hideMark/>
          </w:tcPr>
          <w:p w14:paraId="611F090E" w14:textId="77777777" w:rsidR="00E51BCC" w:rsidRPr="00241D28" w:rsidRDefault="00B802E5" w:rsidP="00B802E5">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PFĮ</w:t>
            </w:r>
          </w:p>
        </w:tc>
        <w:tc>
          <w:tcPr>
            <w:tcW w:w="472" w:type="dxa"/>
            <w:tcBorders>
              <w:top w:val="nil"/>
              <w:left w:val="nil"/>
              <w:bottom w:val="nil"/>
              <w:right w:val="nil"/>
            </w:tcBorders>
            <w:shd w:val="clear" w:color="auto" w:fill="auto"/>
            <w:noWrap/>
            <w:vAlign w:val="center"/>
          </w:tcPr>
          <w:p w14:paraId="7EAB40B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VPI</w:t>
            </w:r>
          </w:p>
        </w:tc>
        <w:tc>
          <w:tcPr>
            <w:tcW w:w="2781" w:type="dxa"/>
            <w:tcBorders>
              <w:top w:val="nil"/>
              <w:left w:val="nil"/>
              <w:bottom w:val="nil"/>
              <w:right w:val="nil"/>
            </w:tcBorders>
            <w:shd w:val="clear" w:color="auto" w:fill="auto"/>
            <w:noWrap/>
            <w:vAlign w:val="center"/>
          </w:tcPr>
          <w:p w14:paraId="0ADDA1A4" w14:textId="77777777" w:rsidR="00E51BCC" w:rsidRPr="00241D28" w:rsidRDefault="006F4D56" w:rsidP="00C4389C">
            <w:pPr>
              <w:spacing w:after="0" w:line="240" w:lineRule="auto"/>
              <w:jc w:val="both"/>
              <w:rPr>
                <w:rFonts w:ascii="Times New Roman" w:eastAsia="Times New Roman" w:hAnsi="Times New Roman"/>
                <w:b/>
                <w:bCs/>
                <w:color w:val="000000"/>
                <w:sz w:val="12"/>
                <w:szCs w:val="12"/>
                <w:lang w:eastAsia="en-GB"/>
              </w:rPr>
            </w:pPr>
            <w:r>
              <w:rPr>
                <w:rFonts w:ascii="Times New Roman" w:eastAsia="Times New Roman" w:hAnsi="Times New Roman"/>
                <w:sz w:val="12"/>
                <w:szCs w:val="12"/>
                <w:lang w:eastAsia="en-GB"/>
              </w:rPr>
              <w:t>V</w:t>
            </w:r>
            <w:r w:rsidR="00E51BCC" w:rsidRPr="00241D28">
              <w:rPr>
                <w:rFonts w:ascii="Times New Roman" w:eastAsia="Times New Roman" w:hAnsi="Times New Roman"/>
                <w:sz w:val="12"/>
                <w:szCs w:val="12"/>
                <w:lang w:eastAsia="en-GB"/>
              </w:rPr>
              <w:t>ertybinių popierių išleidimo statistika</w:t>
            </w:r>
          </w:p>
        </w:tc>
      </w:tr>
      <w:tr w:rsidR="00E51BCC" w:rsidRPr="00E76DD9" w14:paraId="513C8C1C" w14:textId="77777777" w:rsidTr="00BB1E9A">
        <w:trPr>
          <w:trHeight w:val="21"/>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497102D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F511</w:t>
            </w:r>
          </w:p>
        </w:tc>
        <w:tc>
          <w:tcPr>
            <w:tcW w:w="1413" w:type="dxa"/>
            <w:tcBorders>
              <w:top w:val="nil"/>
              <w:left w:val="nil"/>
              <w:bottom w:val="nil"/>
              <w:right w:val="nil"/>
            </w:tcBorders>
            <w:shd w:val="clear" w:color="000000" w:fill="D9D9D9"/>
            <w:vAlign w:val="center"/>
            <w:hideMark/>
          </w:tcPr>
          <w:p w14:paraId="0F862A6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Biržinės akcijos</w:t>
            </w:r>
          </w:p>
        </w:tc>
        <w:tc>
          <w:tcPr>
            <w:tcW w:w="847" w:type="dxa"/>
            <w:tcBorders>
              <w:top w:val="nil"/>
              <w:left w:val="single" w:sz="4" w:space="0" w:color="auto"/>
              <w:bottom w:val="nil"/>
              <w:right w:val="nil"/>
            </w:tcBorders>
            <w:shd w:val="clear" w:color="auto" w:fill="auto"/>
            <w:noWrap/>
            <w:vAlign w:val="center"/>
            <w:hideMark/>
          </w:tcPr>
          <w:p w14:paraId="29156B6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VPT</w:t>
            </w:r>
          </w:p>
        </w:tc>
        <w:tc>
          <w:tcPr>
            <w:tcW w:w="706" w:type="dxa"/>
            <w:tcBorders>
              <w:top w:val="nil"/>
              <w:left w:val="nil"/>
              <w:bottom w:val="nil"/>
              <w:right w:val="nil"/>
            </w:tcBorders>
            <w:shd w:val="clear" w:color="auto" w:fill="auto"/>
            <w:noWrap/>
            <w:vAlign w:val="center"/>
            <w:hideMark/>
          </w:tcPr>
          <w:p w14:paraId="35C68B9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384" w:type="dxa"/>
            <w:gridSpan w:val="2"/>
            <w:tcBorders>
              <w:top w:val="nil"/>
              <w:left w:val="nil"/>
              <w:bottom w:val="nil"/>
              <w:right w:val="nil"/>
            </w:tcBorders>
            <w:shd w:val="clear" w:color="auto" w:fill="auto"/>
            <w:noWrap/>
            <w:vAlign w:val="center"/>
            <w:hideMark/>
          </w:tcPr>
          <w:p w14:paraId="1CE6D22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712" w:type="dxa"/>
            <w:gridSpan w:val="2"/>
            <w:tcBorders>
              <w:top w:val="nil"/>
              <w:left w:val="nil"/>
              <w:bottom w:val="nil"/>
              <w:right w:val="nil"/>
            </w:tcBorders>
            <w:shd w:val="clear" w:color="auto" w:fill="auto"/>
            <w:noWrap/>
            <w:vAlign w:val="center"/>
            <w:hideMark/>
          </w:tcPr>
          <w:p w14:paraId="5E195DB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VPT</w:t>
            </w:r>
          </w:p>
        </w:tc>
        <w:tc>
          <w:tcPr>
            <w:tcW w:w="508" w:type="dxa"/>
            <w:tcBorders>
              <w:top w:val="nil"/>
              <w:left w:val="nil"/>
              <w:bottom w:val="nil"/>
              <w:right w:val="nil"/>
            </w:tcBorders>
            <w:shd w:val="clear" w:color="auto" w:fill="auto"/>
            <w:noWrap/>
            <w:vAlign w:val="center"/>
            <w:hideMark/>
          </w:tcPr>
          <w:p w14:paraId="0E2D01C3" w14:textId="77777777" w:rsidR="00E51BCC" w:rsidRPr="00241D28" w:rsidRDefault="00997BD2"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p>
        </w:tc>
        <w:tc>
          <w:tcPr>
            <w:tcW w:w="513" w:type="dxa"/>
            <w:tcBorders>
              <w:top w:val="nil"/>
              <w:left w:val="nil"/>
              <w:bottom w:val="nil"/>
              <w:right w:val="nil"/>
            </w:tcBorders>
            <w:shd w:val="clear" w:color="auto" w:fill="auto"/>
            <w:noWrap/>
            <w:vAlign w:val="center"/>
            <w:hideMark/>
          </w:tcPr>
          <w:p w14:paraId="6FA945D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669" w:type="dxa"/>
            <w:tcBorders>
              <w:top w:val="nil"/>
              <w:left w:val="nil"/>
              <w:bottom w:val="nil"/>
              <w:right w:val="nil"/>
            </w:tcBorders>
            <w:shd w:val="clear" w:color="auto" w:fill="auto"/>
            <w:noWrap/>
            <w:vAlign w:val="center"/>
            <w:hideMark/>
          </w:tcPr>
          <w:p w14:paraId="4BEA400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KVSFS</w:t>
            </w:r>
          </w:p>
        </w:tc>
        <w:tc>
          <w:tcPr>
            <w:tcW w:w="743" w:type="dxa"/>
            <w:tcBorders>
              <w:top w:val="nil"/>
              <w:left w:val="nil"/>
              <w:bottom w:val="nil"/>
              <w:right w:val="nil"/>
            </w:tcBorders>
            <w:shd w:val="clear" w:color="auto" w:fill="auto"/>
            <w:noWrap/>
            <w:vAlign w:val="center"/>
            <w:hideMark/>
          </w:tcPr>
          <w:p w14:paraId="74A7E38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VPT*</w:t>
            </w:r>
          </w:p>
        </w:tc>
        <w:tc>
          <w:tcPr>
            <w:tcW w:w="405" w:type="dxa"/>
            <w:tcBorders>
              <w:top w:val="nil"/>
              <w:left w:val="nil"/>
              <w:bottom w:val="nil"/>
              <w:right w:val="single" w:sz="4" w:space="0" w:color="auto"/>
            </w:tcBorders>
            <w:shd w:val="clear" w:color="auto" w:fill="auto"/>
            <w:noWrap/>
            <w:vAlign w:val="center"/>
            <w:hideMark/>
          </w:tcPr>
          <w:p w14:paraId="67CF88D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574" w:type="dxa"/>
            <w:tcBorders>
              <w:top w:val="nil"/>
              <w:left w:val="nil"/>
              <w:bottom w:val="nil"/>
              <w:right w:val="nil"/>
            </w:tcBorders>
            <w:shd w:val="clear" w:color="auto" w:fill="auto"/>
            <w:noWrap/>
            <w:vAlign w:val="center"/>
            <w:hideMark/>
          </w:tcPr>
          <w:p w14:paraId="1FC20E01"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VPI</w:t>
            </w:r>
          </w:p>
        </w:tc>
        <w:tc>
          <w:tcPr>
            <w:tcW w:w="574" w:type="dxa"/>
            <w:tcBorders>
              <w:top w:val="nil"/>
              <w:left w:val="nil"/>
              <w:bottom w:val="nil"/>
              <w:right w:val="nil"/>
            </w:tcBorders>
            <w:shd w:val="clear" w:color="auto" w:fill="auto"/>
            <w:noWrap/>
            <w:vAlign w:val="center"/>
            <w:hideMark/>
          </w:tcPr>
          <w:p w14:paraId="72A00B0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VPI</w:t>
            </w:r>
          </w:p>
        </w:tc>
        <w:tc>
          <w:tcPr>
            <w:tcW w:w="430" w:type="dxa"/>
            <w:tcBorders>
              <w:top w:val="nil"/>
              <w:left w:val="nil"/>
              <w:bottom w:val="nil"/>
              <w:right w:val="nil"/>
            </w:tcBorders>
            <w:shd w:val="clear" w:color="auto" w:fill="auto"/>
            <w:noWrap/>
            <w:vAlign w:val="center"/>
            <w:hideMark/>
          </w:tcPr>
          <w:p w14:paraId="00D44DD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574" w:type="dxa"/>
            <w:tcBorders>
              <w:top w:val="nil"/>
              <w:left w:val="nil"/>
              <w:bottom w:val="nil"/>
              <w:right w:val="nil"/>
            </w:tcBorders>
            <w:shd w:val="clear" w:color="auto" w:fill="auto"/>
            <w:noWrap/>
            <w:vAlign w:val="center"/>
            <w:hideMark/>
          </w:tcPr>
          <w:p w14:paraId="6BBABE11"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VPI</w:t>
            </w:r>
          </w:p>
        </w:tc>
        <w:tc>
          <w:tcPr>
            <w:tcW w:w="490" w:type="dxa"/>
            <w:tcBorders>
              <w:top w:val="nil"/>
              <w:left w:val="nil"/>
              <w:bottom w:val="nil"/>
              <w:right w:val="nil"/>
            </w:tcBorders>
            <w:shd w:val="clear" w:color="auto" w:fill="auto"/>
            <w:noWrap/>
            <w:vAlign w:val="center"/>
            <w:hideMark/>
          </w:tcPr>
          <w:p w14:paraId="761A7C4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552" w:type="dxa"/>
            <w:tcBorders>
              <w:top w:val="nil"/>
              <w:left w:val="nil"/>
              <w:bottom w:val="nil"/>
              <w:right w:val="nil"/>
            </w:tcBorders>
            <w:shd w:val="clear" w:color="auto" w:fill="auto"/>
            <w:noWrap/>
            <w:vAlign w:val="center"/>
            <w:hideMark/>
          </w:tcPr>
          <w:p w14:paraId="711E769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709" w:type="dxa"/>
            <w:tcBorders>
              <w:top w:val="nil"/>
              <w:left w:val="nil"/>
              <w:right w:val="nil"/>
            </w:tcBorders>
            <w:shd w:val="clear" w:color="auto" w:fill="auto"/>
            <w:noWrap/>
            <w:vAlign w:val="center"/>
            <w:hideMark/>
          </w:tcPr>
          <w:p w14:paraId="38B8BE7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709" w:type="dxa"/>
            <w:tcBorders>
              <w:top w:val="nil"/>
              <w:left w:val="nil"/>
              <w:right w:val="nil"/>
            </w:tcBorders>
            <w:shd w:val="clear" w:color="auto" w:fill="auto"/>
            <w:noWrap/>
            <w:vAlign w:val="center"/>
            <w:hideMark/>
          </w:tcPr>
          <w:p w14:paraId="226F06C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425" w:type="dxa"/>
            <w:tcBorders>
              <w:top w:val="nil"/>
              <w:left w:val="nil"/>
              <w:bottom w:val="nil"/>
              <w:right w:val="single" w:sz="4" w:space="0" w:color="auto"/>
            </w:tcBorders>
            <w:shd w:val="clear" w:color="auto" w:fill="auto"/>
            <w:noWrap/>
            <w:vAlign w:val="center"/>
            <w:hideMark/>
          </w:tcPr>
          <w:p w14:paraId="1864320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472" w:type="dxa"/>
            <w:tcBorders>
              <w:top w:val="nil"/>
              <w:left w:val="nil"/>
              <w:bottom w:val="nil"/>
              <w:right w:val="nil"/>
            </w:tcBorders>
            <w:shd w:val="clear" w:color="auto" w:fill="auto"/>
            <w:noWrap/>
            <w:vAlign w:val="center"/>
          </w:tcPr>
          <w:p w14:paraId="56DFE45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VPT</w:t>
            </w:r>
          </w:p>
        </w:tc>
        <w:tc>
          <w:tcPr>
            <w:tcW w:w="2781" w:type="dxa"/>
            <w:tcBorders>
              <w:top w:val="nil"/>
              <w:left w:val="nil"/>
              <w:bottom w:val="nil"/>
              <w:right w:val="nil"/>
            </w:tcBorders>
            <w:shd w:val="clear" w:color="auto" w:fill="auto"/>
            <w:noWrap/>
            <w:vAlign w:val="center"/>
          </w:tcPr>
          <w:p w14:paraId="66471D51" w14:textId="77777777" w:rsidR="00E51BCC" w:rsidRPr="00241D28" w:rsidRDefault="006F4D56" w:rsidP="00C4389C">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sz w:val="12"/>
                <w:szCs w:val="12"/>
                <w:lang w:eastAsia="en-GB"/>
              </w:rPr>
              <w:t>V</w:t>
            </w:r>
            <w:r w:rsidR="00E51BCC" w:rsidRPr="00241D28">
              <w:rPr>
                <w:rFonts w:ascii="Times New Roman" w:eastAsia="Times New Roman" w:hAnsi="Times New Roman"/>
                <w:sz w:val="12"/>
                <w:szCs w:val="12"/>
                <w:lang w:eastAsia="en-GB"/>
              </w:rPr>
              <w:t>ertybinių popierių turėtojų statistika</w:t>
            </w:r>
          </w:p>
        </w:tc>
      </w:tr>
      <w:tr w:rsidR="00E51BCC" w:rsidRPr="00E76DD9" w14:paraId="018621E3" w14:textId="77777777" w:rsidTr="00BB1E9A">
        <w:trPr>
          <w:trHeight w:val="21"/>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1AD7E64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F512</w:t>
            </w:r>
          </w:p>
        </w:tc>
        <w:tc>
          <w:tcPr>
            <w:tcW w:w="1413" w:type="dxa"/>
            <w:tcBorders>
              <w:top w:val="nil"/>
              <w:left w:val="nil"/>
              <w:bottom w:val="nil"/>
              <w:right w:val="nil"/>
            </w:tcBorders>
            <w:shd w:val="clear" w:color="000000" w:fill="D9D9D9"/>
            <w:vAlign w:val="center"/>
            <w:hideMark/>
          </w:tcPr>
          <w:p w14:paraId="67AA6FB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xml:space="preserve">Nebiržinės akcijos </w:t>
            </w:r>
          </w:p>
        </w:tc>
        <w:tc>
          <w:tcPr>
            <w:tcW w:w="847" w:type="dxa"/>
            <w:tcBorders>
              <w:top w:val="nil"/>
              <w:left w:val="single" w:sz="4" w:space="0" w:color="auto"/>
              <w:bottom w:val="nil"/>
              <w:right w:val="nil"/>
            </w:tcBorders>
            <w:shd w:val="clear" w:color="auto" w:fill="auto"/>
            <w:noWrap/>
            <w:vAlign w:val="center"/>
            <w:hideMark/>
          </w:tcPr>
          <w:p w14:paraId="108D6ABF" w14:textId="23AC6504"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NFB</w:t>
            </w:r>
            <w:r w:rsidRPr="00241D28">
              <w:rPr>
                <w:rFonts w:ascii="Times New Roman" w:hAnsi="Times New Roman"/>
                <w:sz w:val="12"/>
                <w:szCs w:val="12"/>
              </w:rPr>
              <w:t xml:space="preserve"> </w:t>
            </w:r>
            <w:r w:rsidRPr="00241D28">
              <w:rPr>
                <w:rFonts w:ascii="Times New Roman" w:eastAsia="Times New Roman" w:hAnsi="Times New Roman"/>
                <w:color w:val="000000"/>
                <w:sz w:val="12"/>
                <w:szCs w:val="12"/>
                <w:lang w:eastAsia="en-GB"/>
              </w:rPr>
              <w:t>##</w:t>
            </w:r>
          </w:p>
        </w:tc>
        <w:tc>
          <w:tcPr>
            <w:tcW w:w="706" w:type="dxa"/>
            <w:tcBorders>
              <w:top w:val="nil"/>
              <w:left w:val="nil"/>
              <w:bottom w:val="nil"/>
              <w:right w:val="nil"/>
            </w:tcBorders>
            <w:shd w:val="clear" w:color="auto" w:fill="auto"/>
            <w:noWrap/>
            <w:vAlign w:val="center"/>
            <w:hideMark/>
          </w:tcPr>
          <w:p w14:paraId="1C44E6F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384" w:type="dxa"/>
            <w:gridSpan w:val="2"/>
            <w:tcBorders>
              <w:top w:val="nil"/>
              <w:left w:val="nil"/>
              <w:bottom w:val="nil"/>
              <w:right w:val="nil"/>
            </w:tcBorders>
            <w:shd w:val="clear" w:color="auto" w:fill="auto"/>
            <w:noWrap/>
            <w:vAlign w:val="center"/>
            <w:hideMark/>
          </w:tcPr>
          <w:p w14:paraId="1A5E94A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712" w:type="dxa"/>
            <w:gridSpan w:val="2"/>
            <w:tcBorders>
              <w:top w:val="nil"/>
              <w:left w:val="nil"/>
              <w:bottom w:val="nil"/>
              <w:right w:val="nil"/>
            </w:tcBorders>
            <w:shd w:val="clear" w:color="auto" w:fill="auto"/>
            <w:noWrap/>
            <w:vAlign w:val="center"/>
            <w:hideMark/>
          </w:tcPr>
          <w:p w14:paraId="3979F0EF" w14:textId="5326B46A" w:rsidR="00E51BCC" w:rsidRPr="00241D28" w:rsidRDefault="00E84FC3" w:rsidP="00E84FC3">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ST</w:t>
            </w:r>
            <w:r w:rsidR="00BB1E9A">
              <w:rPr>
                <w:rFonts w:ascii="Times New Roman" w:eastAsia="Times New Roman" w:hAnsi="Times New Roman"/>
                <w:color w:val="000000"/>
                <w:sz w:val="12"/>
                <w:szCs w:val="12"/>
                <w:vertAlign w:val="superscript"/>
                <w:lang w:eastAsia="en-GB"/>
              </w:rPr>
              <w:t>1</w:t>
            </w:r>
          </w:p>
        </w:tc>
        <w:tc>
          <w:tcPr>
            <w:tcW w:w="508" w:type="dxa"/>
            <w:tcBorders>
              <w:top w:val="nil"/>
              <w:left w:val="nil"/>
              <w:bottom w:val="nil"/>
              <w:right w:val="nil"/>
            </w:tcBorders>
            <w:shd w:val="clear" w:color="auto" w:fill="auto"/>
            <w:noWrap/>
            <w:vAlign w:val="center"/>
            <w:hideMark/>
          </w:tcPr>
          <w:p w14:paraId="161CDCFD" w14:textId="77777777" w:rsidR="00E51BCC" w:rsidRPr="00241D28" w:rsidRDefault="00997BD2"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p>
        </w:tc>
        <w:tc>
          <w:tcPr>
            <w:tcW w:w="513" w:type="dxa"/>
            <w:tcBorders>
              <w:top w:val="nil"/>
              <w:left w:val="nil"/>
              <w:bottom w:val="nil"/>
              <w:right w:val="nil"/>
            </w:tcBorders>
            <w:shd w:val="clear" w:color="auto" w:fill="auto"/>
            <w:noWrap/>
            <w:vAlign w:val="center"/>
            <w:hideMark/>
          </w:tcPr>
          <w:p w14:paraId="6C56996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669" w:type="dxa"/>
            <w:tcBorders>
              <w:top w:val="nil"/>
              <w:left w:val="nil"/>
              <w:bottom w:val="nil"/>
              <w:right w:val="nil"/>
            </w:tcBorders>
            <w:shd w:val="clear" w:color="auto" w:fill="auto"/>
            <w:noWrap/>
            <w:vAlign w:val="center"/>
            <w:hideMark/>
          </w:tcPr>
          <w:p w14:paraId="514890F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KVSFS</w:t>
            </w:r>
          </w:p>
        </w:tc>
        <w:tc>
          <w:tcPr>
            <w:tcW w:w="743" w:type="dxa"/>
            <w:tcBorders>
              <w:top w:val="nil"/>
              <w:left w:val="nil"/>
              <w:bottom w:val="nil"/>
              <w:right w:val="nil"/>
            </w:tcBorders>
            <w:shd w:val="clear" w:color="auto" w:fill="auto"/>
            <w:noWrap/>
            <w:vAlign w:val="center"/>
            <w:hideMark/>
          </w:tcPr>
          <w:p w14:paraId="67EE073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NFB*/MB</w:t>
            </w:r>
          </w:p>
        </w:tc>
        <w:tc>
          <w:tcPr>
            <w:tcW w:w="405" w:type="dxa"/>
            <w:tcBorders>
              <w:top w:val="nil"/>
              <w:left w:val="nil"/>
              <w:bottom w:val="nil"/>
              <w:right w:val="single" w:sz="4" w:space="0" w:color="auto"/>
            </w:tcBorders>
            <w:shd w:val="clear" w:color="auto" w:fill="auto"/>
            <w:noWrap/>
            <w:vAlign w:val="center"/>
            <w:hideMark/>
          </w:tcPr>
          <w:p w14:paraId="31974DE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574" w:type="dxa"/>
            <w:tcBorders>
              <w:top w:val="nil"/>
              <w:left w:val="nil"/>
              <w:bottom w:val="nil"/>
              <w:right w:val="nil"/>
            </w:tcBorders>
            <w:shd w:val="clear" w:color="auto" w:fill="auto"/>
            <w:noWrap/>
            <w:vAlign w:val="center"/>
            <w:hideMark/>
          </w:tcPr>
          <w:p w14:paraId="1495567D" w14:textId="63F10EAE"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NFB</w:t>
            </w:r>
          </w:p>
        </w:tc>
        <w:tc>
          <w:tcPr>
            <w:tcW w:w="574" w:type="dxa"/>
            <w:tcBorders>
              <w:top w:val="nil"/>
              <w:left w:val="nil"/>
              <w:bottom w:val="nil"/>
              <w:right w:val="nil"/>
            </w:tcBorders>
            <w:shd w:val="clear" w:color="auto" w:fill="auto"/>
            <w:noWrap/>
            <w:vAlign w:val="center"/>
            <w:hideMark/>
          </w:tcPr>
          <w:p w14:paraId="4023C7A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430" w:type="dxa"/>
            <w:tcBorders>
              <w:top w:val="nil"/>
              <w:left w:val="nil"/>
              <w:bottom w:val="nil"/>
              <w:right w:val="nil"/>
            </w:tcBorders>
            <w:shd w:val="clear" w:color="auto" w:fill="auto"/>
            <w:noWrap/>
            <w:vAlign w:val="center"/>
            <w:hideMark/>
          </w:tcPr>
          <w:p w14:paraId="37AE83F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574" w:type="dxa"/>
            <w:tcBorders>
              <w:top w:val="nil"/>
              <w:left w:val="nil"/>
              <w:bottom w:val="nil"/>
              <w:right w:val="nil"/>
            </w:tcBorders>
            <w:shd w:val="clear" w:color="auto" w:fill="auto"/>
            <w:noWrap/>
            <w:vAlign w:val="center"/>
            <w:hideMark/>
          </w:tcPr>
          <w:p w14:paraId="3D098D12" w14:textId="21EF3067" w:rsidR="00E51BCC" w:rsidRPr="00241D28" w:rsidRDefault="006F4D56" w:rsidP="006F4D56">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ST</w:t>
            </w:r>
            <w:r w:rsidR="00BB1E9A">
              <w:rPr>
                <w:rFonts w:ascii="Times New Roman" w:eastAsia="Times New Roman" w:hAnsi="Times New Roman"/>
                <w:color w:val="000000"/>
                <w:sz w:val="12"/>
                <w:szCs w:val="12"/>
                <w:vertAlign w:val="superscript"/>
                <w:lang w:eastAsia="en-GB"/>
              </w:rPr>
              <w:t>1</w:t>
            </w:r>
          </w:p>
        </w:tc>
        <w:tc>
          <w:tcPr>
            <w:tcW w:w="490" w:type="dxa"/>
            <w:tcBorders>
              <w:top w:val="nil"/>
              <w:left w:val="nil"/>
              <w:right w:val="nil"/>
            </w:tcBorders>
            <w:shd w:val="clear" w:color="auto" w:fill="auto"/>
            <w:noWrap/>
            <w:vAlign w:val="center"/>
            <w:hideMark/>
          </w:tcPr>
          <w:p w14:paraId="3275CC6C" w14:textId="77777777" w:rsidR="00E51BCC" w:rsidRPr="00241D28" w:rsidRDefault="00997BD2"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p>
        </w:tc>
        <w:tc>
          <w:tcPr>
            <w:tcW w:w="552" w:type="dxa"/>
            <w:tcBorders>
              <w:top w:val="nil"/>
              <w:left w:val="nil"/>
              <w:bottom w:val="nil"/>
              <w:right w:val="nil"/>
            </w:tcBorders>
            <w:shd w:val="clear" w:color="auto" w:fill="D9D9D9" w:themeFill="background1" w:themeFillShade="D9"/>
            <w:noWrap/>
            <w:vAlign w:val="center"/>
            <w:hideMark/>
          </w:tcPr>
          <w:p w14:paraId="6C301FC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709" w:type="dxa"/>
            <w:tcBorders>
              <w:top w:val="nil"/>
              <w:left w:val="nil"/>
              <w:bottom w:val="nil"/>
              <w:right w:val="nil"/>
            </w:tcBorders>
            <w:shd w:val="clear" w:color="auto" w:fill="auto"/>
            <w:noWrap/>
            <w:vAlign w:val="center"/>
            <w:hideMark/>
          </w:tcPr>
          <w:p w14:paraId="0D3F04C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709" w:type="dxa"/>
            <w:tcBorders>
              <w:top w:val="nil"/>
              <w:left w:val="nil"/>
              <w:bottom w:val="nil"/>
              <w:right w:val="nil"/>
            </w:tcBorders>
            <w:shd w:val="clear" w:color="auto" w:fill="auto"/>
            <w:noWrap/>
            <w:vAlign w:val="center"/>
            <w:hideMark/>
          </w:tcPr>
          <w:p w14:paraId="45A651A1"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425" w:type="dxa"/>
            <w:tcBorders>
              <w:top w:val="nil"/>
              <w:left w:val="nil"/>
              <w:bottom w:val="nil"/>
              <w:right w:val="single" w:sz="4" w:space="0" w:color="auto"/>
            </w:tcBorders>
            <w:shd w:val="clear" w:color="auto" w:fill="auto"/>
            <w:noWrap/>
            <w:vAlign w:val="center"/>
            <w:hideMark/>
          </w:tcPr>
          <w:p w14:paraId="18966E7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472" w:type="dxa"/>
            <w:tcBorders>
              <w:top w:val="nil"/>
              <w:left w:val="nil"/>
              <w:bottom w:val="nil"/>
              <w:right w:val="nil"/>
            </w:tcBorders>
            <w:shd w:val="clear" w:color="auto" w:fill="auto"/>
            <w:noWrap/>
            <w:vAlign w:val="center"/>
          </w:tcPr>
          <w:p w14:paraId="5E17E6E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p w14:paraId="5601FD70" w14:textId="77777777" w:rsidR="00E51BCC" w:rsidRPr="00241D28" w:rsidRDefault="00E51BCC" w:rsidP="006F4D56">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w:t>
            </w:r>
            <w:r w:rsidR="006F4D56">
              <w:rPr>
                <w:rFonts w:ascii="Times New Roman" w:eastAsia="Times New Roman" w:hAnsi="Times New Roman"/>
                <w:color w:val="000000"/>
                <w:sz w:val="12"/>
                <w:szCs w:val="12"/>
                <w:lang w:eastAsia="en-GB"/>
              </w:rPr>
              <w:t>D</w:t>
            </w:r>
          </w:p>
        </w:tc>
        <w:tc>
          <w:tcPr>
            <w:tcW w:w="2781" w:type="dxa"/>
            <w:tcBorders>
              <w:top w:val="nil"/>
              <w:left w:val="nil"/>
              <w:bottom w:val="nil"/>
              <w:right w:val="nil"/>
            </w:tcBorders>
            <w:shd w:val="clear" w:color="auto" w:fill="auto"/>
            <w:noWrap/>
            <w:vAlign w:val="center"/>
          </w:tcPr>
          <w:p w14:paraId="2564A381" w14:textId="77777777" w:rsidR="00E51BCC" w:rsidRPr="00241D28" w:rsidRDefault="00E51BCC" w:rsidP="00C4389C">
            <w:pPr>
              <w:spacing w:after="0" w:line="240" w:lineRule="auto"/>
              <w:jc w:val="both"/>
              <w:rPr>
                <w:rFonts w:ascii="Times New Roman" w:eastAsia="Times New Roman" w:hAnsi="Times New Roman"/>
                <w:sz w:val="12"/>
                <w:szCs w:val="12"/>
                <w:lang w:eastAsia="en-GB"/>
              </w:rPr>
            </w:pPr>
          </w:p>
          <w:p w14:paraId="20E16255" w14:textId="77777777" w:rsidR="00E51BCC" w:rsidRPr="00241D28" w:rsidRDefault="006F4D56" w:rsidP="00C4389C">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sz w:val="12"/>
                <w:szCs w:val="12"/>
                <w:lang w:eastAsia="en-GB"/>
              </w:rPr>
              <w:t>P</w:t>
            </w:r>
            <w:r w:rsidR="00E51BCC" w:rsidRPr="00241D28">
              <w:rPr>
                <w:rFonts w:ascii="Times New Roman" w:eastAsia="Times New Roman" w:hAnsi="Times New Roman"/>
                <w:sz w:val="12"/>
                <w:szCs w:val="12"/>
                <w:lang w:eastAsia="en-GB"/>
              </w:rPr>
              <w:t>riežiūros duomenys</w:t>
            </w:r>
          </w:p>
        </w:tc>
      </w:tr>
      <w:tr w:rsidR="00E51BCC" w:rsidRPr="0033274B" w14:paraId="3C8A2919" w14:textId="77777777" w:rsidTr="00BB1E9A">
        <w:trPr>
          <w:trHeight w:val="21"/>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11CEAE2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F519</w:t>
            </w:r>
          </w:p>
        </w:tc>
        <w:tc>
          <w:tcPr>
            <w:tcW w:w="1413" w:type="dxa"/>
            <w:tcBorders>
              <w:top w:val="nil"/>
              <w:left w:val="nil"/>
              <w:bottom w:val="nil"/>
              <w:right w:val="nil"/>
            </w:tcBorders>
            <w:shd w:val="clear" w:color="000000" w:fill="D9D9D9"/>
            <w:vAlign w:val="center"/>
            <w:hideMark/>
          </w:tcPr>
          <w:p w14:paraId="40FABEF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p w14:paraId="6E7DF28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xml:space="preserve">Kitos nuosavybės priemonės </w:t>
            </w:r>
          </w:p>
        </w:tc>
        <w:tc>
          <w:tcPr>
            <w:tcW w:w="847" w:type="dxa"/>
            <w:tcBorders>
              <w:top w:val="nil"/>
              <w:left w:val="single" w:sz="4" w:space="0" w:color="auto"/>
              <w:bottom w:val="nil"/>
              <w:right w:val="nil"/>
            </w:tcBorders>
            <w:shd w:val="clear" w:color="auto" w:fill="auto"/>
            <w:noWrap/>
            <w:vAlign w:val="center"/>
            <w:hideMark/>
          </w:tcPr>
          <w:p w14:paraId="70CEC5F7" w14:textId="77777777" w:rsidR="00E51BCC" w:rsidRPr="00241D28" w:rsidRDefault="00E84FC3" w:rsidP="00C4389C">
            <w:pPr>
              <w:spacing w:after="0" w:line="240" w:lineRule="auto"/>
              <w:jc w:val="both"/>
              <w:rPr>
                <w:rFonts w:ascii="Times New Roman" w:eastAsia="Times New Roman" w:hAnsi="Times New Roman"/>
                <w:color w:val="000000"/>
                <w:sz w:val="12"/>
                <w:szCs w:val="12"/>
                <w:lang w:eastAsia="en-GB"/>
              </w:rPr>
            </w:pPr>
            <w:r w:rsidRPr="00E84FC3">
              <w:rPr>
                <w:rFonts w:ascii="Times New Roman" w:eastAsia="Times New Roman" w:hAnsi="Times New Roman"/>
                <w:color w:val="000000"/>
                <w:sz w:val="12"/>
                <w:szCs w:val="12"/>
                <w:lang w:eastAsia="en-GB"/>
              </w:rPr>
              <w:t>e^^ ##</w:t>
            </w:r>
          </w:p>
        </w:tc>
        <w:tc>
          <w:tcPr>
            <w:tcW w:w="706" w:type="dxa"/>
            <w:tcBorders>
              <w:top w:val="nil"/>
              <w:left w:val="nil"/>
              <w:bottom w:val="nil"/>
              <w:right w:val="nil"/>
            </w:tcBorders>
            <w:shd w:val="clear" w:color="auto" w:fill="auto"/>
            <w:noWrap/>
            <w:vAlign w:val="center"/>
            <w:hideMark/>
          </w:tcPr>
          <w:p w14:paraId="478D7E2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384" w:type="dxa"/>
            <w:gridSpan w:val="2"/>
            <w:tcBorders>
              <w:top w:val="nil"/>
              <w:left w:val="nil"/>
              <w:bottom w:val="nil"/>
              <w:right w:val="nil"/>
            </w:tcBorders>
            <w:shd w:val="clear" w:color="auto" w:fill="auto"/>
            <w:noWrap/>
            <w:vAlign w:val="center"/>
            <w:hideMark/>
          </w:tcPr>
          <w:p w14:paraId="1A2D8DE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712" w:type="dxa"/>
            <w:gridSpan w:val="2"/>
            <w:tcBorders>
              <w:top w:val="nil"/>
              <w:left w:val="nil"/>
              <w:bottom w:val="nil"/>
              <w:right w:val="nil"/>
            </w:tcBorders>
            <w:shd w:val="clear" w:color="auto" w:fill="auto"/>
            <w:noWrap/>
            <w:vAlign w:val="center"/>
            <w:hideMark/>
          </w:tcPr>
          <w:p w14:paraId="60A910A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508" w:type="dxa"/>
            <w:tcBorders>
              <w:top w:val="nil"/>
              <w:left w:val="nil"/>
              <w:bottom w:val="nil"/>
              <w:right w:val="nil"/>
            </w:tcBorders>
            <w:shd w:val="clear" w:color="auto" w:fill="auto"/>
            <w:noWrap/>
            <w:vAlign w:val="center"/>
            <w:hideMark/>
          </w:tcPr>
          <w:p w14:paraId="50F00884" w14:textId="77777777" w:rsidR="00E51BCC" w:rsidRPr="00241D28" w:rsidRDefault="00997BD2"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p>
        </w:tc>
        <w:tc>
          <w:tcPr>
            <w:tcW w:w="513" w:type="dxa"/>
            <w:tcBorders>
              <w:top w:val="nil"/>
              <w:left w:val="nil"/>
              <w:bottom w:val="nil"/>
              <w:right w:val="nil"/>
            </w:tcBorders>
            <w:shd w:val="clear" w:color="auto" w:fill="auto"/>
            <w:noWrap/>
            <w:vAlign w:val="center"/>
            <w:hideMark/>
          </w:tcPr>
          <w:p w14:paraId="23839ED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669" w:type="dxa"/>
            <w:tcBorders>
              <w:top w:val="nil"/>
              <w:left w:val="nil"/>
              <w:bottom w:val="nil"/>
              <w:right w:val="nil"/>
            </w:tcBorders>
            <w:shd w:val="clear" w:color="auto" w:fill="auto"/>
            <w:noWrap/>
            <w:vAlign w:val="center"/>
            <w:hideMark/>
          </w:tcPr>
          <w:p w14:paraId="0B71BE1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KVSFS</w:t>
            </w:r>
          </w:p>
        </w:tc>
        <w:tc>
          <w:tcPr>
            <w:tcW w:w="743" w:type="dxa"/>
            <w:tcBorders>
              <w:top w:val="nil"/>
              <w:left w:val="nil"/>
              <w:bottom w:val="nil"/>
              <w:right w:val="nil"/>
            </w:tcBorders>
            <w:shd w:val="clear" w:color="auto" w:fill="auto"/>
            <w:noWrap/>
            <w:vAlign w:val="center"/>
            <w:hideMark/>
          </w:tcPr>
          <w:p w14:paraId="2595D78A" w14:textId="77777777" w:rsidR="00E51BCC" w:rsidRPr="00241D28" w:rsidRDefault="006F4D56" w:rsidP="00C4389C">
            <w:pPr>
              <w:spacing w:after="0" w:line="240" w:lineRule="auto"/>
              <w:jc w:val="both"/>
              <w:rPr>
                <w:rFonts w:ascii="Times New Roman" w:eastAsia="Times New Roman" w:hAnsi="Times New Roman"/>
                <w:color w:val="000000"/>
                <w:sz w:val="12"/>
                <w:szCs w:val="12"/>
                <w:lang w:eastAsia="en-GB"/>
              </w:rPr>
            </w:pPr>
            <w:r w:rsidRPr="006F4D56">
              <w:rPr>
                <w:rFonts w:ascii="Times New Roman" w:eastAsia="Times New Roman" w:hAnsi="Times New Roman"/>
                <w:color w:val="000000"/>
                <w:sz w:val="12"/>
                <w:szCs w:val="12"/>
                <w:lang w:eastAsia="en-GB"/>
              </w:rPr>
              <w:t>* e^^</w:t>
            </w:r>
          </w:p>
        </w:tc>
        <w:tc>
          <w:tcPr>
            <w:tcW w:w="405" w:type="dxa"/>
            <w:tcBorders>
              <w:top w:val="nil"/>
              <w:left w:val="nil"/>
              <w:bottom w:val="nil"/>
              <w:right w:val="single" w:sz="4" w:space="0" w:color="auto"/>
            </w:tcBorders>
            <w:shd w:val="clear" w:color="auto" w:fill="auto"/>
            <w:noWrap/>
            <w:vAlign w:val="center"/>
            <w:hideMark/>
          </w:tcPr>
          <w:p w14:paraId="007A8D8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574" w:type="dxa"/>
            <w:tcBorders>
              <w:top w:val="nil"/>
              <w:left w:val="nil"/>
              <w:right w:val="nil"/>
            </w:tcBorders>
            <w:shd w:val="clear" w:color="auto" w:fill="auto"/>
            <w:noWrap/>
            <w:vAlign w:val="center"/>
            <w:hideMark/>
          </w:tcPr>
          <w:p w14:paraId="7894E11D" w14:textId="0FC3C1DE"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NFB</w:t>
            </w:r>
          </w:p>
        </w:tc>
        <w:tc>
          <w:tcPr>
            <w:tcW w:w="574" w:type="dxa"/>
            <w:tcBorders>
              <w:top w:val="nil"/>
              <w:left w:val="nil"/>
              <w:bottom w:val="nil"/>
              <w:right w:val="nil"/>
            </w:tcBorders>
            <w:shd w:val="clear" w:color="auto" w:fill="auto"/>
            <w:noWrap/>
            <w:vAlign w:val="center"/>
            <w:hideMark/>
          </w:tcPr>
          <w:p w14:paraId="028D0AA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430" w:type="dxa"/>
            <w:tcBorders>
              <w:top w:val="nil"/>
              <w:left w:val="nil"/>
              <w:bottom w:val="nil"/>
              <w:right w:val="nil"/>
            </w:tcBorders>
            <w:shd w:val="clear" w:color="auto" w:fill="auto"/>
            <w:noWrap/>
            <w:vAlign w:val="center"/>
            <w:hideMark/>
          </w:tcPr>
          <w:p w14:paraId="77DE641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574" w:type="dxa"/>
            <w:tcBorders>
              <w:top w:val="nil"/>
              <w:left w:val="nil"/>
              <w:right w:val="nil"/>
            </w:tcBorders>
            <w:shd w:val="clear" w:color="auto" w:fill="auto"/>
            <w:noWrap/>
            <w:vAlign w:val="center"/>
            <w:hideMark/>
          </w:tcPr>
          <w:p w14:paraId="29B27B6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490" w:type="dxa"/>
            <w:tcBorders>
              <w:top w:val="nil"/>
              <w:left w:val="nil"/>
              <w:right w:val="nil"/>
            </w:tcBorders>
            <w:shd w:val="clear" w:color="auto" w:fill="auto"/>
            <w:noWrap/>
            <w:vAlign w:val="center"/>
            <w:hideMark/>
          </w:tcPr>
          <w:p w14:paraId="3F35266A" w14:textId="77777777" w:rsidR="00E51BCC" w:rsidRPr="00241D28" w:rsidRDefault="00997BD2"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p>
        </w:tc>
        <w:tc>
          <w:tcPr>
            <w:tcW w:w="552" w:type="dxa"/>
            <w:tcBorders>
              <w:top w:val="nil"/>
              <w:left w:val="nil"/>
              <w:right w:val="nil"/>
            </w:tcBorders>
            <w:shd w:val="clear" w:color="auto" w:fill="D9D9D9" w:themeFill="background1" w:themeFillShade="D9"/>
            <w:noWrap/>
            <w:vAlign w:val="center"/>
            <w:hideMark/>
          </w:tcPr>
          <w:p w14:paraId="750F7DF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709" w:type="dxa"/>
            <w:tcBorders>
              <w:top w:val="nil"/>
              <w:left w:val="nil"/>
              <w:right w:val="nil"/>
            </w:tcBorders>
            <w:shd w:val="clear" w:color="auto" w:fill="auto"/>
            <w:noWrap/>
            <w:vAlign w:val="center"/>
            <w:hideMark/>
          </w:tcPr>
          <w:p w14:paraId="6E60FF5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709" w:type="dxa"/>
            <w:tcBorders>
              <w:top w:val="nil"/>
              <w:left w:val="nil"/>
              <w:bottom w:val="nil"/>
              <w:right w:val="nil"/>
            </w:tcBorders>
            <w:shd w:val="clear" w:color="auto" w:fill="D9D9D9" w:themeFill="background1" w:themeFillShade="D9"/>
            <w:noWrap/>
            <w:vAlign w:val="center"/>
            <w:hideMark/>
          </w:tcPr>
          <w:p w14:paraId="1A30A1D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25" w:type="dxa"/>
            <w:tcBorders>
              <w:top w:val="nil"/>
              <w:left w:val="nil"/>
              <w:bottom w:val="nil"/>
              <w:right w:val="single" w:sz="4" w:space="0" w:color="auto"/>
            </w:tcBorders>
            <w:shd w:val="clear" w:color="auto" w:fill="auto"/>
            <w:noWrap/>
            <w:vAlign w:val="center"/>
            <w:hideMark/>
          </w:tcPr>
          <w:p w14:paraId="56BEA5D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472" w:type="dxa"/>
            <w:tcBorders>
              <w:top w:val="nil"/>
              <w:left w:val="nil"/>
              <w:bottom w:val="nil"/>
              <w:right w:val="nil"/>
            </w:tcBorders>
            <w:shd w:val="clear" w:color="auto" w:fill="auto"/>
            <w:noWrap/>
            <w:vAlign w:val="center"/>
          </w:tcPr>
          <w:p w14:paraId="6AEC8A3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2781" w:type="dxa"/>
            <w:tcBorders>
              <w:top w:val="nil"/>
              <w:left w:val="nil"/>
              <w:bottom w:val="nil"/>
              <w:right w:val="nil"/>
            </w:tcBorders>
            <w:shd w:val="clear" w:color="auto" w:fill="auto"/>
            <w:noWrap/>
            <w:vAlign w:val="center"/>
          </w:tcPr>
          <w:p w14:paraId="0F7FFFEF" w14:textId="77777777" w:rsidR="00E51BCC" w:rsidRPr="00241D28" w:rsidRDefault="006F4D56" w:rsidP="006F4D56">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sz w:val="12"/>
                <w:szCs w:val="12"/>
                <w:lang w:eastAsia="en-GB"/>
              </w:rPr>
              <w:t>Nėra duomenų šaltini</w:t>
            </w:r>
            <w:r w:rsidR="009B0C65">
              <w:rPr>
                <w:rFonts w:ascii="Times New Roman" w:eastAsia="Times New Roman" w:hAnsi="Times New Roman"/>
                <w:sz w:val="12"/>
                <w:szCs w:val="12"/>
                <w:lang w:eastAsia="en-GB"/>
              </w:rPr>
              <w:t>o</w:t>
            </w:r>
            <w:r>
              <w:rPr>
                <w:rFonts w:ascii="Times New Roman" w:eastAsia="Times New Roman" w:hAnsi="Times New Roman"/>
                <w:sz w:val="12"/>
                <w:szCs w:val="12"/>
                <w:lang w:eastAsia="en-GB"/>
              </w:rPr>
              <w:t>, bet manoma, kad reiškinys lygus nuliui</w:t>
            </w:r>
          </w:p>
        </w:tc>
      </w:tr>
      <w:tr w:rsidR="00E51BCC" w:rsidRPr="00E76DD9" w14:paraId="2F791B20" w14:textId="77777777" w:rsidTr="00BB1E9A">
        <w:trPr>
          <w:trHeight w:val="21"/>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1B57838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F52</w:t>
            </w:r>
          </w:p>
        </w:tc>
        <w:tc>
          <w:tcPr>
            <w:tcW w:w="1413" w:type="dxa"/>
            <w:tcBorders>
              <w:top w:val="nil"/>
              <w:left w:val="nil"/>
              <w:bottom w:val="nil"/>
              <w:right w:val="nil"/>
            </w:tcBorders>
            <w:shd w:val="clear" w:color="000000" w:fill="D9D9D9"/>
            <w:vAlign w:val="center"/>
            <w:hideMark/>
          </w:tcPr>
          <w:p w14:paraId="075E2EB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 akcijos (vnt.)</w:t>
            </w:r>
          </w:p>
        </w:tc>
        <w:tc>
          <w:tcPr>
            <w:tcW w:w="847" w:type="dxa"/>
            <w:tcBorders>
              <w:top w:val="nil"/>
              <w:left w:val="single" w:sz="4" w:space="0" w:color="auto"/>
              <w:bottom w:val="nil"/>
              <w:right w:val="nil"/>
            </w:tcBorders>
            <w:shd w:val="clear" w:color="auto" w:fill="auto"/>
            <w:noWrap/>
            <w:vAlign w:val="center"/>
            <w:hideMark/>
          </w:tcPr>
          <w:p w14:paraId="4332ACF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IF/MB</w:t>
            </w:r>
          </w:p>
        </w:tc>
        <w:tc>
          <w:tcPr>
            <w:tcW w:w="706" w:type="dxa"/>
            <w:tcBorders>
              <w:top w:val="nil"/>
              <w:left w:val="nil"/>
              <w:bottom w:val="nil"/>
              <w:right w:val="nil"/>
            </w:tcBorders>
            <w:shd w:val="clear" w:color="auto" w:fill="auto"/>
            <w:noWrap/>
            <w:vAlign w:val="center"/>
            <w:hideMark/>
          </w:tcPr>
          <w:p w14:paraId="0A22906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384" w:type="dxa"/>
            <w:gridSpan w:val="2"/>
            <w:tcBorders>
              <w:top w:val="nil"/>
              <w:left w:val="nil"/>
              <w:right w:val="nil"/>
            </w:tcBorders>
            <w:shd w:val="clear" w:color="auto" w:fill="auto"/>
            <w:noWrap/>
            <w:vAlign w:val="center"/>
            <w:hideMark/>
          </w:tcPr>
          <w:p w14:paraId="6B0B290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712" w:type="dxa"/>
            <w:gridSpan w:val="2"/>
            <w:tcBorders>
              <w:top w:val="nil"/>
              <w:left w:val="nil"/>
              <w:bottom w:val="nil"/>
              <w:right w:val="nil"/>
            </w:tcBorders>
            <w:shd w:val="clear" w:color="auto" w:fill="auto"/>
            <w:noWrap/>
            <w:vAlign w:val="center"/>
            <w:hideMark/>
          </w:tcPr>
          <w:p w14:paraId="2632727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IF/MB</w:t>
            </w:r>
          </w:p>
        </w:tc>
        <w:tc>
          <w:tcPr>
            <w:tcW w:w="508" w:type="dxa"/>
            <w:tcBorders>
              <w:top w:val="nil"/>
              <w:left w:val="nil"/>
              <w:bottom w:val="nil"/>
              <w:right w:val="nil"/>
            </w:tcBorders>
            <w:shd w:val="clear" w:color="auto" w:fill="auto"/>
            <w:noWrap/>
            <w:vAlign w:val="center"/>
            <w:hideMark/>
          </w:tcPr>
          <w:p w14:paraId="785E5FF3" w14:textId="77777777" w:rsidR="00E51BCC" w:rsidRPr="00241D28" w:rsidRDefault="00997BD2"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p>
        </w:tc>
        <w:tc>
          <w:tcPr>
            <w:tcW w:w="513" w:type="dxa"/>
            <w:tcBorders>
              <w:top w:val="nil"/>
              <w:left w:val="nil"/>
              <w:right w:val="nil"/>
            </w:tcBorders>
            <w:shd w:val="clear" w:color="auto" w:fill="auto"/>
            <w:noWrap/>
            <w:vAlign w:val="center"/>
            <w:hideMark/>
          </w:tcPr>
          <w:p w14:paraId="5793DED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669" w:type="dxa"/>
            <w:tcBorders>
              <w:top w:val="nil"/>
              <w:left w:val="nil"/>
              <w:bottom w:val="nil"/>
              <w:right w:val="nil"/>
            </w:tcBorders>
            <w:shd w:val="clear" w:color="auto" w:fill="auto"/>
            <w:noWrap/>
            <w:vAlign w:val="center"/>
            <w:hideMark/>
          </w:tcPr>
          <w:p w14:paraId="5ED9D29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KVSFS</w:t>
            </w:r>
          </w:p>
        </w:tc>
        <w:tc>
          <w:tcPr>
            <w:tcW w:w="743" w:type="dxa"/>
            <w:tcBorders>
              <w:top w:val="nil"/>
              <w:left w:val="nil"/>
              <w:bottom w:val="nil"/>
              <w:right w:val="nil"/>
            </w:tcBorders>
            <w:shd w:val="clear" w:color="auto" w:fill="auto"/>
            <w:noWrap/>
            <w:vAlign w:val="center"/>
            <w:hideMark/>
          </w:tcPr>
          <w:p w14:paraId="657028C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IF*/MB</w:t>
            </w:r>
          </w:p>
        </w:tc>
        <w:tc>
          <w:tcPr>
            <w:tcW w:w="405" w:type="dxa"/>
            <w:tcBorders>
              <w:top w:val="nil"/>
              <w:left w:val="nil"/>
              <w:bottom w:val="nil"/>
              <w:right w:val="single" w:sz="4" w:space="0" w:color="auto"/>
            </w:tcBorders>
            <w:shd w:val="clear" w:color="auto" w:fill="auto"/>
            <w:noWrap/>
            <w:vAlign w:val="center"/>
            <w:hideMark/>
          </w:tcPr>
          <w:p w14:paraId="1AD8DF7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574" w:type="dxa"/>
            <w:tcBorders>
              <w:top w:val="nil"/>
              <w:left w:val="nil"/>
              <w:right w:val="nil"/>
            </w:tcBorders>
            <w:shd w:val="clear" w:color="auto" w:fill="D9D9D9" w:themeFill="background1" w:themeFillShade="D9"/>
            <w:noWrap/>
            <w:vAlign w:val="center"/>
            <w:hideMark/>
          </w:tcPr>
          <w:p w14:paraId="0D01A02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right w:val="nil"/>
            </w:tcBorders>
            <w:shd w:val="clear" w:color="auto" w:fill="auto"/>
            <w:noWrap/>
            <w:vAlign w:val="center"/>
            <w:hideMark/>
          </w:tcPr>
          <w:p w14:paraId="126A2D1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430" w:type="dxa"/>
            <w:tcBorders>
              <w:top w:val="nil"/>
              <w:left w:val="nil"/>
              <w:right w:val="nil"/>
            </w:tcBorders>
            <w:shd w:val="clear" w:color="auto" w:fill="auto"/>
            <w:noWrap/>
            <w:vAlign w:val="center"/>
            <w:hideMark/>
          </w:tcPr>
          <w:p w14:paraId="0E51CB2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574" w:type="dxa"/>
            <w:tcBorders>
              <w:top w:val="nil"/>
              <w:left w:val="nil"/>
              <w:bottom w:val="nil"/>
              <w:right w:val="nil"/>
            </w:tcBorders>
            <w:shd w:val="clear" w:color="auto" w:fill="D9D9D9" w:themeFill="background1" w:themeFillShade="D9"/>
            <w:noWrap/>
            <w:vAlign w:val="center"/>
            <w:hideMark/>
          </w:tcPr>
          <w:p w14:paraId="72EAE57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90" w:type="dxa"/>
            <w:tcBorders>
              <w:top w:val="nil"/>
              <w:left w:val="nil"/>
              <w:bottom w:val="nil"/>
              <w:right w:val="nil"/>
            </w:tcBorders>
            <w:shd w:val="clear" w:color="auto" w:fill="D9D9D9" w:themeFill="background1" w:themeFillShade="D9"/>
            <w:noWrap/>
            <w:vAlign w:val="center"/>
            <w:hideMark/>
          </w:tcPr>
          <w:p w14:paraId="3872DC3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52" w:type="dxa"/>
            <w:tcBorders>
              <w:top w:val="nil"/>
              <w:left w:val="nil"/>
              <w:bottom w:val="nil"/>
              <w:right w:val="nil"/>
            </w:tcBorders>
            <w:shd w:val="clear" w:color="auto" w:fill="D9D9D9" w:themeFill="background1" w:themeFillShade="D9"/>
            <w:noWrap/>
            <w:vAlign w:val="center"/>
            <w:hideMark/>
          </w:tcPr>
          <w:p w14:paraId="2976910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09" w:type="dxa"/>
            <w:tcBorders>
              <w:top w:val="nil"/>
              <w:left w:val="nil"/>
              <w:right w:val="nil"/>
            </w:tcBorders>
            <w:shd w:val="clear" w:color="auto" w:fill="D9D9D9" w:themeFill="background1" w:themeFillShade="D9"/>
            <w:noWrap/>
            <w:vAlign w:val="center"/>
            <w:hideMark/>
          </w:tcPr>
          <w:p w14:paraId="44A6A71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09" w:type="dxa"/>
            <w:tcBorders>
              <w:top w:val="nil"/>
              <w:left w:val="nil"/>
              <w:bottom w:val="nil"/>
              <w:right w:val="nil"/>
            </w:tcBorders>
            <w:shd w:val="clear" w:color="auto" w:fill="D9D9D9" w:themeFill="background1" w:themeFillShade="D9"/>
            <w:noWrap/>
            <w:vAlign w:val="center"/>
            <w:hideMark/>
          </w:tcPr>
          <w:p w14:paraId="4864E64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25" w:type="dxa"/>
            <w:tcBorders>
              <w:top w:val="nil"/>
              <w:left w:val="nil"/>
              <w:right w:val="single" w:sz="4" w:space="0" w:color="auto"/>
            </w:tcBorders>
            <w:shd w:val="clear" w:color="auto" w:fill="auto"/>
            <w:noWrap/>
            <w:vAlign w:val="center"/>
            <w:hideMark/>
          </w:tcPr>
          <w:p w14:paraId="61E2681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472" w:type="dxa"/>
            <w:tcBorders>
              <w:top w:val="nil"/>
              <w:left w:val="nil"/>
              <w:bottom w:val="nil"/>
              <w:right w:val="nil"/>
            </w:tcBorders>
            <w:shd w:val="clear" w:color="auto" w:fill="auto"/>
            <w:noWrap/>
            <w:vAlign w:val="center"/>
          </w:tcPr>
          <w:p w14:paraId="45BF11D7" w14:textId="77777777" w:rsidR="00E51BCC" w:rsidRPr="00241D28" w:rsidRDefault="00E84FC3" w:rsidP="00C4389C">
            <w:pPr>
              <w:spacing w:after="0" w:line="240" w:lineRule="auto"/>
              <w:jc w:val="both"/>
              <w:rPr>
                <w:rFonts w:ascii="Times New Roman" w:eastAsia="Times New Roman" w:hAnsi="Times New Roman"/>
                <w:color w:val="000000"/>
                <w:sz w:val="12"/>
                <w:szCs w:val="12"/>
                <w:lang w:eastAsia="en-GB"/>
              </w:rPr>
            </w:pPr>
            <w:r w:rsidRPr="00E84FC3">
              <w:rPr>
                <w:rFonts w:ascii="Times New Roman" w:eastAsia="Times New Roman" w:hAnsi="Times New Roman"/>
                <w:color w:val="000000"/>
                <w:sz w:val="12"/>
                <w:szCs w:val="12"/>
                <w:lang w:eastAsia="en-GB"/>
              </w:rPr>
              <w:t>e^^</w:t>
            </w:r>
          </w:p>
        </w:tc>
        <w:tc>
          <w:tcPr>
            <w:tcW w:w="2781" w:type="dxa"/>
            <w:tcBorders>
              <w:top w:val="nil"/>
              <w:left w:val="nil"/>
              <w:bottom w:val="nil"/>
              <w:right w:val="nil"/>
            </w:tcBorders>
            <w:shd w:val="clear" w:color="auto" w:fill="auto"/>
            <w:noWrap/>
            <w:vAlign w:val="center"/>
          </w:tcPr>
          <w:p w14:paraId="4E1C51C0" w14:textId="77777777" w:rsidR="00E51BCC" w:rsidRPr="00241D28" w:rsidRDefault="006F4D56" w:rsidP="00C4389C">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 xml:space="preserve">Įverčiai (paaiškinti išnašoje </w:t>
            </w:r>
            <w:r w:rsidRPr="006F4D56">
              <w:rPr>
                <w:rFonts w:ascii="Times New Roman" w:eastAsia="Times New Roman" w:hAnsi="Times New Roman"/>
                <w:color w:val="000000"/>
                <w:sz w:val="12"/>
                <w:szCs w:val="12"/>
                <w:lang w:eastAsia="en-GB"/>
              </w:rPr>
              <w:t>^^</w:t>
            </w:r>
            <w:r>
              <w:rPr>
                <w:rFonts w:ascii="Times New Roman" w:eastAsia="Times New Roman" w:hAnsi="Times New Roman"/>
                <w:color w:val="000000"/>
                <w:sz w:val="12"/>
                <w:szCs w:val="12"/>
                <w:lang w:eastAsia="en-GB"/>
              </w:rPr>
              <w:t>)</w:t>
            </w:r>
          </w:p>
        </w:tc>
      </w:tr>
      <w:tr w:rsidR="00E51BCC" w:rsidRPr="00E76DD9" w14:paraId="7E7700EE" w14:textId="77777777" w:rsidTr="00BB1E9A">
        <w:trPr>
          <w:trHeight w:val="21"/>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5412757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F61</w:t>
            </w:r>
          </w:p>
        </w:tc>
        <w:tc>
          <w:tcPr>
            <w:tcW w:w="1413" w:type="dxa"/>
            <w:tcBorders>
              <w:top w:val="nil"/>
              <w:left w:val="nil"/>
              <w:bottom w:val="nil"/>
              <w:right w:val="nil"/>
            </w:tcBorders>
            <w:shd w:val="clear" w:color="000000" w:fill="D9D9D9"/>
            <w:noWrap/>
            <w:vAlign w:val="center"/>
            <w:hideMark/>
          </w:tcPr>
          <w:p w14:paraId="6330293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p w14:paraId="49AA39E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Ne gyvybės draudimo techniniai atidėjiniai</w:t>
            </w:r>
          </w:p>
        </w:tc>
        <w:tc>
          <w:tcPr>
            <w:tcW w:w="847" w:type="dxa"/>
            <w:tcBorders>
              <w:top w:val="nil"/>
              <w:left w:val="single" w:sz="4" w:space="0" w:color="auto"/>
              <w:right w:val="nil"/>
            </w:tcBorders>
            <w:shd w:val="clear" w:color="auto" w:fill="auto"/>
            <w:noWrap/>
            <w:vAlign w:val="center"/>
            <w:hideMark/>
          </w:tcPr>
          <w:p w14:paraId="227B8C90" w14:textId="77777777" w:rsidR="00E51BCC" w:rsidRPr="00241D28" w:rsidRDefault="00E84FC3" w:rsidP="00C4389C">
            <w:pPr>
              <w:spacing w:after="0" w:line="240" w:lineRule="auto"/>
              <w:jc w:val="both"/>
              <w:rPr>
                <w:rFonts w:ascii="Times New Roman" w:eastAsia="Times New Roman" w:hAnsi="Times New Roman"/>
                <w:color w:val="000000"/>
                <w:sz w:val="12"/>
                <w:szCs w:val="12"/>
                <w:lang w:eastAsia="en-GB"/>
              </w:rPr>
            </w:pPr>
            <w:r w:rsidRPr="00E84FC3">
              <w:rPr>
                <w:rFonts w:ascii="Times New Roman" w:eastAsia="Times New Roman" w:hAnsi="Times New Roman"/>
                <w:color w:val="000000"/>
                <w:sz w:val="12"/>
                <w:szCs w:val="12"/>
                <w:lang w:eastAsia="en-GB"/>
              </w:rPr>
              <w:t>e^^</w:t>
            </w:r>
          </w:p>
        </w:tc>
        <w:tc>
          <w:tcPr>
            <w:tcW w:w="706" w:type="dxa"/>
            <w:tcBorders>
              <w:top w:val="nil"/>
              <w:left w:val="nil"/>
              <w:right w:val="nil"/>
            </w:tcBorders>
            <w:shd w:val="clear" w:color="auto" w:fill="auto"/>
            <w:noWrap/>
            <w:vAlign w:val="center"/>
            <w:hideMark/>
          </w:tcPr>
          <w:p w14:paraId="78CC34A5" w14:textId="77777777" w:rsidR="00E51BCC" w:rsidRPr="00241D28" w:rsidRDefault="00E84FC3" w:rsidP="00C4389C">
            <w:pPr>
              <w:spacing w:after="0" w:line="240" w:lineRule="auto"/>
              <w:jc w:val="both"/>
              <w:rPr>
                <w:rFonts w:ascii="Times New Roman" w:eastAsia="Times New Roman" w:hAnsi="Times New Roman"/>
                <w:color w:val="000000"/>
                <w:sz w:val="12"/>
                <w:szCs w:val="12"/>
                <w:lang w:eastAsia="en-GB"/>
              </w:rPr>
            </w:pPr>
            <w:r w:rsidRPr="00E84FC3">
              <w:rPr>
                <w:rFonts w:ascii="Times New Roman" w:eastAsia="Times New Roman" w:hAnsi="Times New Roman"/>
                <w:color w:val="000000"/>
                <w:sz w:val="12"/>
                <w:szCs w:val="12"/>
                <w:lang w:eastAsia="en-GB"/>
              </w:rPr>
              <w:t>e^^</w:t>
            </w:r>
          </w:p>
        </w:tc>
        <w:tc>
          <w:tcPr>
            <w:tcW w:w="384" w:type="dxa"/>
            <w:gridSpan w:val="2"/>
            <w:tcBorders>
              <w:top w:val="nil"/>
              <w:left w:val="nil"/>
              <w:right w:val="nil"/>
            </w:tcBorders>
            <w:shd w:val="clear" w:color="auto" w:fill="D9D9D9" w:themeFill="background1" w:themeFillShade="D9"/>
            <w:noWrap/>
            <w:vAlign w:val="center"/>
            <w:hideMark/>
          </w:tcPr>
          <w:p w14:paraId="4D0C90F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12" w:type="dxa"/>
            <w:gridSpan w:val="2"/>
            <w:tcBorders>
              <w:top w:val="nil"/>
              <w:left w:val="nil"/>
              <w:right w:val="nil"/>
            </w:tcBorders>
            <w:shd w:val="clear" w:color="auto" w:fill="auto"/>
            <w:noWrap/>
            <w:vAlign w:val="center"/>
            <w:hideMark/>
          </w:tcPr>
          <w:p w14:paraId="7621D9F2" w14:textId="77777777" w:rsidR="00E51BCC" w:rsidRPr="00241D28" w:rsidRDefault="00E84FC3" w:rsidP="00C4389C">
            <w:pPr>
              <w:spacing w:after="0" w:line="240" w:lineRule="auto"/>
              <w:jc w:val="both"/>
              <w:rPr>
                <w:rFonts w:ascii="Times New Roman" w:eastAsia="Times New Roman" w:hAnsi="Times New Roman"/>
                <w:color w:val="000000"/>
                <w:sz w:val="12"/>
                <w:szCs w:val="12"/>
                <w:lang w:eastAsia="en-GB"/>
              </w:rPr>
            </w:pPr>
            <w:r w:rsidRPr="00E84FC3">
              <w:rPr>
                <w:rFonts w:ascii="Times New Roman" w:eastAsia="Times New Roman" w:hAnsi="Times New Roman"/>
                <w:color w:val="000000"/>
                <w:sz w:val="12"/>
                <w:szCs w:val="12"/>
                <w:lang w:eastAsia="en-GB"/>
              </w:rPr>
              <w:t>e^^</w:t>
            </w:r>
          </w:p>
        </w:tc>
        <w:tc>
          <w:tcPr>
            <w:tcW w:w="508" w:type="dxa"/>
            <w:tcBorders>
              <w:top w:val="nil"/>
              <w:left w:val="nil"/>
              <w:right w:val="nil"/>
            </w:tcBorders>
            <w:shd w:val="clear" w:color="auto" w:fill="auto"/>
            <w:noWrap/>
            <w:vAlign w:val="center"/>
            <w:hideMark/>
          </w:tcPr>
          <w:p w14:paraId="0BB31C0B" w14:textId="77777777" w:rsidR="00E51BCC" w:rsidRPr="00241D28" w:rsidRDefault="00E84FC3" w:rsidP="00C4389C">
            <w:pPr>
              <w:spacing w:after="0" w:line="240" w:lineRule="auto"/>
              <w:jc w:val="both"/>
              <w:rPr>
                <w:rFonts w:ascii="Times New Roman" w:eastAsia="Times New Roman" w:hAnsi="Times New Roman"/>
                <w:color w:val="000000"/>
                <w:sz w:val="12"/>
                <w:szCs w:val="12"/>
                <w:lang w:eastAsia="en-GB"/>
              </w:rPr>
            </w:pPr>
            <w:r w:rsidRPr="00E84FC3">
              <w:rPr>
                <w:rFonts w:ascii="Times New Roman" w:eastAsia="Times New Roman" w:hAnsi="Times New Roman"/>
                <w:color w:val="000000"/>
                <w:sz w:val="12"/>
                <w:szCs w:val="12"/>
                <w:lang w:eastAsia="en-GB"/>
              </w:rPr>
              <w:t>e^^</w:t>
            </w:r>
          </w:p>
        </w:tc>
        <w:tc>
          <w:tcPr>
            <w:tcW w:w="513" w:type="dxa"/>
            <w:tcBorders>
              <w:top w:val="nil"/>
              <w:left w:val="nil"/>
              <w:bottom w:val="nil"/>
              <w:right w:val="nil"/>
            </w:tcBorders>
            <w:shd w:val="clear" w:color="auto" w:fill="auto"/>
            <w:noWrap/>
            <w:vAlign w:val="center"/>
            <w:hideMark/>
          </w:tcPr>
          <w:p w14:paraId="714780A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669" w:type="dxa"/>
            <w:tcBorders>
              <w:top w:val="nil"/>
              <w:left w:val="nil"/>
              <w:right w:val="nil"/>
            </w:tcBorders>
            <w:shd w:val="clear" w:color="auto" w:fill="auto"/>
            <w:noWrap/>
            <w:vAlign w:val="center"/>
            <w:hideMark/>
          </w:tcPr>
          <w:p w14:paraId="5F204CE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KVSFS</w:t>
            </w:r>
          </w:p>
        </w:tc>
        <w:tc>
          <w:tcPr>
            <w:tcW w:w="743" w:type="dxa"/>
            <w:tcBorders>
              <w:top w:val="nil"/>
              <w:left w:val="nil"/>
              <w:bottom w:val="nil"/>
              <w:right w:val="nil"/>
            </w:tcBorders>
            <w:shd w:val="clear" w:color="auto" w:fill="auto"/>
            <w:noWrap/>
            <w:vAlign w:val="center"/>
            <w:hideMark/>
          </w:tcPr>
          <w:p w14:paraId="75333506" w14:textId="77777777" w:rsidR="00E51BCC" w:rsidRPr="00241D28" w:rsidRDefault="00E84FC3" w:rsidP="00C4389C">
            <w:pPr>
              <w:spacing w:after="0" w:line="240" w:lineRule="auto"/>
              <w:jc w:val="both"/>
              <w:rPr>
                <w:rFonts w:ascii="Times New Roman" w:eastAsia="Times New Roman" w:hAnsi="Times New Roman"/>
                <w:color w:val="000000"/>
                <w:sz w:val="12"/>
                <w:szCs w:val="12"/>
                <w:lang w:eastAsia="en-GB"/>
              </w:rPr>
            </w:pPr>
            <w:r w:rsidRPr="00E84FC3">
              <w:rPr>
                <w:rFonts w:ascii="Times New Roman" w:eastAsia="Times New Roman" w:hAnsi="Times New Roman"/>
                <w:color w:val="000000"/>
                <w:sz w:val="12"/>
                <w:szCs w:val="12"/>
                <w:lang w:eastAsia="en-GB"/>
              </w:rPr>
              <w:t>* e^^</w:t>
            </w:r>
          </w:p>
        </w:tc>
        <w:tc>
          <w:tcPr>
            <w:tcW w:w="405" w:type="dxa"/>
            <w:tcBorders>
              <w:top w:val="nil"/>
              <w:left w:val="nil"/>
              <w:right w:val="single" w:sz="4" w:space="0" w:color="auto"/>
            </w:tcBorders>
            <w:shd w:val="clear" w:color="auto" w:fill="auto"/>
            <w:noWrap/>
            <w:vAlign w:val="center"/>
            <w:hideMark/>
          </w:tcPr>
          <w:p w14:paraId="488611B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574" w:type="dxa"/>
            <w:tcBorders>
              <w:top w:val="nil"/>
              <w:left w:val="nil"/>
              <w:bottom w:val="nil"/>
              <w:right w:val="nil"/>
            </w:tcBorders>
            <w:shd w:val="clear" w:color="auto" w:fill="D9D9D9" w:themeFill="background1" w:themeFillShade="D9"/>
            <w:noWrap/>
            <w:vAlign w:val="center"/>
            <w:hideMark/>
          </w:tcPr>
          <w:p w14:paraId="5A62F1C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bottom w:val="nil"/>
              <w:right w:val="nil"/>
            </w:tcBorders>
            <w:shd w:val="clear" w:color="auto" w:fill="D9D9D9" w:themeFill="background1" w:themeFillShade="D9"/>
            <w:noWrap/>
            <w:vAlign w:val="center"/>
            <w:hideMark/>
          </w:tcPr>
          <w:p w14:paraId="20E3082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30" w:type="dxa"/>
            <w:tcBorders>
              <w:top w:val="nil"/>
              <w:left w:val="nil"/>
              <w:bottom w:val="nil"/>
              <w:right w:val="nil"/>
            </w:tcBorders>
            <w:shd w:val="clear" w:color="auto" w:fill="D9D9D9" w:themeFill="background1" w:themeFillShade="D9"/>
            <w:noWrap/>
            <w:vAlign w:val="center"/>
            <w:hideMark/>
          </w:tcPr>
          <w:p w14:paraId="40BCD9B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bottom w:val="nil"/>
              <w:right w:val="nil"/>
            </w:tcBorders>
            <w:shd w:val="clear" w:color="auto" w:fill="D9D9D9" w:themeFill="background1" w:themeFillShade="D9"/>
            <w:noWrap/>
            <w:vAlign w:val="center"/>
            <w:hideMark/>
          </w:tcPr>
          <w:p w14:paraId="27F8627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90" w:type="dxa"/>
            <w:tcBorders>
              <w:top w:val="nil"/>
              <w:left w:val="nil"/>
              <w:bottom w:val="nil"/>
              <w:right w:val="nil"/>
            </w:tcBorders>
            <w:shd w:val="clear" w:color="auto" w:fill="auto"/>
            <w:noWrap/>
            <w:vAlign w:val="center"/>
            <w:hideMark/>
          </w:tcPr>
          <w:p w14:paraId="7EE68981" w14:textId="77777777" w:rsidR="00E51BCC" w:rsidRPr="00241D28" w:rsidRDefault="00997BD2"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p>
        </w:tc>
        <w:tc>
          <w:tcPr>
            <w:tcW w:w="552" w:type="dxa"/>
            <w:tcBorders>
              <w:top w:val="nil"/>
              <w:left w:val="nil"/>
              <w:bottom w:val="nil"/>
              <w:right w:val="nil"/>
            </w:tcBorders>
            <w:shd w:val="clear" w:color="auto" w:fill="D9D9D9" w:themeFill="background1" w:themeFillShade="D9"/>
            <w:noWrap/>
            <w:vAlign w:val="center"/>
            <w:hideMark/>
          </w:tcPr>
          <w:p w14:paraId="6D3619F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09" w:type="dxa"/>
            <w:tcBorders>
              <w:top w:val="nil"/>
              <w:left w:val="nil"/>
              <w:bottom w:val="nil"/>
              <w:right w:val="nil"/>
            </w:tcBorders>
            <w:shd w:val="clear" w:color="auto" w:fill="D9D9D9" w:themeFill="background1" w:themeFillShade="D9"/>
            <w:noWrap/>
            <w:vAlign w:val="center"/>
            <w:hideMark/>
          </w:tcPr>
          <w:p w14:paraId="4F8FF02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09" w:type="dxa"/>
            <w:tcBorders>
              <w:top w:val="nil"/>
              <w:left w:val="nil"/>
              <w:right w:val="nil"/>
            </w:tcBorders>
            <w:shd w:val="clear" w:color="auto" w:fill="D9D9D9" w:themeFill="background1" w:themeFillShade="D9"/>
            <w:noWrap/>
            <w:vAlign w:val="center"/>
            <w:hideMark/>
          </w:tcPr>
          <w:p w14:paraId="5FFBE72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25" w:type="dxa"/>
            <w:tcBorders>
              <w:top w:val="nil"/>
              <w:left w:val="nil"/>
              <w:right w:val="single" w:sz="4" w:space="0" w:color="auto"/>
            </w:tcBorders>
            <w:shd w:val="clear" w:color="auto" w:fill="D9D9D9" w:themeFill="background1" w:themeFillShade="D9"/>
            <w:noWrap/>
            <w:vAlign w:val="center"/>
            <w:hideMark/>
          </w:tcPr>
          <w:p w14:paraId="5DDF6961"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72" w:type="dxa"/>
            <w:tcBorders>
              <w:top w:val="nil"/>
              <w:left w:val="nil"/>
              <w:bottom w:val="nil"/>
              <w:right w:val="nil"/>
            </w:tcBorders>
            <w:shd w:val="clear" w:color="auto" w:fill="auto"/>
            <w:noWrap/>
            <w:vAlign w:val="center"/>
          </w:tcPr>
          <w:p w14:paraId="5EDAA081"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2781" w:type="dxa"/>
            <w:tcBorders>
              <w:top w:val="nil"/>
              <w:left w:val="nil"/>
              <w:bottom w:val="nil"/>
              <w:right w:val="nil"/>
            </w:tcBorders>
            <w:shd w:val="clear" w:color="auto" w:fill="auto"/>
            <w:noWrap/>
            <w:vAlign w:val="center"/>
          </w:tcPr>
          <w:p w14:paraId="044C4EC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r>
      <w:tr w:rsidR="00E51BCC" w:rsidRPr="00E76DD9" w14:paraId="6DF4E9D7" w14:textId="77777777" w:rsidTr="00BB1E9A">
        <w:trPr>
          <w:trHeight w:val="21"/>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366BA61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F62</w:t>
            </w:r>
          </w:p>
        </w:tc>
        <w:tc>
          <w:tcPr>
            <w:tcW w:w="1413" w:type="dxa"/>
            <w:tcBorders>
              <w:top w:val="nil"/>
              <w:left w:val="nil"/>
              <w:bottom w:val="nil"/>
              <w:right w:val="nil"/>
            </w:tcBorders>
            <w:shd w:val="clear" w:color="000000" w:fill="D9D9D9"/>
            <w:vAlign w:val="center"/>
            <w:hideMark/>
          </w:tcPr>
          <w:p w14:paraId="5ACFB57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p w14:paraId="6D7192C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Gyvybės draudimo ir anuiteto įsipareigojimai (teisės)</w:t>
            </w:r>
          </w:p>
        </w:tc>
        <w:tc>
          <w:tcPr>
            <w:tcW w:w="847" w:type="dxa"/>
            <w:tcBorders>
              <w:top w:val="nil"/>
              <w:left w:val="single" w:sz="4" w:space="0" w:color="auto"/>
              <w:right w:val="nil"/>
            </w:tcBorders>
            <w:shd w:val="clear" w:color="auto" w:fill="D9D9D9" w:themeFill="background1" w:themeFillShade="D9"/>
            <w:noWrap/>
            <w:vAlign w:val="center"/>
            <w:hideMark/>
          </w:tcPr>
          <w:p w14:paraId="3918185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xml:space="preserve"> </w:t>
            </w:r>
          </w:p>
        </w:tc>
        <w:tc>
          <w:tcPr>
            <w:tcW w:w="706" w:type="dxa"/>
            <w:tcBorders>
              <w:top w:val="nil"/>
              <w:left w:val="nil"/>
              <w:right w:val="nil"/>
            </w:tcBorders>
            <w:shd w:val="clear" w:color="auto" w:fill="D9D9D9" w:themeFill="background1" w:themeFillShade="D9"/>
            <w:noWrap/>
            <w:vAlign w:val="center"/>
            <w:hideMark/>
          </w:tcPr>
          <w:p w14:paraId="6C6A587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xml:space="preserve"> </w:t>
            </w:r>
          </w:p>
        </w:tc>
        <w:tc>
          <w:tcPr>
            <w:tcW w:w="384" w:type="dxa"/>
            <w:gridSpan w:val="2"/>
            <w:tcBorders>
              <w:top w:val="nil"/>
              <w:left w:val="nil"/>
              <w:bottom w:val="nil"/>
              <w:right w:val="nil"/>
            </w:tcBorders>
            <w:shd w:val="clear" w:color="auto" w:fill="D9D9D9" w:themeFill="background1" w:themeFillShade="D9"/>
            <w:noWrap/>
            <w:vAlign w:val="center"/>
            <w:hideMark/>
          </w:tcPr>
          <w:p w14:paraId="46D069B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12" w:type="dxa"/>
            <w:gridSpan w:val="2"/>
            <w:tcBorders>
              <w:top w:val="nil"/>
              <w:left w:val="nil"/>
              <w:right w:val="nil"/>
            </w:tcBorders>
            <w:shd w:val="clear" w:color="auto" w:fill="D9D9D9" w:themeFill="background1" w:themeFillShade="D9"/>
            <w:noWrap/>
            <w:vAlign w:val="center"/>
            <w:hideMark/>
          </w:tcPr>
          <w:p w14:paraId="4473F921"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08" w:type="dxa"/>
            <w:tcBorders>
              <w:top w:val="nil"/>
              <w:left w:val="nil"/>
              <w:right w:val="nil"/>
            </w:tcBorders>
            <w:shd w:val="clear" w:color="auto" w:fill="D9D9D9" w:themeFill="background1" w:themeFillShade="D9"/>
            <w:noWrap/>
            <w:vAlign w:val="center"/>
            <w:hideMark/>
          </w:tcPr>
          <w:p w14:paraId="30293F8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13" w:type="dxa"/>
            <w:tcBorders>
              <w:top w:val="nil"/>
              <w:left w:val="nil"/>
              <w:bottom w:val="nil"/>
              <w:right w:val="nil"/>
            </w:tcBorders>
            <w:shd w:val="clear" w:color="auto" w:fill="D9D9D9" w:themeFill="background1" w:themeFillShade="D9"/>
            <w:noWrap/>
            <w:vAlign w:val="center"/>
            <w:hideMark/>
          </w:tcPr>
          <w:p w14:paraId="3977F8E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669" w:type="dxa"/>
            <w:tcBorders>
              <w:top w:val="nil"/>
              <w:left w:val="nil"/>
              <w:right w:val="nil"/>
            </w:tcBorders>
            <w:shd w:val="clear" w:color="auto" w:fill="D9D9D9" w:themeFill="background1" w:themeFillShade="D9"/>
            <w:noWrap/>
            <w:vAlign w:val="center"/>
            <w:hideMark/>
          </w:tcPr>
          <w:p w14:paraId="4A93EF2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43" w:type="dxa"/>
            <w:tcBorders>
              <w:top w:val="nil"/>
              <w:left w:val="nil"/>
              <w:bottom w:val="nil"/>
              <w:right w:val="nil"/>
            </w:tcBorders>
            <w:shd w:val="clear" w:color="auto" w:fill="auto"/>
            <w:noWrap/>
            <w:vAlign w:val="center"/>
            <w:hideMark/>
          </w:tcPr>
          <w:p w14:paraId="284BCC4C" w14:textId="77777777" w:rsidR="00E51BCC" w:rsidRPr="00241D28" w:rsidRDefault="00E84FC3" w:rsidP="00C4389C">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DBS</w:t>
            </w:r>
          </w:p>
        </w:tc>
        <w:tc>
          <w:tcPr>
            <w:tcW w:w="405" w:type="dxa"/>
            <w:tcBorders>
              <w:top w:val="nil"/>
              <w:left w:val="nil"/>
              <w:right w:val="single" w:sz="4" w:space="0" w:color="auto"/>
            </w:tcBorders>
            <w:shd w:val="clear" w:color="auto" w:fill="D9D9D9" w:themeFill="background1" w:themeFillShade="D9"/>
            <w:noWrap/>
            <w:vAlign w:val="center"/>
            <w:hideMark/>
          </w:tcPr>
          <w:p w14:paraId="7EE93A8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right w:val="nil"/>
            </w:tcBorders>
            <w:shd w:val="clear" w:color="auto" w:fill="D9D9D9" w:themeFill="background1" w:themeFillShade="D9"/>
            <w:noWrap/>
            <w:vAlign w:val="center"/>
            <w:hideMark/>
          </w:tcPr>
          <w:p w14:paraId="547637D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bottom w:val="nil"/>
              <w:right w:val="nil"/>
            </w:tcBorders>
            <w:shd w:val="clear" w:color="auto" w:fill="D9D9D9" w:themeFill="background1" w:themeFillShade="D9"/>
            <w:noWrap/>
            <w:vAlign w:val="center"/>
            <w:hideMark/>
          </w:tcPr>
          <w:p w14:paraId="5649DA6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30" w:type="dxa"/>
            <w:tcBorders>
              <w:top w:val="nil"/>
              <w:left w:val="nil"/>
              <w:bottom w:val="nil"/>
              <w:right w:val="nil"/>
            </w:tcBorders>
            <w:shd w:val="clear" w:color="auto" w:fill="D9D9D9" w:themeFill="background1" w:themeFillShade="D9"/>
            <w:noWrap/>
            <w:vAlign w:val="center"/>
            <w:hideMark/>
          </w:tcPr>
          <w:p w14:paraId="6A4C4EF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right w:val="nil"/>
            </w:tcBorders>
            <w:shd w:val="clear" w:color="auto" w:fill="D9D9D9" w:themeFill="background1" w:themeFillShade="D9"/>
            <w:noWrap/>
            <w:vAlign w:val="center"/>
            <w:hideMark/>
          </w:tcPr>
          <w:p w14:paraId="0C7E911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90" w:type="dxa"/>
            <w:tcBorders>
              <w:top w:val="nil"/>
              <w:left w:val="nil"/>
              <w:right w:val="nil"/>
            </w:tcBorders>
            <w:shd w:val="clear" w:color="auto" w:fill="auto"/>
            <w:noWrap/>
            <w:vAlign w:val="center"/>
            <w:hideMark/>
          </w:tcPr>
          <w:p w14:paraId="6E90984F" w14:textId="77777777" w:rsidR="00E51BCC" w:rsidRPr="00241D28" w:rsidRDefault="00997BD2"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p>
        </w:tc>
        <w:tc>
          <w:tcPr>
            <w:tcW w:w="552" w:type="dxa"/>
            <w:tcBorders>
              <w:top w:val="nil"/>
              <w:left w:val="nil"/>
              <w:bottom w:val="nil"/>
              <w:right w:val="nil"/>
            </w:tcBorders>
            <w:shd w:val="clear" w:color="auto" w:fill="D9D9D9" w:themeFill="background1" w:themeFillShade="D9"/>
            <w:noWrap/>
            <w:vAlign w:val="center"/>
            <w:hideMark/>
          </w:tcPr>
          <w:p w14:paraId="3C300C0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09" w:type="dxa"/>
            <w:tcBorders>
              <w:top w:val="nil"/>
              <w:left w:val="nil"/>
              <w:right w:val="nil"/>
            </w:tcBorders>
            <w:shd w:val="clear" w:color="auto" w:fill="D9D9D9" w:themeFill="background1" w:themeFillShade="D9"/>
            <w:noWrap/>
            <w:vAlign w:val="center"/>
            <w:hideMark/>
          </w:tcPr>
          <w:p w14:paraId="1A4B4A9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09" w:type="dxa"/>
            <w:tcBorders>
              <w:top w:val="nil"/>
              <w:left w:val="nil"/>
              <w:right w:val="nil"/>
            </w:tcBorders>
            <w:shd w:val="clear" w:color="auto" w:fill="D9D9D9" w:themeFill="background1" w:themeFillShade="D9"/>
            <w:noWrap/>
            <w:vAlign w:val="center"/>
            <w:hideMark/>
          </w:tcPr>
          <w:p w14:paraId="5578F34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25" w:type="dxa"/>
            <w:tcBorders>
              <w:top w:val="nil"/>
              <w:left w:val="nil"/>
              <w:right w:val="single" w:sz="4" w:space="0" w:color="auto"/>
            </w:tcBorders>
            <w:shd w:val="clear" w:color="auto" w:fill="D9D9D9" w:themeFill="background1" w:themeFillShade="D9"/>
            <w:noWrap/>
            <w:vAlign w:val="center"/>
            <w:hideMark/>
          </w:tcPr>
          <w:p w14:paraId="1C19804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72" w:type="dxa"/>
            <w:tcBorders>
              <w:top w:val="nil"/>
              <w:left w:val="nil"/>
              <w:bottom w:val="nil"/>
              <w:right w:val="nil"/>
            </w:tcBorders>
            <w:shd w:val="clear" w:color="auto" w:fill="auto"/>
            <w:noWrap/>
            <w:vAlign w:val="center"/>
          </w:tcPr>
          <w:p w14:paraId="195BC27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2781" w:type="dxa"/>
            <w:tcBorders>
              <w:top w:val="nil"/>
              <w:left w:val="nil"/>
              <w:bottom w:val="nil"/>
              <w:right w:val="nil"/>
            </w:tcBorders>
            <w:shd w:val="clear" w:color="auto" w:fill="auto"/>
            <w:noWrap/>
            <w:vAlign w:val="center"/>
          </w:tcPr>
          <w:p w14:paraId="70404DC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r>
      <w:tr w:rsidR="00E51BCC" w:rsidRPr="00E76DD9" w14:paraId="1E20B4AC" w14:textId="77777777" w:rsidTr="00BB1E9A">
        <w:trPr>
          <w:trHeight w:val="21"/>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67BBC46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F63 -F65</w:t>
            </w:r>
          </w:p>
        </w:tc>
        <w:tc>
          <w:tcPr>
            <w:tcW w:w="1413" w:type="dxa"/>
            <w:tcBorders>
              <w:top w:val="nil"/>
              <w:left w:val="nil"/>
              <w:bottom w:val="nil"/>
              <w:right w:val="nil"/>
            </w:tcBorders>
            <w:shd w:val="clear" w:color="000000" w:fill="D9D9D9"/>
            <w:vAlign w:val="center"/>
            <w:hideMark/>
          </w:tcPr>
          <w:p w14:paraId="296B9C6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xml:space="preserve">Pensiniai įsipareigojimai (teisės) </w:t>
            </w:r>
          </w:p>
        </w:tc>
        <w:tc>
          <w:tcPr>
            <w:tcW w:w="847" w:type="dxa"/>
            <w:tcBorders>
              <w:top w:val="nil"/>
              <w:left w:val="single" w:sz="4" w:space="0" w:color="auto"/>
              <w:bottom w:val="nil"/>
              <w:right w:val="nil"/>
            </w:tcBorders>
            <w:shd w:val="clear" w:color="auto" w:fill="auto"/>
            <w:noWrap/>
            <w:vAlign w:val="center"/>
            <w:hideMark/>
          </w:tcPr>
          <w:p w14:paraId="205B2F1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706" w:type="dxa"/>
            <w:tcBorders>
              <w:top w:val="nil"/>
              <w:left w:val="nil"/>
              <w:bottom w:val="nil"/>
              <w:right w:val="nil"/>
            </w:tcBorders>
            <w:shd w:val="clear" w:color="auto" w:fill="auto"/>
            <w:noWrap/>
            <w:vAlign w:val="center"/>
            <w:hideMark/>
          </w:tcPr>
          <w:p w14:paraId="6529ACB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384" w:type="dxa"/>
            <w:gridSpan w:val="2"/>
            <w:tcBorders>
              <w:top w:val="nil"/>
              <w:left w:val="nil"/>
              <w:right w:val="nil"/>
            </w:tcBorders>
            <w:shd w:val="clear" w:color="auto" w:fill="D9D9D9" w:themeFill="background1" w:themeFillShade="D9"/>
            <w:noWrap/>
            <w:vAlign w:val="center"/>
            <w:hideMark/>
          </w:tcPr>
          <w:p w14:paraId="0AD3C6E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12" w:type="dxa"/>
            <w:gridSpan w:val="2"/>
            <w:tcBorders>
              <w:top w:val="nil"/>
              <w:left w:val="nil"/>
              <w:right w:val="nil"/>
            </w:tcBorders>
            <w:shd w:val="clear" w:color="auto" w:fill="D9D9D9" w:themeFill="background1" w:themeFillShade="D9"/>
            <w:noWrap/>
            <w:vAlign w:val="center"/>
            <w:hideMark/>
          </w:tcPr>
          <w:p w14:paraId="7981ED9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508" w:type="dxa"/>
            <w:tcBorders>
              <w:top w:val="nil"/>
              <w:left w:val="nil"/>
              <w:right w:val="nil"/>
            </w:tcBorders>
            <w:shd w:val="clear" w:color="auto" w:fill="D9D9D9" w:themeFill="background1" w:themeFillShade="D9"/>
            <w:noWrap/>
            <w:vAlign w:val="center"/>
            <w:hideMark/>
          </w:tcPr>
          <w:p w14:paraId="0883E49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513" w:type="dxa"/>
            <w:tcBorders>
              <w:top w:val="nil"/>
              <w:left w:val="nil"/>
              <w:right w:val="nil"/>
            </w:tcBorders>
            <w:shd w:val="clear" w:color="auto" w:fill="D9D9D9" w:themeFill="background1" w:themeFillShade="D9"/>
            <w:noWrap/>
            <w:vAlign w:val="center"/>
            <w:hideMark/>
          </w:tcPr>
          <w:p w14:paraId="46E533B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669" w:type="dxa"/>
            <w:tcBorders>
              <w:top w:val="nil"/>
              <w:left w:val="nil"/>
              <w:bottom w:val="nil"/>
              <w:right w:val="nil"/>
            </w:tcBorders>
            <w:shd w:val="clear" w:color="auto" w:fill="D9D9D9" w:themeFill="background1" w:themeFillShade="D9"/>
            <w:noWrap/>
            <w:vAlign w:val="center"/>
            <w:hideMark/>
          </w:tcPr>
          <w:p w14:paraId="61FE02E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43" w:type="dxa"/>
            <w:tcBorders>
              <w:top w:val="nil"/>
              <w:left w:val="nil"/>
              <w:bottom w:val="nil"/>
              <w:right w:val="nil"/>
            </w:tcBorders>
            <w:shd w:val="clear" w:color="auto" w:fill="auto"/>
            <w:noWrap/>
            <w:vAlign w:val="center"/>
            <w:hideMark/>
          </w:tcPr>
          <w:p w14:paraId="68C1D7F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405" w:type="dxa"/>
            <w:tcBorders>
              <w:top w:val="nil"/>
              <w:left w:val="nil"/>
              <w:bottom w:val="nil"/>
              <w:right w:val="single" w:sz="4" w:space="0" w:color="auto"/>
            </w:tcBorders>
            <w:shd w:val="clear" w:color="auto" w:fill="D9D9D9" w:themeFill="background1" w:themeFillShade="D9"/>
            <w:noWrap/>
            <w:vAlign w:val="center"/>
            <w:hideMark/>
          </w:tcPr>
          <w:p w14:paraId="6F880C1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bottom w:val="nil"/>
              <w:right w:val="nil"/>
            </w:tcBorders>
            <w:shd w:val="clear" w:color="auto" w:fill="auto"/>
            <w:noWrap/>
            <w:vAlign w:val="center"/>
            <w:hideMark/>
          </w:tcPr>
          <w:p w14:paraId="51444F2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574" w:type="dxa"/>
            <w:tcBorders>
              <w:top w:val="nil"/>
              <w:left w:val="nil"/>
              <w:bottom w:val="nil"/>
              <w:right w:val="nil"/>
            </w:tcBorders>
            <w:shd w:val="clear" w:color="auto" w:fill="D9D9D9" w:themeFill="background1" w:themeFillShade="D9"/>
            <w:noWrap/>
            <w:vAlign w:val="center"/>
            <w:hideMark/>
          </w:tcPr>
          <w:p w14:paraId="449E718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430" w:type="dxa"/>
            <w:tcBorders>
              <w:top w:val="nil"/>
              <w:left w:val="nil"/>
              <w:bottom w:val="nil"/>
              <w:right w:val="nil"/>
            </w:tcBorders>
            <w:shd w:val="clear" w:color="auto" w:fill="D9D9D9" w:themeFill="background1" w:themeFillShade="D9"/>
            <w:noWrap/>
            <w:vAlign w:val="center"/>
            <w:hideMark/>
          </w:tcPr>
          <w:p w14:paraId="0D76FFE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right w:val="nil"/>
            </w:tcBorders>
            <w:shd w:val="clear" w:color="auto" w:fill="auto"/>
            <w:noWrap/>
            <w:vAlign w:val="center"/>
            <w:hideMark/>
          </w:tcPr>
          <w:p w14:paraId="2943CD9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490" w:type="dxa"/>
            <w:tcBorders>
              <w:top w:val="nil"/>
              <w:left w:val="nil"/>
              <w:right w:val="nil"/>
            </w:tcBorders>
            <w:shd w:val="clear" w:color="auto" w:fill="auto"/>
            <w:noWrap/>
            <w:vAlign w:val="center"/>
            <w:hideMark/>
          </w:tcPr>
          <w:p w14:paraId="29329B5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552" w:type="dxa"/>
            <w:tcBorders>
              <w:top w:val="nil"/>
              <w:left w:val="nil"/>
              <w:right w:val="nil"/>
            </w:tcBorders>
            <w:shd w:val="clear" w:color="auto" w:fill="auto"/>
            <w:noWrap/>
            <w:vAlign w:val="center"/>
            <w:hideMark/>
          </w:tcPr>
          <w:p w14:paraId="157EBDD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709" w:type="dxa"/>
            <w:tcBorders>
              <w:top w:val="nil"/>
              <w:left w:val="nil"/>
              <w:bottom w:val="nil"/>
              <w:right w:val="nil"/>
            </w:tcBorders>
            <w:shd w:val="clear" w:color="auto" w:fill="auto"/>
            <w:noWrap/>
            <w:vAlign w:val="center"/>
            <w:hideMark/>
          </w:tcPr>
          <w:p w14:paraId="3A44A08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709" w:type="dxa"/>
            <w:tcBorders>
              <w:top w:val="nil"/>
              <w:left w:val="nil"/>
              <w:bottom w:val="nil"/>
              <w:right w:val="nil"/>
            </w:tcBorders>
            <w:shd w:val="clear" w:color="auto" w:fill="auto"/>
            <w:noWrap/>
            <w:vAlign w:val="center"/>
            <w:hideMark/>
          </w:tcPr>
          <w:p w14:paraId="75CFAF0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425" w:type="dxa"/>
            <w:tcBorders>
              <w:top w:val="nil"/>
              <w:left w:val="nil"/>
              <w:bottom w:val="nil"/>
              <w:right w:val="single" w:sz="4" w:space="0" w:color="auto"/>
            </w:tcBorders>
            <w:shd w:val="clear" w:color="auto" w:fill="D9D9D9" w:themeFill="background1" w:themeFillShade="D9"/>
            <w:noWrap/>
            <w:vAlign w:val="center"/>
            <w:hideMark/>
          </w:tcPr>
          <w:p w14:paraId="3B7A00F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72" w:type="dxa"/>
            <w:tcBorders>
              <w:top w:val="nil"/>
              <w:left w:val="nil"/>
              <w:bottom w:val="nil"/>
              <w:right w:val="nil"/>
            </w:tcBorders>
            <w:shd w:val="clear" w:color="auto" w:fill="auto"/>
            <w:noWrap/>
            <w:vAlign w:val="center"/>
          </w:tcPr>
          <w:p w14:paraId="5284261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2781" w:type="dxa"/>
            <w:tcBorders>
              <w:top w:val="nil"/>
              <w:left w:val="nil"/>
              <w:bottom w:val="nil"/>
              <w:right w:val="nil"/>
            </w:tcBorders>
            <w:shd w:val="clear" w:color="auto" w:fill="auto"/>
            <w:noWrap/>
            <w:vAlign w:val="center"/>
          </w:tcPr>
          <w:p w14:paraId="32B67E86" w14:textId="77777777" w:rsidR="00E51BCC" w:rsidRPr="00241D28" w:rsidRDefault="00E51BCC" w:rsidP="00C4389C">
            <w:pPr>
              <w:spacing w:after="0" w:line="240" w:lineRule="auto"/>
              <w:jc w:val="both"/>
              <w:rPr>
                <w:rFonts w:ascii="Times New Roman" w:eastAsia="Times New Roman" w:hAnsi="Times New Roman"/>
                <w:sz w:val="12"/>
                <w:szCs w:val="12"/>
                <w:lang w:eastAsia="en-GB"/>
              </w:rPr>
            </w:pPr>
          </w:p>
        </w:tc>
      </w:tr>
      <w:tr w:rsidR="00E51BCC" w:rsidRPr="00E76DD9" w14:paraId="41C7630F" w14:textId="77777777" w:rsidTr="00BB1E9A">
        <w:trPr>
          <w:trHeight w:val="21"/>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67BFE3B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F66</w:t>
            </w:r>
          </w:p>
        </w:tc>
        <w:tc>
          <w:tcPr>
            <w:tcW w:w="1413" w:type="dxa"/>
            <w:tcBorders>
              <w:top w:val="nil"/>
              <w:left w:val="nil"/>
              <w:bottom w:val="nil"/>
              <w:right w:val="nil"/>
            </w:tcBorders>
            <w:shd w:val="clear" w:color="000000" w:fill="D9D9D9"/>
            <w:vAlign w:val="center"/>
            <w:hideMark/>
          </w:tcPr>
          <w:p w14:paraId="47904E1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p w14:paraId="06104A9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Standartinių garantijų atidėjiniai</w:t>
            </w:r>
          </w:p>
        </w:tc>
        <w:tc>
          <w:tcPr>
            <w:tcW w:w="847" w:type="dxa"/>
            <w:tcBorders>
              <w:top w:val="nil"/>
              <w:left w:val="single" w:sz="4" w:space="0" w:color="auto"/>
              <w:bottom w:val="nil"/>
              <w:right w:val="nil"/>
            </w:tcBorders>
            <w:shd w:val="clear" w:color="auto" w:fill="auto"/>
            <w:noWrap/>
            <w:vAlign w:val="center"/>
            <w:hideMark/>
          </w:tcPr>
          <w:p w14:paraId="3A0AE10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0</w:t>
            </w:r>
          </w:p>
        </w:tc>
        <w:tc>
          <w:tcPr>
            <w:tcW w:w="706" w:type="dxa"/>
            <w:tcBorders>
              <w:top w:val="nil"/>
              <w:left w:val="nil"/>
              <w:bottom w:val="nil"/>
              <w:right w:val="nil"/>
            </w:tcBorders>
            <w:shd w:val="clear" w:color="auto" w:fill="auto"/>
            <w:noWrap/>
            <w:vAlign w:val="center"/>
            <w:hideMark/>
          </w:tcPr>
          <w:p w14:paraId="4E6745F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KVSFS</w:t>
            </w:r>
          </w:p>
        </w:tc>
        <w:tc>
          <w:tcPr>
            <w:tcW w:w="384" w:type="dxa"/>
            <w:gridSpan w:val="2"/>
            <w:tcBorders>
              <w:top w:val="nil"/>
              <w:left w:val="nil"/>
              <w:bottom w:val="nil"/>
              <w:right w:val="nil"/>
            </w:tcBorders>
            <w:shd w:val="clear" w:color="auto" w:fill="auto"/>
            <w:noWrap/>
            <w:vAlign w:val="center"/>
            <w:hideMark/>
          </w:tcPr>
          <w:p w14:paraId="6AF3398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712" w:type="dxa"/>
            <w:gridSpan w:val="2"/>
            <w:tcBorders>
              <w:top w:val="nil"/>
              <w:left w:val="nil"/>
              <w:bottom w:val="nil"/>
              <w:right w:val="nil"/>
            </w:tcBorders>
            <w:shd w:val="clear" w:color="auto" w:fill="auto"/>
            <w:noWrap/>
            <w:vAlign w:val="center"/>
            <w:hideMark/>
          </w:tcPr>
          <w:p w14:paraId="0FF3612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508" w:type="dxa"/>
            <w:tcBorders>
              <w:top w:val="nil"/>
              <w:left w:val="nil"/>
              <w:bottom w:val="nil"/>
              <w:right w:val="nil"/>
            </w:tcBorders>
            <w:shd w:val="clear" w:color="auto" w:fill="auto"/>
            <w:noWrap/>
            <w:vAlign w:val="center"/>
            <w:hideMark/>
          </w:tcPr>
          <w:p w14:paraId="06E34FD1"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513" w:type="dxa"/>
            <w:tcBorders>
              <w:top w:val="nil"/>
              <w:left w:val="nil"/>
              <w:bottom w:val="nil"/>
              <w:right w:val="nil"/>
            </w:tcBorders>
            <w:shd w:val="clear" w:color="auto" w:fill="auto"/>
            <w:noWrap/>
            <w:vAlign w:val="center"/>
            <w:hideMark/>
          </w:tcPr>
          <w:p w14:paraId="5979CA4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669" w:type="dxa"/>
            <w:tcBorders>
              <w:top w:val="nil"/>
              <w:left w:val="nil"/>
              <w:bottom w:val="nil"/>
              <w:right w:val="nil"/>
            </w:tcBorders>
            <w:shd w:val="clear" w:color="auto" w:fill="D9D9D9" w:themeFill="background1" w:themeFillShade="D9"/>
            <w:noWrap/>
            <w:vAlign w:val="center"/>
            <w:hideMark/>
          </w:tcPr>
          <w:p w14:paraId="30531A2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43" w:type="dxa"/>
            <w:tcBorders>
              <w:top w:val="nil"/>
              <w:left w:val="nil"/>
              <w:bottom w:val="nil"/>
              <w:right w:val="nil"/>
            </w:tcBorders>
            <w:shd w:val="clear" w:color="auto" w:fill="auto"/>
            <w:noWrap/>
            <w:vAlign w:val="center"/>
            <w:hideMark/>
          </w:tcPr>
          <w:p w14:paraId="7F203C9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KVSFS</w:t>
            </w:r>
          </w:p>
        </w:tc>
        <w:tc>
          <w:tcPr>
            <w:tcW w:w="405" w:type="dxa"/>
            <w:tcBorders>
              <w:top w:val="nil"/>
              <w:left w:val="nil"/>
              <w:bottom w:val="nil"/>
              <w:right w:val="single" w:sz="4" w:space="0" w:color="auto"/>
            </w:tcBorders>
            <w:shd w:val="clear" w:color="auto" w:fill="D9D9D9" w:themeFill="background1" w:themeFillShade="D9"/>
            <w:noWrap/>
            <w:vAlign w:val="center"/>
            <w:hideMark/>
          </w:tcPr>
          <w:p w14:paraId="12C22E1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bottom w:val="nil"/>
              <w:right w:val="nil"/>
            </w:tcBorders>
            <w:shd w:val="clear" w:color="auto" w:fill="D9D9D9" w:themeFill="background1" w:themeFillShade="D9"/>
            <w:noWrap/>
            <w:vAlign w:val="center"/>
            <w:hideMark/>
          </w:tcPr>
          <w:p w14:paraId="3E6E5D0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bottom w:val="nil"/>
              <w:right w:val="nil"/>
            </w:tcBorders>
            <w:shd w:val="clear" w:color="auto" w:fill="D9D9D9" w:themeFill="background1" w:themeFillShade="D9"/>
            <w:noWrap/>
            <w:vAlign w:val="center"/>
            <w:hideMark/>
          </w:tcPr>
          <w:p w14:paraId="2AF4A6D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30" w:type="dxa"/>
            <w:tcBorders>
              <w:top w:val="nil"/>
              <w:left w:val="nil"/>
              <w:bottom w:val="nil"/>
              <w:right w:val="nil"/>
            </w:tcBorders>
            <w:shd w:val="clear" w:color="auto" w:fill="D9D9D9" w:themeFill="background1" w:themeFillShade="D9"/>
            <w:noWrap/>
            <w:vAlign w:val="center"/>
            <w:hideMark/>
          </w:tcPr>
          <w:p w14:paraId="06B2891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574" w:type="dxa"/>
            <w:tcBorders>
              <w:top w:val="nil"/>
              <w:left w:val="nil"/>
              <w:bottom w:val="nil"/>
              <w:right w:val="nil"/>
            </w:tcBorders>
            <w:shd w:val="clear" w:color="auto" w:fill="D9D9D9" w:themeFill="background1" w:themeFillShade="D9"/>
            <w:noWrap/>
            <w:vAlign w:val="center"/>
            <w:hideMark/>
          </w:tcPr>
          <w:p w14:paraId="0A42D7A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90" w:type="dxa"/>
            <w:tcBorders>
              <w:top w:val="nil"/>
              <w:left w:val="nil"/>
              <w:bottom w:val="nil"/>
              <w:right w:val="nil"/>
            </w:tcBorders>
            <w:shd w:val="clear" w:color="auto" w:fill="auto"/>
            <w:noWrap/>
            <w:vAlign w:val="center"/>
            <w:hideMark/>
          </w:tcPr>
          <w:p w14:paraId="4159064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0</w:t>
            </w:r>
          </w:p>
        </w:tc>
        <w:tc>
          <w:tcPr>
            <w:tcW w:w="552" w:type="dxa"/>
            <w:tcBorders>
              <w:top w:val="nil"/>
              <w:left w:val="nil"/>
              <w:bottom w:val="nil"/>
              <w:right w:val="nil"/>
            </w:tcBorders>
            <w:shd w:val="clear" w:color="auto" w:fill="D9D9D9" w:themeFill="background1" w:themeFillShade="D9"/>
            <w:noWrap/>
            <w:vAlign w:val="center"/>
            <w:hideMark/>
          </w:tcPr>
          <w:p w14:paraId="0F51AF8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709" w:type="dxa"/>
            <w:tcBorders>
              <w:top w:val="nil"/>
              <w:left w:val="nil"/>
              <w:bottom w:val="nil"/>
              <w:right w:val="nil"/>
            </w:tcBorders>
            <w:shd w:val="clear" w:color="auto" w:fill="auto"/>
            <w:noWrap/>
            <w:vAlign w:val="center"/>
            <w:hideMark/>
          </w:tcPr>
          <w:p w14:paraId="4BC68AB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KVSFS</w:t>
            </w:r>
          </w:p>
        </w:tc>
        <w:tc>
          <w:tcPr>
            <w:tcW w:w="709" w:type="dxa"/>
            <w:tcBorders>
              <w:top w:val="nil"/>
              <w:left w:val="nil"/>
              <w:bottom w:val="nil"/>
              <w:right w:val="nil"/>
            </w:tcBorders>
            <w:shd w:val="clear" w:color="auto" w:fill="D9D9D9" w:themeFill="background1" w:themeFillShade="D9"/>
            <w:noWrap/>
            <w:vAlign w:val="center"/>
            <w:hideMark/>
          </w:tcPr>
          <w:p w14:paraId="1AC406F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25" w:type="dxa"/>
            <w:tcBorders>
              <w:top w:val="nil"/>
              <w:left w:val="nil"/>
              <w:bottom w:val="nil"/>
              <w:right w:val="single" w:sz="4" w:space="0" w:color="auto"/>
            </w:tcBorders>
            <w:shd w:val="clear" w:color="auto" w:fill="D9D9D9" w:themeFill="background1" w:themeFillShade="D9"/>
            <w:noWrap/>
            <w:vAlign w:val="center"/>
            <w:hideMark/>
          </w:tcPr>
          <w:p w14:paraId="6D4CEB7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w:t>
            </w:r>
          </w:p>
        </w:tc>
        <w:tc>
          <w:tcPr>
            <w:tcW w:w="472" w:type="dxa"/>
            <w:tcBorders>
              <w:top w:val="nil"/>
              <w:left w:val="nil"/>
              <w:bottom w:val="nil"/>
              <w:right w:val="nil"/>
            </w:tcBorders>
            <w:shd w:val="clear" w:color="auto" w:fill="auto"/>
            <w:noWrap/>
            <w:vAlign w:val="center"/>
          </w:tcPr>
          <w:p w14:paraId="3AF1AF4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2781" w:type="dxa"/>
            <w:tcBorders>
              <w:top w:val="nil"/>
              <w:left w:val="nil"/>
              <w:bottom w:val="nil"/>
              <w:right w:val="nil"/>
            </w:tcBorders>
            <w:shd w:val="clear" w:color="auto" w:fill="auto"/>
            <w:noWrap/>
            <w:vAlign w:val="center"/>
          </w:tcPr>
          <w:p w14:paraId="64DE5DF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r>
      <w:tr w:rsidR="00E51BCC" w:rsidRPr="00E76DD9" w14:paraId="6894B419" w14:textId="77777777" w:rsidTr="00BB1E9A">
        <w:trPr>
          <w:trHeight w:val="21"/>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1930153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F7</w:t>
            </w:r>
          </w:p>
        </w:tc>
        <w:tc>
          <w:tcPr>
            <w:tcW w:w="1413" w:type="dxa"/>
            <w:tcBorders>
              <w:top w:val="nil"/>
              <w:left w:val="nil"/>
              <w:bottom w:val="nil"/>
              <w:right w:val="nil"/>
            </w:tcBorders>
            <w:shd w:val="clear" w:color="000000" w:fill="D9D9D9"/>
            <w:vAlign w:val="center"/>
            <w:hideMark/>
          </w:tcPr>
          <w:p w14:paraId="64AB700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p w14:paraId="1FF545C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Išvestinės finansinės priemonės</w:t>
            </w:r>
          </w:p>
        </w:tc>
        <w:tc>
          <w:tcPr>
            <w:tcW w:w="847" w:type="dxa"/>
            <w:tcBorders>
              <w:top w:val="nil"/>
              <w:left w:val="single" w:sz="4" w:space="0" w:color="auto"/>
              <w:bottom w:val="nil"/>
              <w:right w:val="nil"/>
            </w:tcBorders>
            <w:shd w:val="clear" w:color="auto" w:fill="auto"/>
            <w:noWrap/>
            <w:vAlign w:val="center"/>
            <w:hideMark/>
          </w:tcPr>
          <w:p w14:paraId="1F820A6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PFĮ</w:t>
            </w:r>
          </w:p>
        </w:tc>
        <w:tc>
          <w:tcPr>
            <w:tcW w:w="706" w:type="dxa"/>
            <w:tcBorders>
              <w:top w:val="nil"/>
              <w:left w:val="nil"/>
              <w:bottom w:val="nil"/>
              <w:right w:val="nil"/>
            </w:tcBorders>
            <w:shd w:val="clear" w:color="auto" w:fill="auto"/>
            <w:noWrap/>
            <w:vAlign w:val="center"/>
            <w:hideMark/>
          </w:tcPr>
          <w:p w14:paraId="5AD6E77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r w:rsidR="00E84FC3">
              <w:rPr>
                <w:rFonts w:ascii="Times New Roman" w:eastAsia="Times New Roman" w:hAnsi="Times New Roman"/>
                <w:color w:val="000000"/>
                <w:sz w:val="12"/>
                <w:szCs w:val="12"/>
                <w:lang w:eastAsia="en-GB"/>
              </w:rPr>
              <w:t>/MB</w:t>
            </w:r>
          </w:p>
        </w:tc>
        <w:tc>
          <w:tcPr>
            <w:tcW w:w="384" w:type="dxa"/>
            <w:gridSpan w:val="2"/>
            <w:tcBorders>
              <w:top w:val="nil"/>
              <w:left w:val="nil"/>
              <w:right w:val="nil"/>
            </w:tcBorders>
            <w:shd w:val="clear" w:color="auto" w:fill="auto"/>
            <w:noWrap/>
            <w:vAlign w:val="center"/>
            <w:hideMark/>
          </w:tcPr>
          <w:p w14:paraId="017AA15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712" w:type="dxa"/>
            <w:gridSpan w:val="2"/>
            <w:tcBorders>
              <w:top w:val="nil"/>
              <w:left w:val="nil"/>
              <w:right w:val="nil"/>
            </w:tcBorders>
            <w:shd w:val="clear" w:color="auto" w:fill="auto"/>
            <w:noWrap/>
            <w:vAlign w:val="center"/>
            <w:hideMark/>
          </w:tcPr>
          <w:p w14:paraId="588C49A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508" w:type="dxa"/>
            <w:tcBorders>
              <w:top w:val="nil"/>
              <w:left w:val="nil"/>
              <w:right w:val="nil"/>
            </w:tcBorders>
            <w:shd w:val="clear" w:color="auto" w:fill="auto"/>
            <w:noWrap/>
            <w:vAlign w:val="center"/>
            <w:hideMark/>
          </w:tcPr>
          <w:p w14:paraId="18F2EE68" w14:textId="77777777" w:rsidR="00E51BCC" w:rsidRPr="00241D28" w:rsidRDefault="00997BD2"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p>
        </w:tc>
        <w:tc>
          <w:tcPr>
            <w:tcW w:w="513" w:type="dxa"/>
            <w:tcBorders>
              <w:top w:val="nil"/>
              <w:left w:val="nil"/>
              <w:right w:val="nil"/>
            </w:tcBorders>
            <w:shd w:val="clear" w:color="auto" w:fill="auto"/>
            <w:noWrap/>
            <w:vAlign w:val="center"/>
            <w:hideMark/>
          </w:tcPr>
          <w:p w14:paraId="3AB0BD1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669" w:type="dxa"/>
            <w:tcBorders>
              <w:top w:val="nil"/>
              <w:left w:val="nil"/>
              <w:bottom w:val="nil"/>
              <w:right w:val="nil"/>
            </w:tcBorders>
            <w:shd w:val="clear" w:color="auto" w:fill="auto"/>
            <w:noWrap/>
            <w:vAlign w:val="center"/>
            <w:hideMark/>
          </w:tcPr>
          <w:p w14:paraId="2952BC6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KVSFS</w:t>
            </w:r>
          </w:p>
        </w:tc>
        <w:tc>
          <w:tcPr>
            <w:tcW w:w="743" w:type="dxa"/>
            <w:tcBorders>
              <w:top w:val="nil"/>
              <w:left w:val="nil"/>
              <w:bottom w:val="nil"/>
              <w:right w:val="nil"/>
            </w:tcBorders>
            <w:shd w:val="clear" w:color="auto" w:fill="auto"/>
            <w:noWrap/>
            <w:vAlign w:val="center"/>
            <w:hideMark/>
          </w:tcPr>
          <w:p w14:paraId="661272D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PFĮ</w:t>
            </w:r>
          </w:p>
        </w:tc>
        <w:tc>
          <w:tcPr>
            <w:tcW w:w="405" w:type="dxa"/>
            <w:tcBorders>
              <w:top w:val="nil"/>
              <w:left w:val="nil"/>
              <w:bottom w:val="nil"/>
              <w:right w:val="single" w:sz="4" w:space="0" w:color="auto"/>
            </w:tcBorders>
            <w:shd w:val="clear" w:color="auto" w:fill="auto"/>
            <w:noWrap/>
            <w:vAlign w:val="center"/>
            <w:hideMark/>
          </w:tcPr>
          <w:p w14:paraId="6CCD720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574" w:type="dxa"/>
            <w:tcBorders>
              <w:top w:val="nil"/>
              <w:left w:val="nil"/>
              <w:bottom w:val="nil"/>
              <w:right w:val="nil"/>
            </w:tcBorders>
            <w:shd w:val="clear" w:color="auto" w:fill="auto"/>
            <w:noWrap/>
            <w:vAlign w:val="center"/>
            <w:hideMark/>
          </w:tcPr>
          <w:p w14:paraId="209B9BE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574" w:type="dxa"/>
            <w:tcBorders>
              <w:top w:val="nil"/>
              <w:left w:val="nil"/>
              <w:bottom w:val="nil"/>
              <w:right w:val="nil"/>
            </w:tcBorders>
            <w:shd w:val="clear" w:color="auto" w:fill="auto"/>
            <w:noWrap/>
            <w:vAlign w:val="center"/>
            <w:hideMark/>
          </w:tcPr>
          <w:p w14:paraId="0CB7E8F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r w:rsidR="006F4D56">
              <w:rPr>
                <w:rFonts w:ascii="Times New Roman" w:eastAsia="Times New Roman" w:hAnsi="Times New Roman"/>
                <w:color w:val="000000"/>
                <w:sz w:val="12"/>
                <w:szCs w:val="12"/>
                <w:lang w:eastAsia="en-GB"/>
              </w:rPr>
              <w:t>/MB</w:t>
            </w:r>
          </w:p>
        </w:tc>
        <w:tc>
          <w:tcPr>
            <w:tcW w:w="430" w:type="dxa"/>
            <w:tcBorders>
              <w:top w:val="nil"/>
              <w:left w:val="nil"/>
              <w:right w:val="nil"/>
            </w:tcBorders>
            <w:shd w:val="clear" w:color="auto" w:fill="auto"/>
            <w:noWrap/>
            <w:vAlign w:val="center"/>
            <w:hideMark/>
          </w:tcPr>
          <w:p w14:paraId="067150F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574" w:type="dxa"/>
            <w:tcBorders>
              <w:top w:val="nil"/>
              <w:left w:val="nil"/>
              <w:bottom w:val="nil"/>
              <w:right w:val="nil"/>
            </w:tcBorders>
            <w:shd w:val="clear" w:color="auto" w:fill="auto"/>
            <w:noWrap/>
            <w:vAlign w:val="center"/>
            <w:hideMark/>
          </w:tcPr>
          <w:p w14:paraId="443B78D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490" w:type="dxa"/>
            <w:tcBorders>
              <w:top w:val="nil"/>
              <w:left w:val="nil"/>
              <w:bottom w:val="nil"/>
              <w:right w:val="nil"/>
            </w:tcBorders>
            <w:shd w:val="clear" w:color="auto" w:fill="auto"/>
            <w:noWrap/>
            <w:vAlign w:val="center"/>
            <w:hideMark/>
          </w:tcPr>
          <w:p w14:paraId="38975534" w14:textId="77777777" w:rsidR="00E51BCC" w:rsidRPr="00241D28" w:rsidRDefault="00997BD2"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DBS</w:t>
            </w:r>
          </w:p>
        </w:tc>
        <w:tc>
          <w:tcPr>
            <w:tcW w:w="552" w:type="dxa"/>
            <w:tcBorders>
              <w:top w:val="nil"/>
              <w:left w:val="nil"/>
              <w:right w:val="nil"/>
            </w:tcBorders>
            <w:shd w:val="clear" w:color="auto" w:fill="auto"/>
            <w:noWrap/>
            <w:vAlign w:val="center"/>
            <w:hideMark/>
          </w:tcPr>
          <w:p w14:paraId="20AC6CD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709" w:type="dxa"/>
            <w:tcBorders>
              <w:top w:val="nil"/>
              <w:left w:val="nil"/>
              <w:bottom w:val="nil"/>
              <w:right w:val="nil"/>
            </w:tcBorders>
            <w:shd w:val="clear" w:color="auto" w:fill="auto"/>
            <w:noWrap/>
            <w:vAlign w:val="center"/>
            <w:hideMark/>
          </w:tcPr>
          <w:p w14:paraId="11D8D38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KVSFS</w:t>
            </w:r>
          </w:p>
        </w:tc>
        <w:tc>
          <w:tcPr>
            <w:tcW w:w="709" w:type="dxa"/>
            <w:tcBorders>
              <w:top w:val="nil"/>
              <w:left w:val="nil"/>
              <w:bottom w:val="nil"/>
              <w:right w:val="nil"/>
            </w:tcBorders>
            <w:shd w:val="clear" w:color="auto" w:fill="auto"/>
            <w:noWrap/>
            <w:vAlign w:val="center"/>
            <w:hideMark/>
          </w:tcPr>
          <w:p w14:paraId="463847F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425" w:type="dxa"/>
            <w:tcBorders>
              <w:top w:val="nil"/>
              <w:left w:val="nil"/>
              <w:bottom w:val="nil"/>
              <w:right w:val="single" w:sz="4" w:space="0" w:color="auto"/>
            </w:tcBorders>
            <w:shd w:val="clear" w:color="auto" w:fill="auto"/>
            <w:noWrap/>
            <w:vAlign w:val="center"/>
            <w:hideMark/>
          </w:tcPr>
          <w:p w14:paraId="782EECE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472" w:type="dxa"/>
            <w:tcBorders>
              <w:top w:val="nil"/>
              <w:left w:val="nil"/>
              <w:bottom w:val="nil"/>
              <w:right w:val="nil"/>
            </w:tcBorders>
            <w:shd w:val="clear" w:color="auto" w:fill="auto"/>
            <w:noWrap/>
            <w:vAlign w:val="center"/>
          </w:tcPr>
          <w:p w14:paraId="3B446AD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2781" w:type="dxa"/>
            <w:tcBorders>
              <w:top w:val="nil"/>
              <w:left w:val="nil"/>
              <w:bottom w:val="nil"/>
              <w:right w:val="nil"/>
            </w:tcBorders>
            <w:shd w:val="clear" w:color="auto" w:fill="auto"/>
            <w:noWrap/>
            <w:vAlign w:val="center"/>
          </w:tcPr>
          <w:p w14:paraId="4AC45243" w14:textId="77777777" w:rsidR="00E51BCC" w:rsidRPr="00241D28" w:rsidRDefault="00E51BCC" w:rsidP="00C4389C">
            <w:pPr>
              <w:spacing w:after="0" w:line="240" w:lineRule="auto"/>
              <w:jc w:val="both"/>
              <w:rPr>
                <w:rFonts w:ascii="Times New Roman" w:eastAsia="Times New Roman" w:hAnsi="Times New Roman"/>
                <w:sz w:val="12"/>
                <w:szCs w:val="12"/>
                <w:lang w:eastAsia="en-GB"/>
              </w:rPr>
            </w:pPr>
          </w:p>
        </w:tc>
      </w:tr>
      <w:tr w:rsidR="00E51BCC" w:rsidRPr="00E76DD9" w14:paraId="78361D7B" w14:textId="77777777" w:rsidTr="00BB1E9A">
        <w:trPr>
          <w:trHeight w:val="21"/>
          <w:jc w:val="center"/>
        </w:trPr>
        <w:tc>
          <w:tcPr>
            <w:tcW w:w="523" w:type="dxa"/>
            <w:tcBorders>
              <w:top w:val="nil"/>
              <w:left w:val="single" w:sz="4" w:space="0" w:color="auto"/>
              <w:bottom w:val="nil"/>
              <w:right w:val="single" w:sz="4" w:space="0" w:color="auto"/>
            </w:tcBorders>
            <w:shd w:val="clear" w:color="000000" w:fill="D9D9D9"/>
            <w:noWrap/>
            <w:vAlign w:val="center"/>
            <w:hideMark/>
          </w:tcPr>
          <w:p w14:paraId="2BCE022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F81</w:t>
            </w:r>
          </w:p>
        </w:tc>
        <w:tc>
          <w:tcPr>
            <w:tcW w:w="1413" w:type="dxa"/>
            <w:tcBorders>
              <w:top w:val="nil"/>
              <w:left w:val="nil"/>
              <w:bottom w:val="nil"/>
              <w:right w:val="nil"/>
            </w:tcBorders>
            <w:shd w:val="clear" w:color="000000" w:fill="D9D9D9"/>
            <w:vAlign w:val="center"/>
            <w:hideMark/>
          </w:tcPr>
          <w:p w14:paraId="1935F25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p w14:paraId="459F528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Prekybos kreditai ir išankstiniai mokėjimai</w:t>
            </w:r>
          </w:p>
        </w:tc>
        <w:tc>
          <w:tcPr>
            <w:tcW w:w="847" w:type="dxa"/>
            <w:tcBorders>
              <w:top w:val="nil"/>
              <w:left w:val="single" w:sz="4" w:space="0" w:color="auto"/>
              <w:bottom w:val="nil"/>
              <w:right w:val="nil"/>
            </w:tcBorders>
            <w:shd w:val="clear" w:color="auto" w:fill="auto"/>
            <w:noWrap/>
            <w:vAlign w:val="center"/>
            <w:hideMark/>
          </w:tcPr>
          <w:p w14:paraId="0C2D7A68" w14:textId="27AC19CE"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NFB</w:t>
            </w:r>
          </w:p>
        </w:tc>
        <w:tc>
          <w:tcPr>
            <w:tcW w:w="706" w:type="dxa"/>
            <w:tcBorders>
              <w:top w:val="nil"/>
              <w:left w:val="nil"/>
              <w:bottom w:val="nil"/>
              <w:right w:val="nil"/>
            </w:tcBorders>
            <w:shd w:val="clear" w:color="auto" w:fill="auto"/>
            <w:noWrap/>
            <w:vAlign w:val="center"/>
            <w:hideMark/>
          </w:tcPr>
          <w:p w14:paraId="47BDA33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384" w:type="dxa"/>
            <w:gridSpan w:val="2"/>
            <w:tcBorders>
              <w:top w:val="nil"/>
              <w:left w:val="nil"/>
              <w:bottom w:val="nil"/>
              <w:right w:val="nil"/>
            </w:tcBorders>
            <w:shd w:val="clear" w:color="auto" w:fill="auto"/>
            <w:noWrap/>
            <w:vAlign w:val="center"/>
            <w:hideMark/>
          </w:tcPr>
          <w:p w14:paraId="512AB6F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712" w:type="dxa"/>
            <w:gridSpan w:val="2"/>
            <w:tcBorders>
              <w:top w:val="nil"/>
              <w:left w:val="nil"/>
              <w:bottom w:val="nil"/>
              <w:right w:val="nil"/>
            </w:tcBorders>
            <w:shd w:val="clear" w:color="auto" w:fill="auto"/>
            <w:noWrap/>
            <w:vAlign w:val="center"/>
            <w:hideMark/>
          </w:tcPr>
          <w:p w14:paraId="6EB9061A" w14:textId="6DE507FD" w:rsidR="00E51BCC" w:rsidRPr="00241D28" w:rsidRDefault="00E84FC3" w:rsidP="00E84FC3">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ST</w:t>
            </w:r>
            <w:r w:rsidR="00BB1E9A">
              <w:rPr>
                <w:rFonts w:ascii="Times New Roman" w:eastAsia="Times New Roman" w:hAnsi="Times New Roman"/>
                <w:color w:val="000000"/>
                <w:sz w:val="12"/>
                <w:szCs w:val="12"/>
                <w:vertAlign w:val="superscript"/>
                <w:lang w:eastAsia="en-GB"/>
              </w:rPr>
              <w:t>1</w:t>
            </w:r>
          </w:p>
        </w:tc>
        <w:tc>
          <w:tcPr>
            <w:tcW w:w="508" w:type="dxa"/>
            <w:tcBorders>
              <w:top w:val="nil"/>
              <w:left w:val="nil"/>
              <w:bottom w:val="nil"/>
              <w:right w:val="nil"/>
            </w:tcBorders>
            <w:shd w:val="clear" w:color="auto" w:fill="auto"/>
            <w:noWrap/>
            <w:vAlign w:val="center"/>
            <w:hideMark/>
          </w:tcPr>
          <w:p w14:paraId="4B2C0962" w14:textId="77777777" w:rsidR="00E51BCC" w:rsidRPr="00241D28" w:rsidRDefault="00E84FC3" w:rsidP="006F4D56">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DBS/</w:t>
            </w:r>
            <w:r w:rsidR="00E51BCC" w:rsidRPr="00241D28">
              <w:rPr>
                <w:rFonts w:ascii="Times New Roman" w:eastAsia="Times New Roman" w:hAnsi="Times New Roman"/>
                <w:color w:val="000000"/>
                <w:sz w:val="12"/>
                <w:szCs w:val="12"/>
                <w:lang w:eastAsia="en-GB"/>
              </w:rPr>
              <w:t>P</w:t>
            </w:r>
            <w:r w:rsidR="006F4D56">
              <w:rPr>
                <w:rFonts w:ascii="Times New Roman" w:eastAsia="Times New Roman" w:hAnsi="Times New Roman"/>
                <w:color w:val="000000"/>
                <w:sz w:val="12"/>
                <w:szCs w:val="12"/>
                <w:lang w:eastAsia="en-GB"/>
              </w:rPr>
              <w:t>D</w:t>
            </w:r>
          </w:p>
        </w:tc>
        <w:tc>
          <w:tcPr>
            <w:tcW w:w="513" w:type="dxa"/>
            <w:tcBorders>
              <w:top w:val="nil"/>
              <w:left w:val="nil"/>
              <w:bottom w:val="nil"/>
              <w:right w:val="nil"/>
            </w:tcBorders>
            <w:shd w:val="clear" w:color="auto" w:fill="auto"/>
            <w:noWrap/>
            <w:vAlign w:val="center"/>
            <w:hideMark/>
          </w:tcPr>
          <w:p w14:paraId="7370CAD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669" w:type="dxa"/>
            <w:tcBorders>
              <w:top w:val="nil"/>
              <w:left w:val="nil"/>
              <w:bottom w:val="nil"/>
              <w:right w:val="nil"/>
            </w:tcBorders>
            <w:shd w:val="clear" w:color="auto" w:fill="auto"/>
            <w:noWrap/>
            <w:vAlign w:val="center"/>
            <w:hideMark/>
          </w:tcPr>
          <w:p w14:paraId="49229CE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KVSFS</w:t>
            </w:r>
          </w:p>
        </w:tc>
        <w:tc>
          <w:tcPr>
            <w:tcW w:w="743" w:type="dxa"/>
            <w:tcBorders>
              <w:top w:val="nil"/>
              <w:left w:val="nil"/>
              <w:bottom w:val="nil"/>
              <w:right w:val="nil"/>
            </w:tcBorders>
            <w:shd w:val="clear" w:color="auto" w:fill="auto"/>
            <w:noWrap/>
            <w:vAlign w:val="center"/>
            <w:hideMark/>
          </w:tcPr>
          <w:p w14:paraId="4FEB35F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NFB*</w:t>
            </w:r>
          </w:p>
        </w:tc>
        <w:tc>
          <w:tcPr>
            <w:tcW w:w="405" w:type="dxa"/>
            <w:tcBorders>
              <w:top w:val="nil"/>
              <w:left w:val="nil"/>
              <w:bottom w:val="nil"/>
              <w:right w:val="single" w:sz="4" w:space="0" w:color="auto"/>
            </w:tcBorders>
            <w:shd w:val="clear" w:color="auto" w:fill="auto"/>
            <w:noWrap/>
            <w:vAlign w:val="center"/>
            <w:hideMark/>
          </w:tcPr>
          <w:p w14:paraId="0D8341D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574" w:type="dxa"/>
            <w:tcBorders>
              <w:top w:val="nil"/>
              <w:left w:val="nil"/>
              <w:bottom w:val="nil"/>
              <w:right w:val="nil"/>
            </w:tcBorders>
            <w:shd w:val="clear" w:color="auto" w:fill="auto"/>
            <w:noWrap/>
            <w:vAlign w:val="center"/>
            <w:hideMark/>
          </w:tcPr>
          <w:p w14:paraId="7F80C205" w14:textId="4F3B8211"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NFB</w:t>
            </w:r>
          </w:p>
        </w:tc>
        <w:tc>
          <w:tcPr>
            <w:tcW w:w="574" w:type="dxa"/>
            <w:tcBorders>
              <w:top w:val="nil"/>
              <w:left w:val="nil"/>
              <w:bottom w:val="nil"/>
              <w:right w:val="nil"/>
            </w:tcBorders>
            <w:shd w:val="clear" w:color="auto" w:fill="auto"/>
            <w:noWrap/>
            <w:vAlign w:val="center"/>
            <w:hideMark/>
          </w:tcPr>
          <w:p w14:paraId="09A0248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430" w:type="dxa"/>
            <w:tcBorders>
              <w:top w:val="nil"/>
              <w:left w:val="nil"/>
              <w:bottom w:val="nil"/>
              <w:right w:val="nil"/>
            </w:tcBorders>
            <w:shd w:val="clear" w:color="auto" w:fill="auto"/>
            <w:noWrap/>
            <w:vAlign w:val="center"/>
            <w:hideMark/>
          </w:tcPr>
          <w:p w14:paraId="5FA5A89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574" w:type="dxa"/>
            <w:tcBorders>
              <w:top w:val="nil"/>
              <w:left w:val="nil"/>
              <w:bottom w:val="nil"/>
              <w:right w:val="nil"/>
            </w:tcBorders>
            <w:shd w:val="clear" w:color="auto" w:fill="auto"/>
            <w:noWrap/>
            <w:vAlign w:val="center"/>
            <w:hideMark/>
          </w:tcPr>
          <w:p w14:paraId="7142152D" w14:textId="319E1417" w:rsidR="00E51BCC" w:rsidRPr="00241D28" w:rsidRDefault="006F4D56" w:rsidP="006F4D56">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ST</w:t>
            </w:r>
            <w:r w:rsidR="00BB1E9A">
              <w:rPr>
                <w:rFonts w:ascii="Times New Roman" w:eastAsia="Times New Roman" w:hAnsi="Times New Roman"/>
                <w:color w:val="000000"/>
                <w:sz w:val="12"/>
                <w:szCs w:val="12"/>
                <w:vertAlign w:val="superscript"/>
                <w:lang w:eastAsia="en-GB"/>
              </w:rPr>
              <w:t>1</w:t>
            </w:r>
          </w:p>
        </w:tc>
        <w:tc>
          <w:tcPr>
            <w:tcW w:w="490" w:type="dxa"/>
            <w:tcBorders>
              <w:top w:val="nil"/>
              <w:left w:val="nil"/>
              <w:bottom w:val="nil"/>
              <w:right w:val="nil"/>
            </w:tcBorders>
            <w:shd w:val="clear" w:color="auto" w:fill="auto"/>
            <w:noWrap/>
            <w:vAlign w:val="center"/>
            <w:hideMark/>
          </w:tcPr>
          <w:p w14:paraId="0F335B82" w14:textId="77777777" w:rsidR="00E51BCC" w:rsidRPr="00241D28" w:rsidRDefault="006F4D56" w:rsidP="006F4D56">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DBS/PD</w:t>
            </w:r>
          </w:p>
        </w:tc>
        <w:tc>
          <w:tcPr>
            <w:tcW w:w="552" w:type="dxa"/>
            <w:tcBorders>
              <w:top w:val="nil"/>
              <w:left w:val="nil"/>
              <w:bottom w:val="nil"/>
              <w:right w:val="nil"/>
            </w:tcBorders>
            <w:shd w:val="clear" w:color="auto" w:fill="auto"/>
            <w:noWrap/>
            <w:vAlign w:val="center"/>
            <w:hideMark/>
          </w:tcPr>
          <w:p w14:paraId="404A3CF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709" w:type="dxa"/>
            <w:tcBorders>
              <w:top w:val="nil"/>
              <w:left w:val="nil"/>
              <w:bottom w:val="nil"/>
              <w:right w:val="nil"/>
            </w:tcBorders>
            <w:shd w:val="clear" w:color="auto" w:fill="auto"/>
            <w:noWrap/>
            <w:vAlign w:val="center"/>
            <w:hideMark/>
          </w:tcPr>
          <w:p w14:paraId="7B11355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KVSFS</w:t>
            </w:r>
          </w:p>
        </w:tc>
        <w:tc>
          <w:tcPr>
            <w:tcW w:w="709" w:type="dxa"/>
            <w:tcBorders>
              <w:top w:val="nil"/>
              <w:left w:val="nil"/>
              <w:bottom w:val="nil"/>
              <w:right w:val="nil"/>
            </w:tcBorders>
            <w:shd w:val="clear" w:color="auto" w:fill="auto"/>
            <w:noWrap/>
            <w:vAlign w:val="center"/>
            <w:hideMark/>
          </w:tcPr>
          <w:p w14:paraId="5E38C04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NFB*</w:t>
            </w:r>
          </w:p>
        </w:tc>
        <w:tc>
          <w:tcPr>
            <w:tcW w:w="425" w:type="dxa"/>
            <w:tcBorders>
              <w:top w:val="nil"/>
              <w:left w:val="nil"/>
              <w:bottom w:val="nil"/>
              <w:right w:val="single" w:sz="4" w:space="0" w:color="auto"/>
            </w:tcBorders>
            <w:shd w:val="clear" w:color="auto" w:fill="auto"/>
            <w:noWrap/>
            <w:vAlign w:val="center"/>
            <w:hideMark/>
          </w:tcPr>
          <w:p w14:paraId="4235EE2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472" w:type="dxa"/>
            <w:tcBorders>
              <w:top w:val="nil"/>
              <w:left w:val="nil"/>
              <w:bottom w:val="nil"/>
              <w:right w:val="nil"/>
            </w:tcBorders>
            <w:shd w:val="clear" w:color="auto" w:fill="auto"/>
            <w:noWrap/>
            <w:vAlign w:val="center"/>
          </w:tcPr>
          <w:p w14:paraId="29FE90D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2781" w:type="dxa"/>
            <w:tcBorders>
              <w:top w:val="nil"/>
              <w:left w:val="nil"/>
              <w:bottom w:val="nil"/>
              <w:right w:val="nil"/>
            </w:tcBorders>
            <w:shd w:val="clear" w:color="auto" w:fill="auto"/>
            <w:noWrap/>
            <w:vAlign w:val="center"/>
          </w:tcPr>
          <w:p w14:paraId="2607117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r>
      <w:tr w:rsidR="00E51BCC" w:rsidRPr="00E76DD9" w14:paraId="39EE74E7" w14:textId="77777777" w:rsidTr="00BB1E9A">
        <w:trPr>
          <w:trHeight w:val="21"/>
          <w:jc w:val="center"/>
        </w:trPr>
        <w:tc>
          <w:tcPr>
            <w:tcW w:w="523" w:type="dxa"/>
            <w:tcBorders>
              <w:top w:val="nil"/>
              <w:left w:val="single" w:sz="4" w:space="0" w:color="auto"/>
              <w:bottom w:val="single" w:sz="4" w:space="0" w:color="auto"/>
              <w:right w:val="single" w:sz="4" w:space="0" w:color="auto"/>
            </w:tcBorders>
            <w:shd w:val="clear" w:color="000000" w:fill="D9D9D9"/>
            <w:noWrap/>
            <w:vAlign w:val="center"/>
            <w:hideMark/>
          </w:tcPr>
          <w:p w14:paraId="4F15DF4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F89</w:t>
            </w:r>
          </w:p>
        </w:tc>
        <w:tc>
          <w:tcPr>
            <w:tcW w:w="1413" w:type="dxa"/>
            <w:tcBorders>
              <w:top w:val="nil"/>
              <w:left w:val="nil"/>
              <w:bottom w:val="single" w:sz="4" w:space="0" w:color="auto"/>
              <w:right w:val="nil"/>
            </w:tcBorders>
            <w:shd w:val="clear" w:color="000000" w:fill="D9D9D9"/>
            <w:vAlign w:val="center"/>
            <w:hideMark/>
          </w:tcPr>
          <w:p w14:paraId="1524BBA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p w14:paraId="3D3EF8D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Kitos gautinos (mokėtinos) sumos, išskyrus F81</w:t>
            </w:r>
          </w:p>
        </w:tc>
        <w:tc>
          <w:tcPr>
            <w:tcW w:w="847" w:type="dxa"/>
            <w:tcBorders>
              <w:top w:val="nil"/>
              <w:left w:val="single" w:sz="4" w:space="0" w:color="auto"/>
              <w:bottom w:val="single" w:sz="4" w:space="0" w:color="auto"/>
              <w:right w:val="nil"/>
            </w:tcBorders>
            <w:shd w:val="clear" w:color="auto" w:fill="auto"/>
            <w:noWrap/>
            <w:vAlign w:val="center"/>
            <w:hideMark/>
          </w:tcPr>
          <w:p w14:paraId="33DD126B" w14:textId="1066B50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NFB</w:t>
            </w:r>
          </w:p>
        </w:tc>
        <w:tc>
          <w:tcPr>
            <w:tcW w:w="706" w:type="dxa"/>
            <w:tcBorders>
              <w:top w:val="nil"/>
              <w:left w:val="nil"/>
              <w:bottom w:val="single" w:sz="4" w:space="0" w:color="auto"/>
              <w:right w:val="nil"/>
            </w:tcBorders>
            <w:shd w:val="clear" w:color="auto" w:fill="auto"/>
            <w:noWrap/>
            <w:vAlign w:val="center"/>
            <w:hideMark/>
          </w:tcPr>
          <w:p w14:paraId="4318633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MFI</w:t>
            </w:r>
          </w:p>
        </w:tc>
        <w:tc>
          <w:tcPr>
            <w:tcW w:w="384" w:type="dxa"/>
            <w:gridSpan w:val="2"/>
            <w:tcBorders>
              <w:top w:val="nil"/>
              <w:left w:val="nil"/>
              <w:bottom w:val="single" w:sz="4" w:space="0" w:color="auto"/>
              <w:right w:val="nil"/>
            </w:tcBorders>
            <w:shd w:val="clear" w:color="auto" w:fill="auto"/>
            <w:noWrap/>
            <w:vAlign w:val="center"/>
            <w:hideMark/>
          </w:tcPr>
          <w:p w14:paraId="19A2443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712" w:type="dxa"/>
            <w:gridSpan w:val="2"/>
            <w:tcBorders>
              <w:top w:val="nil"/>
              <w:left w:val="nil"/>
              <w:bottom w:val="single" w:sz="4" w:space="0" w:color="auto"/>
              <w:right w:val="nil"/>
            </w:tcBorders>
            <w:shd w:val="clear" w:color="auto" w:fill="auto"/>
            <w:noWrap/>
            <w:vAlign w:val="center"/>
            <w:hideMark/>
          </w:tcPr>
          <w:p w14:paraId="011FBDAA" w14:textId="2163E137" w:rsidR="00E51BCC" w:rsidRPr="00241D28" w:rsidRDefault="00E84FC3" w:rsidP="00E84FC3">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ST</w:t>
            </w:r>
            <w:r w:rsidR="00BB1E9A">
              <w:rPr>
                <w:rFonts w:ascii="Times New Roman" w:eastAsia="Times New Roman" w:hAnsi="Times New Roman"/>
                <w:color w:val="000000"/>
                <w:sz w:val="12"/>
                <w:szCs w:val="12"/>
                <w:vertAlign w:val="superscript"/>
                <w:lang w:eastAsia="en-GB"/>
              </w:rPr>
              <w:t>1</w:t>
            </w:r>
          </w:p>
        </w:tc>
        <w:tc>
          <w:tcPr>
            <w:tcW w:w="508" w:type="dxa"/>
            <w:tcBorders>
              <w:top w:val="nil"/>
              <w:left w:val="nil"/>
              <w:bottom w:val="single" w:sz="4" w:space="0" w:color="auto"/>
              <w:right w:val="nil"/>
            </w:tcBorders>
            <w:shd w:val="clear" w:color="auto" w:fill="auto"/>
            <w:noWrap/>
            <w:vAlign w:val="center"/>
            <w:hideMark/>
          </w:tcPr>
          <w:p w14:paraId="39BBC167" w14:textId="77777777" w:rsidR="00E51BCC" w:rsidRPr="00241D28" w:rsidRDefault="006F4D56" w:rsidP="006F4D56">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DBG/</w:t>
            </w:r>
            <w:r w:rsidR="00E51BCC" w:rsidRPr="00241D28">
              <w:rPr>
                <w:rFonts w:ascii="Times New Roman" w:eastAsia="Times New Roman" w:hAnsi="Times New Roman"/>
                <w:color w:val="000000"/>
                <w:sz w:val="12"/>
                <w:szCs w:val="12"/>
                <w:lang w:eastAsia="en-GB"/>
              </w:rPr>
              <w:t>P</w:t>
            </w:r>
            <w:r>
              <w:rPr>
                <w:rFonts w:ascii="Times New Roman" w:eastAsia="Times New Roman" w:hAnsi="Times New Roman"/>
                <w:color w:val="000000"/>
                <w:sz w:val="12"/>
                <w:szCs w:val="12"/>
                <w:lang w:eastAsia="en-GB"/>
              </w:rPr>
              <w:t>D</w:t>
            </w:r>
          </w:p>
        </w:tc>
        <w:tc>
          <w:tcPr>
            <w:tcW w:w="513" w:type="dxa"/>
            <w:tcBorders>
              <w:top w:val="nil"/>
              <w:left w:val="nil"/>
              <w:bottom w:val="single" w:sz="4" w:space="0" w:color="auto"/>
              <w:right w:val="nil"/>
            </w:tcBorders>
            <w:shd w:val="clear" w:color="auto" w:fill="auto"/>
            <w:noWrap/>
            <w:vAlign w:val="center"/>
            <w:hideMark/>
          </w:tcPr>
          <w:p w14:paraId="72F7716B"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669" w:type="dxa"/>
            <w:tcBorders>
              <w:top w:val="nil"/>
              <w:left w:val="nil"/>
              <w:bottom w:val="single" w:sz="4" w:space="0" w:color="auto"/>
              <w:right w:val="nil"/>
            </w:tcBorders>
            <w:shd w:val="clear" w:color="auto" w:fill="auto"/>
            <w:noWrap/>
            <w:vAlign w:val="center"/>
            <w:hideMark/>
          </w:tcPr>
          <w:p w14:paraId="19C71BD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KVSFS</w:t>
            </w:r>
          </w:p>
        </w:tc>
        <w:tc>
          <w:tcPr>
            <w:tcW w:w="743" w:type="dxa"/>
            <w:tcBorders>
              <w:top w:val="nil"/>
              <w:left w:val="nil"/>
              <w:bottom w:val="single" w:sz="4" w:space="0" w:color="auto"/>
              <w:right w:val="nil"/>
            </w:tcBorders>
            <w:shd w:val="clear" w:color="auto" w:fill="auto"/>
            <w:noWrap/>
            <w:vAlign w:val="center"/>
            <w:hideMark/>
          </w:tcPr>
          <w:p w14:paraId="0683FE9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NFB*</w:t>
            </w:r>
          </w:p>
        </w:tc>
        <w:tc>
          <w:tcPr>
            <w:tcW w:w="405" w:type="dxa"/>
            <w:tcBorders>
              <w:top w:val="nil"/>
              <w:left w:val="nil"/>
              <w:bottom w:val="single" w:sz="4" w:space="0" w:color="auto"/>
              <w:right w:val="single" w:sz="4" w:space="0" w:color="auto"/>
            </w:tcBorders>
            <w:shd w:val="clear" w:color="auto" w:fill="auto"/>
            <w:noWrap/>
            <w:vAlign w:val="center"/>
            <w:hideMark/>
          </w:tcPr>
          <w:p w14:paraId="10CBC260"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574" w:type="dxa"/>
            <w:tcBorders>
              <w:top w:val="nil"/>
              <w:left w:val="nil"/>
              <w:bottom w:val="single" w:sz="4" w:space="0" w:color="auto"/>
              <w:right w:val="nil"/>
            </w:tcBorders>
            <w:shd w:val="clear" w:color="auto" w:fill="auto"/>
            <w:noWrap/>
            <w:vAlign w:val="center"/>
            <w:hideMark/>
          </w:tcPr>
          <w:p w14:paraId="73ECA195" w14:textId="38F9ACAE"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NFB</w:t>
            </w:r>
          </w:p>
        </w:tc>
        <w:tc>
          <w:tcPr>
            <w:tcW w:w="574" w:type="dxa"/>
            <w:tcBorders>
              <w:top w:val="nil"/>
              <w:left w:val="nil"/>
              <w:bottom w:val="single" w:sz="4" w:space="0" w:color="auto"/>
              <w:right w:val="nil"/>
            </w:tcBorders>
            <w:shd w:val="clear" w:color="auto" w:fill="auto"/>
            <w:noWrap/>
            <w:vAlign w:val="center"/>
            <w:hideMark/>
          </w:tcPr>
          <w:p w14:paraId="57FFC09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PFĮ</w:t>
            </w:r>
          </w:p>
        </w:tc>
        <w:tc>
          <w:tcPr>
            <w:tcW w:w="430" w:type="dxa"/>
            <w:tcBorders>
              <w:top w:val="nil"/>
              <w:left w:val="nil"/>
              <w:bottom w:val="single" w:sz="4" w:space="0" w:color="auto"/>
              <w:right w:val="nil"/>
            </w:tcBorders>
            <w:shd w:val="clear" w:color="auto" w:fill="auto"/>
            <w:noWrap/>
            <w:vAlign w:val="center"/>
            <w:hideMark/>
          </w:tcPr>
          <w:p w14:paraId="098D786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IF</w:t>
            </w:r>
          </w:p>
        </w:tc>
        <w:tc>
          <w:tcPr>
            <w:tcW w:w="574" w:type="dxa"/>
            <w:tcBorders>
              <w:top w:val="nil"/>
              <w:left w:val="nil"/>
              <w:bottom w:val="single" w:sz="4" w:space="0" w:color="auto"/>
              <w:right w:val="nil"/>
            </w:tcBorders>
            <w:shd w:val="clear" w:color="auto" w:fill="auto"/>
            <w:noWrap/>
            <w:vAlign w:val="center"/>
            <w:hideMark/>
          </w:tcPr>
          <w:p w14:paraId="13506BFF" w14:textId="70326AF5" w:rsidR="00E51BCC" w:rsidRPr="00241D28" w:rsidRDefault="006F4D56" w:rsidP="006F4D56">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ST</w:t>
            </w:r>
            <w:r w:rsidR="00BB1E9A">
              <w:rPr>
                <w:rFonts w:ascii="Times New Roman" w:eastAsia="Times New Roman" w:hAnsi="Times New Roman"/>
                <w:color w:val="000000"/>
                <w:sz w:val="12"/>
                <w:szCs w:val="12"/>
                <w:vertAlign w:val="superscript"/>
                <w:lang w:eastAsia="en-GB"/>
              </w:rPr>
              <w:t>1</w:t>
            </w:r>
          </w:p>
        </w:tc>
        <w:tc>
          <w:tcPr>
            <w:tcW w:w="490" w:type="dxa"/>
            <w:tcBorders>
              <w:top w:val="nil"/>
              <w:left w:val="nil"/>
              <w:bottom w:val="single" w:sz="4" w:space="0" w:color="auto"/>
              <w:right w:val="nil"/>
            </w:tcBorders>
            <w:shd w:val="clear" w:color="auto" w:fill="auto"/>
            <w:noWrap/>
            <w:vAlign w:val="center"/>
            <w:hideMark/>
          </w:tcPr>
          <w:p w14:paraId="0F4BDD0C" w14:textId="77777777" w:rsidR="00E51BCC" w:rsidRPr="00241D28" w:rsidRDefault="006F4D56" w:rsidP="006F4D56">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DBS/PD</w:t>
            </w:r>
          </w:p>
        </w:tc>
        <w:tc>
          <w:tcPr>
            <w:tcW w:w="552" w:type="dxa"/>
            <w:tcBorders>
              <w:top w:val="nil"/>
              <w:left w:val="nil"/>
              <w:bottom w:val="single" w:sz="4" w:space="0" w:color="auto"/>
              <w:right w:val="nil"/>
            </w:tcBorders>
            <w:shd w:val="clear" w:color="auto" w:fill="auto"/>
            <w:noWrap/>
            <w:vAlign w:val="center"/>
            <w:hideMark/>
          </w:tcPr>
          <w:p w14:paraId="6C6BCCC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PF</w:t>
            </w:r>
          </w:p>
        </w:tc>
        <w:tc>
          <w:tcPr>
            <w:tcW w:w="709" w:type="dxa"/>
            <w:tcBorders>
              <w:top w:val="nil"/>
              <w:left w:val="nil"/>
              <w:bottom w:val="single" w:sz="4" w:space="0" w:color="auto"/>
              <w:right w:val="nil"/>
            </w:tcBorders>
            <w:shd w:val="clear" w:color="auto" w:fill="auto"/>
            <w:noWrap/>
            <w:vAlign w:val="center"/>
            <w:hideMark/>
          </w:tcPr>
          <w:p w14:paraId="7E9CE48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KVSFS</w:t>
            </w:r>
          </w:p>
        </w:tc>
        <w:tc>
          <w:tcPr>
            <w:tcW w:w="709" w:type="dxa"/>
            <w:tcBorders>
              <w:top w:val="nil"/>
              <w:left w:val="nil"/>
              <w:bottom w:val="single" w:sz="4" w:space="0" w:color="auto"/>
              <w:right w:val="nil"/>
            </w:tcBorders>
            <w:shd w:val="clear" w:color="auto" w:fill="auto"/>
            <w:noWrap/>
            <w:vAlign w:val="center"/>
            <w:hideMark/>
          </w:tcPr>
          <w:p w14:paraId="63F9272D"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NFB*</w:t>
            </w:r>
          </w:p>
        </w:tc>
        <w:tc>
          <w:tcPr>
            <w:tcW w:w="425" w:type="dxa"/>
            <w:tcBorders>
              <w:top w:val="nil"/>
              <w:left w:val="nil"/>
              <w:bottom w:val="single" w:sz="4" w:space="0" w:color="auto"/>
              <w:right w:val="single" w:sz="4" w:space="0" w:color="auto"/>
            </w:tcBorders>
            <w:shd w:val="clear" w:color="auto" w:fill="auto"/>
            <w:noWrap/>
            <w:vAlign w:val="center"/>
            <w:hideMark/>
          </w:tcPr>
          <w:p w14:paraId="6860D27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MB</w:t>
            </w:r>
          </w:p>
        </w:tc>
        <w:tc>
          <w:tcPr>
            <w:tcW w:w="472" w:type="dxa"/>
            <w:tcBorders>
              <w:top w:val="nil"/>
              <w:left w:val="nil"/>
              <w:bottom w:val="nil"/>
              <w:right w:val="nil"/>
            </w:tcBorders>
            <w:shd w:val="clear" w:color="auto" w:fill="auto"/>
            <w:noWrap/>
            <w:vAlign w:val="center"/>
          </w:tcPr>
          <w:p w14:paraId="65773FB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2781" w:type="dxa"/>
            <w:tcBorders>
              <w:top w:val="nil"/>
              <w:left w:val="nil"/>
              <w:bottom w:val="nil"/>
              <w:right w:val="nil"/>
            </w:tcBorders>
            <w:shd w:val="clear" w:color="auto" w:fill="auto"/>
            <w:noWrap/>
            <w:vAlign w:val="center"/>
          </w:tcPr>
          <w:p w14:paraId="2AD49F4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r>
      <w:tr w:rsidR="00E51BCC" w:rsidRPr="00E76DD9" w14:paraId="68A9271D" w14:textId="77777777" w:rsidTr="00BB1E9A">
        <w:trPr>
          <w:trHeight w:val="136"/>
          <w:jc w:val="center"/>
        </w:trPr>
        <w:tc>
          <w:tcPr>
            <w:tcW w:w="523" w:type="dxa"/>
            <w:tcBorders>
              <w:top w:val="single" w:sz="4" w:space="0" w:color="auto"/>
            </w:tcBorders>
            <w:shd w:val="clear" w:color="auto" w:fill="FFFFFF" w:themeFill="background1"/>
            <w:noWrap/>
            <w:vAlign w:val="center"/>
          </w:tcPr>
          <w:p w14:paraId="0C07982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1413" w:type="dxa"/>
            <w:tcBorders>
              <w:top w:val="single" w:sz="4" w:space="0" w:color="auto"/>
            </w:tcBorders>
            <w:shd w:val="clear" w:color="auto" w:fill="FFFFFF" w:themeFill="background1"/>
            <w:vAlign w:val="center"/>
          </w:tcPr>
          <w:p w14:paraId="1A65395C"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847" w:type="dxa"/>
            <w:tcBorders>
              <w:top w:val="single" w:sz="4" w:space="0" w:color="auto"/>
            </w:tcBorders>
            <w:shd w:val="clear" w:color="auto" w:fill="FFFFFF" w:themeFill="background1"/>
            <w:noWrap/>
            <w:vAlign w:val="center"/>
          </w:tcPr>
          <w:p w14:paraId="38563771"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706" w:type="dxa"/>
            <w:tcBorders>
              <w:top w:val="single" w:sz="4" w:space="0" w:color="auto"/>
            </w:tcBorders>
            <w:shd w:val="clear" w:color="auto" w:fill="FFFFFF" w:themeFill="background1"/>
            <w:noWrap/>
            <w:vAlign w:val="center"/>
          </w:tcPr>
          <w:p w14:paraId="5E99CCA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384" w:type="dxa"/>
            <w:gridSpan w:val="2"/>
            <w:tcBorders>
              <w:top w:val="single" w:sz="4" w:space="0" w:color="auto"/>
            </w:tcBorders>
            <w:shd w:val="clear" w:color="auto" w:fill="FFFFFF" w:themeFill="background1"/>
            <w:noWrap/>
            <w:vAlign w:val="center"/>
          </w:tcPr>
          <w:p w14:paraId="4D4D245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712" w:type="dxa"/>
            <w:gridSpan w:val="2"/>
            <w:tcBorders>
              <w:top w:val="single" w:sz="4" w:space="0" w:color="auto"/>
            </w:tcBorders>
            <w:shd w:val="clear" w:color="auto" w:fill="FFFFFF" w:themeFill="background1"/>
            <w:noWrap/>
            <w:vAlign w:val="center"/>
          </w:tcPr>
          <w:p w14:paraId="2379141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508" w:type="dxa"/>
            <w:tcBorders>
              <w:top w:val="single" w:sz="4" w:space="0" w:color="auto"/>
            </w:tcBorders>
            <w:shd w:val="clear" w:color="auto" w:fill="FFFFFF" w:themeFill="background1"/>
            <w:noWrap/>
            <w:vAlign w:val="center"/>
          </w:tcPr>
          <w:p w14:paraId="7704D6C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513" w:type="dxa"/>
            <w:tcBorders>
              <w:top w:val="single" w:sz="4" w:space="0" w:color="auto"/>
            </w:tcBorders>
            <w:shd w:val="clear" w:color="auto" w:fill="FFFFFF" w:themeFill="background1"/>
            <w:noWrap/>
            <w:vAlign w:val="center"/>
          </w:tcPr>
          <w:p w14:paraId="0FB0660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669" w:type="dxa"/>
            <w:tcBorders>
              <w:top w:val="single" w:sz="4" w:space="0" w:color="auto"/>
            </w:tcBorders>
            <w:shd w:val="clear" w:color="auto" w:fill="FFFFFF" w:themeFill="background1"/>
            <w:noWrap/>
            <w:vAlign w:val="center"/>
          </w:tcPr>
          <w:p w14:paraId="7D46532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743" w:type="dxa"/>
            <w:tcBorders>
              <w:top w:val="single" w:sz="4" w:space="0" w:color="auto"/>
            </w:tcBorders>
            <w:shd w:val="clear" w:color="auto" w:fill="FFFFFF" w:themeFill="background1"/>
            <w:noWrap/>
            <w:vAlign w:val="center"/>
          </w:tcPr>
          <w:p w14:paraId="0DF03B9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405" w:type="dxa"/>
            <w:tcBorders>
              <w:top w:val="single" w:sz="4" w:space="0" w:color="auto"/>
            </w:tcBorders>
            <w:shd w:val="clear" w:color="auto" w:fill="FFFFFF" w:themeFill="background1"/>
            <w:noWrap/>
            <w:vAlign w:val="center"/>
          </w:tcPr>
          <w:p w14:paraId="542AA34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574" w:type="dxa"/>
            <w:tcBorders>
              <w:top w:val="single" w:sz="4" w:space="0" w:color="auto"/>
            </w:tcBorders>
            <w:shd w:val="clear" w:color="auto" w:fill="FFFFFF" w:themeFill="background1"/>
            <w:noWrap/>
            <w:vAlign w:val="center"/>
          </w:tcPr>
          <w:p w14:paraId="02C61CE8"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574" w:type="dxa"/>
            <w:tcBorders>
              <w:top w:val="single" w:sz="4" w:space="0" w:color="auto"/>
            </w:tcBorders>
            <w:shd w:val="clear" w:color="auto" w:fill="FFFFFF" w:themeFill="background1"/>
            <w:noWrap/>
            <w:vAlign w:val="center"/>
          </w:tcPr>
          <w:p w14:paraId="054FA26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430" w:type="dxa"/>
            <w:tcBorders>
              <w:top w:val="single" w:sz="4" w:space="0" w:color="auto"/>
            </w:tcBorders>
            <w:shd w:val="clear" w:color="auto" w:fill="FFFFFF" w:themeFill="background1"/>
            <w:noWrap/>
            <w:vAlign w:val="center"/>
          </w:tcPr>
          <w:p w14:paraId="5B165D7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574" w:type="dxa"/>
            <w:tcBorders>
              <w:top w:val="single" w:sz="4" w:space="0" w:color="auto"/>
            </w:tcBorders>
            <w:shd w:val="clear" w:color="auto" w:fill="FFFFFF" w:themeFill="background1"/>
            <w:noWrap/>
            <w:vAlign w:val="center"/>
          </w:tcPr>
          <w:p w14:paraId="040CFF29"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490" w:type="dxa"/>
            <w:tcBorders>
              <w:top w:val="single" w:sz="4" w:space="0" w:color="auto"/>
            </w:tcBorders>
            <w:shd w:val="clear" w:color="auto" w:fill="FFFFFF" w:themeFill="background1"/>
            <w:noWrap/>
            <w:vAlign w:val="center"/>
          </w:tcPr>
          <w:p w14:paraId="01A57707"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552" w:type="dxa"/>
            <w:tcBorders>
              <w:top w:val="single" w:sz="4" w:space="0" w:color="auto"/>
            </w:tcBorders>
            <w:shd w:val="clear" w:color="auto" w:fill="FFFFFF" w:themeFill="background1"/>
            <w:noWrap/>
            <w:vAlign w:val="center"/>
          </w:tcPr>
          <w:p w14:paraId="43D404A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709" w:type="dxa"/>
            <w:tcBorders>
              <w:top w:val="single" w:sz="4" w:space="0" w:color="auto"/>
            </w:tcBorders>
            <w:shd w:val="clear" w:color="auto" w:fill="FFFFFF" w:themeFill="background1"/>
            <w:noWrap/>
            <w:vAlign w:val="center"/>
          </w:tcPr>
          <w:p w14:paraId="37C48FCF"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709" w:type="dxa"/>
            <w:tcBorders>
              <w:top w:val="single" w:sz="4" w:space="0" w:color="auto"/>
            </w:tcBorders>
            <w:shd w:val="clear" w:color="auto" w:fill="FFFFFF" w:themeFill="background1"/>
            <w:noWrap/>
            <w:vAlign w:val="center"/>
          </w:tcPr>
          <w:p w14:paraId="0ACDBC2A"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425" w:type="dxa"/>
            <w:tcBorders>
              <w:top w:val="single" w:sz="4" w:space="0" w:color="auto"/>
            </w:tcBorders>
            <w:shd w:val="clear" w:color="auto" w:fill="FFFFFF" w:themeFill="background1"/>
            <w:noWrap/>
            <w:vAlign w:val="center"/>
          </w:tcPr>
          <w:p w14:paraId="11B84112"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472" w:type="dxa"/>
            <w:tcBorders>
              <w:top w:val="nil"/>
              <w:left w:val="nil"/>
              <w:bottom w:val="nil"/>
              <w:right w:val="nil"/>
            </w:tcBorders>
            <w:shd w:val="clear" w:color="auto" w:fill="auto"/>
            <w:noWrap/>
            <w:vAlign w:val="center"/>
          </w:tcPr>
          <w:p w14:paraId="64A510A6"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c>
          <w:tcPr>
            <w:tcW w:w="2781" w:type="dxa"/>
            <w:tcBorders>
              <w:top w:val="nil"/>
              <w:left w:val="nil"/>
              <w:bottom w:val="nil"/>
              <w:right w:val="nil"/>
            </w:tcBorders>
            <w:shd w:val="clear" w:color="auto" w:fill="auto"/>
            <w:noWrap/>
            <w:vAlign w:val="center"/>
          </w:tcPr>
          <w:p w14:paraId="2B7CAA97" w14:textId="77777777" w:rsidR="00E51BCC" w:rsidRPr="00241D28" w:rsidRDefault="00E51BCC" w:rsidP="00C4389C">
            <w:pPr>
              <w:spacing w:after="0" w:line="240" w:lineRule="auto"/>
              <w:jc w:val="both"/>
              <w:rPr>
                <w:rFonts w:ascii="Times New Roman" w:eastAsia="Times New Roman" w:hAnsi="Times New Roman"/>
                <w:sz w:val="12"/>
                <w:szCs w:val="12"/>
                <w:lang w:eastAsia="en-GB"/>
              </w:rPr>
            </w:pPr>
          </w:p>
        </w:tc>
      </w:tr>
      <w:tr w:rsidR="00E51BCC" w:rsidRPr="00E76DD9" w14:paraId="281B7E1F" w14:textId="77777777" w:rsidTr="00BB1E9A">
        <w:trPr>
          <w:trHeight w:val="21"/>
          <w:jc w:val="center"/>
        </w:trPr>
        <w:tc>
          <w:tcPr>
            <w:tcW w:w="15718" w:type="dxa"/>
            <w:gridSpan w:val="24"/>
            <w:tcBorders>
              <w:top w:val="nil"/>
              <w:left w:val="nil"/>
              <w:bottom w:val="nil"/>
              <w:right w:val="nil"/>
            </w:tcBorders>
            <w:shd w:val="clear" w:color="000000" w:fill="FFFFFF"/>
            <w:noWrap/>
            <w:vAlign w:val="center"/>
            <w:hideMark/>
          </w:tcPr>
          <w:p w14:paraId="3C4E6F9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p>
        </w:tc>
      </w:tr>
      <w:tr w:rsidR="00E51BCC" w:rsidRPr="0040676F" w14:paraId="0A8C98BE" w14:textId="77777777" w:rsidTr="00BB1E9A">
        <w:trPr>
          <w:trHeight w:val="21"/>
          <w:jc w:val="center"/>
        </w:trPr>
        <w:tc>
          <w:tcPr>
            <w:tcW w:w="523" w:type="dxa"/>
            <w:tcBorders>
              <w:top w:val="nil"/>
              <w:left w:val="nil"/>
              <w:bottom w:val="nil"/>
              <w:right w:val="nil"/>
            </w:tcBorders>
            <w:shd w:val="clear" w:color="000000" w:fill="FFFFFF"/>
            <w:noWrap/>
            <w:vAlign w:val="center"/>
          </w:tcPr>
          <w:p w14:paraId="41C240AE"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w:t>
            </w:r>
          </w:p>
        </w:tc>
        <w:tc>
          <w:tcPr>
            <w:tcW w:w="15195" w:type="dxa"/>
            <w:gridSpan w:val="23"/>
            <w:tcBorders>
              <w:top w:val="nil"/>
              <w:left w:val="nil"/>
              <w:bottom w:val="nil"/>
              <w:right w:val="nil"/>
            </w:tcBorders>
            <w:shd w:val="clear" w:color="000000" w:fill="FFFFFF"/>
            <w:noWrap/>
            <w:vAlign w:val="center"/>
          </w:tcPr>
          <w:p w14:paraId="54382FBF" w14:textId="77777777" w:rsidR="00E51BCC" w:rsidRPr="00241D28" w:rsidRDefault="00E51BCC" w:rsidP="00CC7F4F">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„Likutinis sektorius“ atitinkamai finansinei priemonei, t. y.</w:t>
            </w:r>
            <w:r w:rsidR="00CC7F4F">
              <w:rPr>
                <w:rFonts w:ascii="Times New Roman" w:eastAsia="Times New Roman" w:hAnsi="Times New Roman"/>
                <w:color w:val="000000"/>
                <w:sz w:val="12"/>
                <w:szCs w:val="12"/>
                <w:lang w:eastAsia="en-GB"/>
              </w:rPr>
              <w:t xml:space="preserve"> </w:t>
            </w:r>
            <w:r w:rsidRPr="00241D28">
              <w:rPr>
                <w:rFonts w:ascii="Times New Roman" w:eastAsia="Times New Roman" w:hAnsi="Times New Roman"/>
                <w:color w:val="000000"/>
                <w:sz w:val="12"/>
                <w:szCs w:val="12"/>
                <w:lang w:eastAsia="en-GB"/>
              </w:rPr>
              <w:t xml:space="preserve">duomenų šaltinis </w:t>
            </w:r>
            <w:r w:rsidR="00FD17F0" w:rsidRPr="00241D28">
              <w:rPr>
                <w:rFonts w:ascii="Times New Roman" w:eastAsia="Times New Roman" w:hAnsi="Times New Roman"/>
                <w:color w:val="000000"/>
                <w:sz w:val="12"/>
                <w:szCs w:val="12"/>
                <w:lang w:eastAsia="en-GB"/>
              </w:rPr>
              <w:t>egzistuoja</w:t>
            </w:r>
            <w:r w:rsidRPr="00241D28">
              <w:rPr>
                <w:rFonts w:ascii="Times New Roman" w:eastAsia="Times New Roman" w:hAnsi="Times New Roman"/>
                <w:color w:val="000000"/>
                <w:sz w:val="12"/>
                <w:szCs w:val="12"/>
                <w:lang w:eastAsia="en-GB"/>
              </w:rPr>
              <w:t xml:space="preserve">, bet </w:t>
            </w:r>
            <w:r w:rsidR="008C28B3" w:rsidRPr="00241D28">
              <w:rPr>
                <w:rFonts w:ascii="Times New Roman" w:eastAsia="Times New Roman" w:hAnsi="Times New Roman"/>
                <w:color w:val="000000"/>
                <w:sz w:val="12"/>
                <w:szCs w:val="12"/>
                <w:lang w:eastAsia="en-GB"/>
              </w:rPr>
              <w:t>turt</w:t>
            </w:r>
            <w:r w:rsidR="008C28B3">
              <w:rPr>
                <w:rFonts w:ascii="Times New Roman" w:eastAsia="Times New Roman" w:hAnsi="Times New Roman"/>
                <w:color w:val="000000"/>
                <w:sz w:val="12"/>
                <w:szCs w:val="12"/>
                <w:lang w:eastAsia="en-GB"/>
              </w:rPr>
              <w:t>o</w:t>
            </w:r>
            <w:r w:rsidR="008C28B3" w:rsidRPr="00241D28">
              <w:rPr>
                <w:rFonts w:ascii="Times New Roman" w:eastAsia="Times New Roman" w:hAnsi="Times New Roman"/>
                <w:color w:val="000000"/>
                <w:sz w:val="12"/>
                <w:szCs w:val="12"/>
                <w:lang w:eastAsia="en-GB"/>
              </w:rPr>
              <w:t xml:space="preserve"> ar įsipareigojim</w:t>
            </w:r>
            <w:r w:rsidR="008C28B3">
              <w:rPr>
                <w:rFonts w:ascii="Times New Roman" w:eastAsia="Times New Roman" w:hAnsi="Times New Roman"/>
                <w:color w:val="000000"/>
                <w:sz w:val="12"/>
                <w:szCs w:val="12"/>
                <w:lang w:eastAsia="en-GB"/>
              </w:rPr>
              <w:t>ų</w:t>
            </w:r>
            <w:r w:rsidR="008C28B3" w:rsidRPr="00241D28">
              <w:rPr>
                <w:rFonts w:ascii="Times New Roman" w:eastAsia="Times New Roman" w:hAnsi="Times New Roman"/>
                <w:color w:val="000000"/>
                <w:sz w:val="12"/>
                <w:szCs w:val="12"/>
                <w:lang w:eastAsia="en-GB"/>
              </w:rPr>
              <w:t xml:space="preserve"> </w:t>
            </w:r>
            <w:r w:rsidR="00FD17F0" w:rsidRPr="00241D28">
              <w:rPr>
                <w:rFonts w:ascii="Times New Roman" w:eastAsia="Times New Roman" w:hAnsi="Times New Roman"/>
                <w:color w:val="000000"/>
                <w:sz w:val="12"/>
                <w:szCs w:val="12"/>
                <w:lang w:eastAsia="en-GB"/>
              </w:rPr>
              <w:t xml:space="preserve">duomenys </w:t>
            </w:r>
            <w:r w:rsidR="00CC7F4F">
              <w:rPr>
                <w:rFonts w:ascii="Times New Roman" w:eastAsia="Times New Roman" w:hAnsi="Times New Roman"/>
                <w:color w:val="000000"/>
                <w:sz w:val="12"/>
                <w:szCs w:val="12"/>
                <w:lang w:eastAsia="en-GB"/>
              </w:rPr>
              <w:t xml:space="preserve">yra </w:t>
            </w:r>
            <w:r w:rsidR="00FD17F0" w:rsidRPr="00241D28">
              <w:rPr>
                <w:rFonts w:ascii="Times New Roman" w:eastAsia="Times New Roman" w:hAnsi="Times New Roman"/>
                <w:color w:val="000000"/>
                <w:sz w:val="12"/>
                <w:szCs w:val="12"/>
                <w:lang w:eastAsia="en-GB"/>
              </w:rPr>
              <w:t>koreguoti</w:t>
            </w:r>
            <w:r w:rsidRPr="00241D28">
              <w:rPr>
                <w:rFonts w:ascii="Times New Roman" w:eastAsia="Times New Roman" w:hAnsi="Times New Roman"/>
                <w:color w:val="000000"/>
                <w:sz w:val="12"/>
                <w:szCs w:val="12"/>
                <w:lang w:eastAsia="en-GB"/>
              </w:rPr>
              <w:t>, kad būtų horizontalus suderinamumas.</w:t>
            </w:r>
          </w:p>
        </w:tc>
      </w:tr>
      <w:tr w:rsidR="00E51BCC" w:rsidRPr="0033274B" w14:paraId="12EA8C28" w14:textId="77777777" w:rsidTr="00BB1E9A">
        <w:trPr>
          <w:trHeight w:val="21"/>
          <w:jc w:val="center"/>
        </w:trPr>
        <w:tc>
          <w:tcPr>
            <w:tcW w:w="15718" w:type="dxa"/>
            <w:gridSpan w:val="24"/>
            <w:tcBorders>
              <w:top w:val="nil"/>
              <w:left w:val="nil"/>
              <w:bottom w:val="nil"/>
              <w:right w:val="nil"/>
            </w:tcBorders>
            <w:shd w:val="clear" w:color="000000" w:fill="FFFFFF"/>
            <w:noWrap/>
            <w:vAlign w:val="center"/>
            <w:hideMark/>
          </w:tcPr>
          <w:p w14:paraId="4ECC6925"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Skirtingi ketvirtinių ar išankstinių duomenų šaltiniai:</w:t>
            </w:r>
          </w:p>
        </w:tc>
      </w:tr>
      <w:tr w:rsidR="00E51BCC" w:rsidRPr="0033274B" w14:paraId="74F76252" w14:textId="77777777" w:rsidTr="00BB1E9A">
        <w:trPr>
          <w:trHeight w:val="21"/>
          <w:jc w:val="center"/>
        </w:trPr>
        <w:tc>
          <w:tcPr>
            <w:tcW w:w="523" w:type="dxa"/>
            <w:tcBorders>
              <w:top w:val="nil"/>
              <w:left w:val="nil"/>
              <w:bottom w:val="nil"/>
              <w:right w:val="nil"/>
            </w:tcBorders>
            <w:shd w:val="clear" w:color="000000" w:fill="FFFFFF"/>
            <w:noWrap/>
            <w:vAlign w:val="center"/>
            <w:hideMark/>
          </w:tcPr>
          <w:p w14:paraId="30AA9EAC" w14:textId="1438DC28" w:rsidR="00FD17F0" w:rsidRPr="00241D28" w:rsidRDefault="00BB1E9A" w:rsidP="00C4389C">
            <w:pPr>
              <w:spacing w:after="0" w:line="240" w:lineRule="auto"/>
              <w:jc w:val="both"/>
              <w:rPr>
                <w:rFonts w:ascii="Times New Roman" w:eastAsia="Times New Roman" w:hAnsi="Times New Roman"/>
                <w:color w:val="000000"/>
                <w:sz w:val="12"/>
                <w:szCs w:val="12"/>
                <w:highlight w:val="yellow"/>
                <w:vertAlign w:val="superscript"/>
                <w:lang w:eastAsia="en-GB"/>
              </w:rPr>
            </w:pPr>
            <w:r>
              <w:rPr>
                <w:rFonts w:ascii="Times New Roman" w:eastAsia="Times New Roman" w:hAnsi="Times New Roman"/>
                <w:color w:val="000000"/>
                <w:sz w:val="12"/>
                <w:szCs w:val="12"/>
                <w:highlight w:val="yellow"/>
                <w:vertAlign w:val="superscript"/>
                <w:lang w:eastAsia="en-GB"/>
              </w:rPr>
              <w:t>1</w:t>
            </w:r>
          </w:p>
        </w:tc>
        <w:tc>
          <w:tcPr>
            <w:tcW w:w="15195" w:type="dxa"/>
            <w:gridSpan w:val="23"/>
            <w:tcBorders>
              <w:top w:val="nil"/>
              <w:left w:val="nil"/>
              <w:bottom w:val="nil"/>
              <w:right w:val="nil"/>
            </w:tcBorders>
            <w:shd w:val="clear" w:color="000000" w:fill="FFFFFF"/>
            <w:noWrap/>
            <w:vAlign w:val="center"/>
            <w:hideMark/>
          </w:tcPr>
          <w:p w14:paraId="422733B4" w14:textId="77777777" w:rsidR="00FD17F0" w:rsidRPr="00241D28" w:rsidRDefault="00FD17F0"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xml:space="preserve">Ketvirtinis statistinis tyrimas </w:t>
            </w:r>
            <w:r w:rsidR="00C4389C" w:rsidRPr="00241D28">
              <w:rPr>
                <w:rFonts w:ascii="Times New Roman" w:eastAsia="Times New Roman" w:hAnsi="Times New Roman"/>
                <w:color w:val="000000"/>
                <w:sz w:val="12"/>
                <w:szCs w:val="12"/>
                <w:lang w:eastAsia="en-GB"/>
              </w:rPr>
              <w:t>pagrįstas</w:t>
            </w:r>
            <w:r w:rsidRPr="00241D28">
              <w:rPr>
                <w:rFonts w:ascii="Times New Roman" w:eastAsia="Times New Roman" w:hAnsi="Times New Roman"/>
                <w:color w:val="000000"/>
                <w:sz w:val="12"/>
                <w:szCs w:val="12"/>
                <w:lang w:eastAsia="en-GB"/>
              </w:rPr>
              <w:t xml:space="preserve"> KFT balans</w:t>
            </w:r>
            <w:r w:rsidR="00C4389C" w:rsidRPr="00241D28">
              <w:rPr>
                <w:rFonts w:ascii="Times New Roman" w:eastAsia="Times New Roman" w:hAnsi="Times New Roman"/>
                <w:color w:val="000000"/>
                <w:sz w:val="12"/>
                <w:szCs w:val="12"/>
                <w:lang w:eastAsia="en-GB"/>
              </w:rPr>
              <w:t>ais</w:t>
            </w:r>
            <w:r w:rsidRPr="00241D28">
              <w:rPr>
                <w:rFonts w:ascii="Times New Roman" w:hAnsi="Times New Roman"/>
              </w:rPr>
              <w:t xml:space="preserve"> </w:t>
            </w:r>
            <w:r w:rsidRPr="00241D28">
              <w:rPr>
                <w:rFonts w:ascii="Times New Roman" w:eastAsia="Times New Roman" w:hAnsi="Times New Roman"/>
                <w:color w:val="000000"/>
                <w:sz w:val="12"/>
                <w:szCs w:val="12"/>
                <w:lang w:eastAsia="en-GB"/>
              </w:rPr>
              <w:t>(reprezentatyvi imtis apie 80 % KFT</w:t>
            </w:r>
            <w:r w:rsidR="008B4019" w:rsidRPr="00241D28">
              <w:rPr>
                <w:rFonts w:ascii="Times New Roman" w:eastAsia="Times New Roman" w:hAnsi="Times New Roman"/>
                <w:color w:val="000000"/>
                <w:sz w:val="12"/>
                <w:szCs w:val="12"/>
                <w:lang w:eastAsia="en-GB"/>
              </w:rPr>
              <w:t>)</w:t>
            </w:r>
            <w:r w:rsidRPr="00241D28">
              <w:rPr>
                <w:rFonts w:ascii="Times New Roman" w:eastAsia="Times New Roman" w:hAnsi="Times New Roman"/>
                <w:color w:val="000000"/>
                <w:sz w:val="12"/>
                <w:szCs w:val="12"/>
                <w:lang w:eastAsia="en-GB"/>
              </w:rPr>
              <w:t xml:space="preserve"> išplėsta</w:t>
            </w:r>
            <w:r w:rsidR="008B4019" w:rsidRPr="00241D28">
              <w:rPr>
                <w:rFonts w:ascii="Times New Roman" w:eastAsia="Times New Roman" w:hAnsi="Times New Roman"/>
                <w:color w:val="000000"/>
                <w:sz w:val="12"/>
                <w:szCs w:val="12"/>
                <w:lang w:eastAsia="en-GB"/>
              </w:rPr>
              <w:t>s</w:t>
            </w:r>
            <w:r w:rsidRPr="00241D28">
              <w:rPr>
                <w:rFonts w:ascii="Times New Roman" w:eastAsia="Times New Roman" w:hAnsi="Times New Roman"/>
                <w:color w:val="000000"/>
                <w:sz w:val="12"/>
                <w:szCs w:val="12"/>
                <w:lang w:eastAsia="en-GB"/>
              </w:rPr>
              <w:t xml:space="preserve"> iki metinės KFT apimties (galutiniai duomenys – 6 mėnesiai po ketvirtojo ketvirčio).</w:t>
            </w:r>
          </w:p>
        </w:tc>
      </w:tr>
      <w:tr w:rsidR="00E51BCC" w:rsidRPr="00E76DD9" w14:paraId="4861A08A" w14:textId="77777777" w:rsidTr="00BB1E9A">
        <w:trPr>
          <w:trHeight w:val="21"/>
          <w:jc w:val="center"/>
        </w:trPr>
        <w:tc>
          <w:tcPr>
            <w:tcW w:w="15718" w:type="dxa"/>
            <w:gridSpan w:val="24"/>
            <w:tcBorders>
              <w:top w:val="nil"/>
              <w:left w:val="nil"/>
              <w:bottom w:val="nil"/>
              <w:right w:val="nil"/>
            </w:tcBorders>
            <w:shd w:val="clear" w:color="000000" w:fill="FFFFFF"/>
            <w:noWrap/>
            <w:vAlign w:val="center"/>
            <w:hideMark/>
          </w:tcPr>
          <w:p w14:paraId="5183CD23"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Skirtingi duomenų šaltiniai ir (arba) sandorių koregavimas:</w:t>
            </w:r>
          </w:p>
        </w:tc>
      </w:tr>
      <w:tr w:rsidR="00E51BCC" w:rsidRPr="0033274B" w14:paraId="2D74ABEE" w14:textId="77777777" w:rsidTr="00BB1E9A">
        <w:trPr>
          <w:trHeight w:val="21"/>
          <w:jc w:val="center"/>
        </w:trPr>
        <w:tc>
          <w:tcPr>
            <w:tcW w:w="523" w:type="dxa"/>
            <w:tcBorders>
              <w:top w:val="nil"/>
              <w:left w:val="nil"/>
              <w:bottom w:val="nil"/>
              <w:right w:val="nil"/>
            </w:tcBorders>
            <w:shd w:val="clear" w:color="000000" w:fill="FFFFFF"/>
            <w:noWrap/>
            <w:vAlign w:val="center"/>
            <w:hideMark/>
          </w:tcPr>
          <w:p w14:paraId="6458AC64" w14:textId="77777777" w:rsidR="00E51BCC" w:rsidRPr="00241D28" w:rsidRDefault="00E51BCC"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w:t>
            </w:r>
          </w:p>
        </w:tc>
        <w:tc>
          <w:tcPr>
            <w:tcW w:w="15195" w:type="dxa"/>
            <w:gridSpan w:val="23"/>
            <w:tcBorders>
              <w:top w:val="nil"/>
              <w:left w:val="nil"/>
              <w:bottom w:val="nil"/>
              <w:right w:val="nil"/>
            </w:tcBorders>
            <w:shd w:val="clear" w:color="000000" w:fill="FFFFFF"/>
            <w:noWrap/>
            <w:vAlign w:val="center"/>
            <w:hideMark/>
          </w:tcPr>
          <w:p w14:paraId="38DA6580" w14:textId="77777777" w:rsidR="00E51BCC" w:rsidRPr="00241D28" w:rsidRDefault="00084888" w:rsidP="00C4389C">
            <w:pPr>
              <w:spacing w:after="0" w:line="240" w:lineRule="auto"/>
              <w:jc w:val="both"/>
              <w:rPr>
                <w:rFonts w:ascii="Times New Roman" w:eastAsia="Times New Roman" w:hAnsi="Times New Roman"/>
                <w:color w:val="000000"/>
                <w:sz w:val="12"/>
                <w:szCs w:val="12"/>
                <w:lang w:eastAsia="en-GB"/>
              </w:rPr>
            </w:pPr>
            <w:r w:rsidRPr="00241D28">
              <w:rPr>
                <w:rFonts w:ascii="Times New Roman" w:eastAsia="Times New Roman" w:hAnsi="Times New Roman"/>
                <w:color w:val="000000"/>
                <w:sz w:val="12"/>
                <w:szCs w:val="12"/>
                <w:lang w:eastAsia="en-GB"/>
              </w:rPr>
              <w:t xml:space="preserve">Sandoriai </w:t>
            </w:r>
            <w:r w:rsidR="00E51BCC" w:rsidRPr="00241D28">
              <w:rPr>
                <w:rFonts w:ascii="Times New Roman" w:eastAsia="Times New Roman" w:hAnsi="Times New Roman"/>
                <w:color w:val="000000"/>
                <w:sz w:val="12"/>
                <w:szCs w:val="12"/>
                <w:lang w:eastAsia="en-GB"/>
              </w:rPr>
              <w:t>iš dalies koreguojami, kad pagerėtų vertikalus suderinamumas su nefinansinių sąskaitų deficitu (pertekliumi) (B9).</w:t>
            </w:r>
          </w:p>
        </w:tc>
      </w:tr>
      <w:tr w:rsidR="008C28B3" w:rsidRPr="0033274B" w14:paraId="12FC42C2" w14:textId="77777777" w:rsidTr="00BB1E9A">
        <w:trPr>
          <w:trHeight w:val="21"/>
          <w:jc w:val="center"/>
        </w:trPr>
        <w:tc>
          <w:tcPr>
            <w:tcW w:w="15718" w:type="dxa"/>
            <w:gridSpan w:val="24"/>
            <w:tcBorders>
              <w:top w:val="nil"/>
              <w:left w:val="nil"/>
              <w:bottom w:val="nil"/>
              <w:right w:val="nil"/>
            </w:tcBorders>
            <w:shd w:val="clear" w:color="000000" w:fill="FFFFFF"/>
            <w:noWrap/>
            <w:vAlign w:val="center"/>
          </w:tcPr>
          <w:p w14:paraId="6FF4876D" w14:textId="77777777" w:rsidR="008C28B3" w:rsidRPr="00241D28" w:rsidRDefault="008C28B3" w:rsidP="008C28B3">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Kiti duomenų šaltinių ar įverčių paaiškinimai</w:t>
            </w:r>
          </w:p>
        </w:tc>
      </w:tr>
      <w:tr w:rsidR="008C28B3" w:rsidRPr="00E76DD9" w14:paraId="77B57A39" w14:textId="77777777" w:rsidTr="00BB1E9A">
        <w:trPr>
          <w:trHeight w:val="21"/>
          <w:jc w:val="center"/>
        </w:trPr>
        <w:tc>
          <w:tcPr>
            <w:tcW w:w="523" w:type="dxa"/>
            <w:tcBorders>
              <w:top w:val="nil"/>
              <w:left w:val="nil"/>
              <w:bottom w:val="nil"/>
              <w:right w:val="nil"/>
            </w:tcBorders>
            <w:shd w:val="clear" w:color="000000" w:fill="FFFFFF"/>
            <w:noWrap/>
            <w:vAlign w:val="center"/>
          </w:tcPr>
          <w:p w14:paraId="7299BE27" w14:textId="77777777" w:rsidR="008C28B3" w:rsidRPr="00241D28" w:rsidRDefault="008C28B3" w:rsidP="00C4389C">
            <w:pPr>
              <w:spacing w:after="0" w:line="240" w:lineRule="auto"/>
              <w:jc w:val="both"/>
              <w:rPr>
                <w:rFonts w:ascii="Times New Roman" w:eastAsia="Times New Roman" w:hAnsi="Times New Roman"/>
                <w:color w:val="000000"/>
                <w:sz w:val="12"/>
                <w:szCs w:val="12"/>
                <w:lang w:eastAsia="en-GB"/>
              </w:rPr>
            </w:pPr>
            <w:r w:rsidRPr="008C28B3">
              <w:rPr>
                <w:rFonts w:ascii="Times New Roman" w:eastAsia="Times New Roman" w:hAnsi="Times New Roman"/>
                <w:color w:val="000000"/>
                <w:sz w:val="12"/>
                <w:szCs w:val="12"/>
                <w:lang w:eastAsia="en-GB"/>
              </w:rPr>
              <w:t>^^</w:t>
            </w:r>
          </w:p>
        </w:tc>
        <w:tc>
          <w:tcPr>
            <w:tcW w:w="15195" w:type="dxa"/>
            <w:gridSpan w:val="23"/>
            <w:tcBorders>
              <w:top w:val="nil"/>
              <w:left w:val="nil"/>
              <w:bottom w:val="nil"/>
              <w:right w:val="nil"/>
            </w:tcBorders>
            <w:shd w:val="clear" w:color="000000" w:fill="FFFFFF"/>
            <w:noWrap/>
            <w:vAlign w:val="center"/>
          </w:tcPr>
          <w:p w14:paraId="0F20C86B" w14:textId="77777777" w:rsidR="008C28B3" w:rsidRPr="00241D28" w:rsidRDefault="008C28B3" w:rsidP="001D175F">
            <w:pPr>
              <w:spacing w:after="0" w:line="240" w:lineRule="auto"/>
              <w:jc w:val="both"/>
              <w:rPr>
                <w:rFonts w:ascii="Times New Roman" w:eastAsia="Times New Roman" w:hAnsi="Times New Roman"/>
                <w:color w:val="000000"/>
                <w:sz w:val="12"/>
                <w:szCs w:val="12"/>
                <w:lang w:eastAsia="en-GB"/>
              </w:rPr>
            </w:pPr>
            <w:r>
              <w:rPr>
                <w:rFonts w:ascii="Times New Roman" w:eastAsia="Times New Roman" w:hAnsi="Times New Roman"/>
                <w:color w:val="000000"/>
                <w:sz w:val="12"/>
                <w:szCs w:val="12"/>
                <w:lang w:eastAsia="en-GB"/>
              </w:rPr>
              <w:t>Žr. B.2.3</w:t>
            </w:r>
            <w:r w:rsidR="001D175F">
              <w:rPr>
                <w:rFonts w:ascii="Times New Roman" w:eastAsia="Times New Roman" w:hAnsi="Times New Roman"/>
                <w:color w:val="000000"/>
                <w:sz w:val="12"/>
                <w:szCs w:val="12"/>
                <w:lang w:eastAsia="en-GB"/>
              </w:rPr>
              <w:t>.</w:t>
            </w:r>
          </w:p>
        </w:tc>
      </w:tr>
    </w:tbl>
    <w:p w14:paraId="081ED63F" w14:textId="77777777" w:rsidR="00956ADB" w:rsidRPr="008C28B3" w:rsidRDefault="00956ADB" w:rsidP="00C4389C">
      <w:pPr>
        <w:jc w:val="both"/>
        <w:rPr>
          <w:rFonts w:ascii="Times New Roman" w:hAnsi="Times New Roman"/>
          <w:sz w:val="12"/>
          <w:szCs w:val="12"/>
        </w:rPr>
        <w:sectPr w:rsidR="00956ADB" w:rsidRPr="008C28B3" w:rsidSect="00D74FEE">
          <w:footerReference w:type="default" r:id="rId33"/>
          <w:type w:val="evenPage"/>
          <w:pgSz w:w="16838" w:h="11906" w:orient="landscape" w:code="9"/>
          <w:pgMar w:top="510" w:right="1440" w:bottom="567" w:left="1440" w:header="709" w:footer="709" w:gutter="0"/>
          <w:cols w:space="708"/>
          <w:docGrid w:linePitch="360"/>
        </w:sectPr>
      </w:pPr>
    </w:p>
    <w:bookmarkEnd w:id="23"/>
    <w:bookmarkEnd w:id="24"/>
    <w:bookmarkEnd w:id="5"/>
    <w:p w14:paraId="4426FED4" w14:textId="77777777" w:rsidR="00D74FEE" w:rsidRPr="00150971" w:rsidRDefault="00D74FEE" w:rsidP="00EE7140">
      <w:pPr>
        <w:pStyle w:val="CMFBText"/>
        <w:spacing w:before="0" w:after="0"/>
      </w:pPr>
    </w:p>
    <w:sectPr w:rsidR="00D74FEE" w:rsidRPr="00150971" w:rsidSect="00351AF7">
      <w:pgSz w:w="11906" w:h="16838" w:code="9"/>
      <w:pgMar w:top="1440" w:right="1440" w:bottom="1440"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81080" w14:textId="77777777" w:rsidR="006561E2" w:rsidRDefault="006561E2" w:rsidP="005657E0">
      <w:pPr>
        <w:spacing w:after="0" w:line="240" w:lineRule="auto"/>
      </w:pPr>
      <w:r>
        <w:separator/>
      </w:r>
    </w:p>
  </w:endnote>
  <w:endnote w:type="continuationSeparator" w:id="0">
    <w:p w14:paraId="7781ECCC" w14:textId="77777777" w:rsidR="006561E2" w:rsidRDefault="006561E2" w:rsidP="005657E0">
      <w:pPr>
        <w:spacing w:after="0" w:line="240" w:lineRule="auto"/>
      </w:pPr>
      <w:r>
        <w:continuationSeparator/>
      </w:r>
    </w:p>
  </w:endnote>
  <w:endnote w:type="continuationNotice" w:id="1">
    <w:p w14:paraId="460C5261" w14:textId="77777777" w:rsidR="006561E2" w:rsidRDefault="006561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E104" w14:textId="77777777" w:rsidR="002B366B" w:rsidRDefault="002B36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E6DCD" w14:textId="77777777" w:rsidR="006561E2" w:rsidRDefault="006561E2" w:rsidP="00165857">
    <w:pPr>
      <w:pStyle w:val="CMFBfooter"/>
      <w:tabs>
        <w:tab w:val="clear" w:pos="9026"/>
        <w:tab w:val="right" w:pos="8931"/>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740E1" w14:textId="77777777" w:rsidR="002B366B" w:rsidRDefault="002B36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D02F" w14:textId="77777777" w:rsidR="006561E2" w:rsidRDefault="006561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73641" w14:textId="77777777" w:rsidR="006561E2" w:rsidRDefault="006561E2" w:rsidP="005657E0">
      <w:pPr>
        <w:spacing w:after="0" w:line="240" w:lineRule="auto"/>
      </w:pPr>
      <w:r>
        <w:separator/>
      </w:r>
    </w:p>
  </w:footnote>
  <w:footnote w:type="continuationSeparator" w:id="0">
    <w:p w14:paraId="17F94C5A" w14:textId="77777777" w:rsidR="006561E2" w:rsidRDefault="006561E2" w:rsidP="005657E0">
      <w:pPr>
        <w:spacing w:after="0" w:line="240" w:lineRule="auto"/>
      </w:pPr>
      <w:r>
        <w:continuationSeparator/>
      </w:r>
    </w:p>
  </w:footnote>
  <w:footnote w:type="continuationNotice" w:id="1">
    <w:p w14:paraId="6DA8E1F6" w14:textId="77777777" w:rsidR="006561E2" w:rsidRDefault="006561E2">
      <w:pPr>
        <w:spacing w:after="0" w:line="240" w:lineRule="auto"/>
      </w:pPr>
    </w:p>
  </w:footnote>
  <w:footnote w:id="2">
    <w:p w14:paraId="149D9CF9" w14:textId="77777777" w:rsidR="006561E2" w:rsidRPr="00480DDF" w:rsidRDefault="006561E2" w:rsidP="00F42070">
      <w:pPr>
        <w:pStyle w:val="FootnoteText"/>
        <w:spacing w:after="0"/>
      </w:pPr>
      <w:r>
        <w:rPr>
          <w:rStyle w:val="FootnoteReference"/>
        </w:rPr>
        <w:footnoteRef/>
      </w:r>
      <w:r w:rsidRPr="00480DDF">
        <w:rPr>
          <w:lang w:val="es-ES_tradnl"/>
        </w:rPr>
        <w:t xml:space="preserve"> </w:t>
      </w:r>
      <w:r>
        <w:t>Parengta pagal vienodą Pinigų, finansų ir mokėjimų balanso statistikos komiteto šabloną.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7FE17" w14:textId="77777777" w:rsidR="002B366B" w:rsidRDefault="002B36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A0905" w14:textId="77777777" w:rsidR="002B366B" w:rsidRDefault="002B36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F6905" w14:textId="77777777" w:rsidR="002B366B" w:rsidRDefault="002B36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F561B"/>
    <w:multiLevelType w:val="multilevel"/>
    <w:tmpl w:val="B6742DC4"/>
    <w:numStyleLink w:val="CMFBTGreportnumbering"/>
  </w:abstractNum>
  <w:abstractNum w:abstractNumId="1" w15:restartNumberingAfterBreak="0">
    <w:nsid w:val="16AC0717"/>
    <w:multiLevelType w:val="multilevel"/>
    <w:tmpl w:val="66B6D3F4"/>
    <w:styleLink w:val="CMFBsectionnumbering"/>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righ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right"/>
      <w:pPr>
        <w:ind w:left="851" w:hanging="851"/>
      </w:pPr>
      <w:rPr>
        <w:rFonts w:hint="default"/>
      </w:rPr>
    </w:lvl>
  </w:abstractNum>
  <w:abstractNum w:abstractNumId="2" w15:restartNumberingAfterBreak="0">
    <w:nsid w:val="1AD464DA"/>
    <w:multiLevelType w:val="multilevel"/>
    <w:tmpl w:val="D5AE30B2"/>
    <w:styleLink w:val="Style1"/>
    <w:lvl w:ilvl="0">
      <w:start w:val="1"/>
      <w:numFmt w:val="upperLetter"/>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Restart w:val="0"/>
      <w:lvlText w:val="(%4)"/>
      <w:lvlJc w:val="left"/>
      <w:pPr>
        <w:ind w:left="567" w:hanging="567"/>
      </w:pPr>
      <w:rPr>
        <w:rFonts w:hint="default"/>
        <w:i w:val="0"/>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3" w15:restartNumberingAfterBreak="0">
    <w:nsid w:val="20A210BB"/>
    <w:multiLevelType w:val="hybridMultilevel"/>
    <w:tmpl w:val="625619D0"/>
    <w:lvl w:ilvl="0" w:tplc="A74A30B6">
      <w:numFmt w:val="bullet"/>
      <w:pStyle w:val="CMFBBullet"/>
      <w:lvlText w:val="–"/>
      <w:lvlJc w:val="left"/>
      <w:pPr>
        <w:ind w:left="719" w:hanging="360"/>
      </w:pPr>
      <w:rPr>
        <w:rFonts w:ascii="Times New Roman" w:eastAsia="Times New Roman" w:hAnsi="Times New Roman" w:cs="Times New Roman" w:hint="default"/>
        <w:color w:val="auto"/>
        <w:sz w:val="18"/>
        <w:szCs w:val="18"/>
      </w:rPr>
    </w:lvl>
    <w:lvl w:ilvl="1" w:tplc="08090003">
      <w:start w:val="1"/>
      <w:numFmt w:val="bullet"/>
      <w:lvlText w:val="o"/>
      <w:lvlJc w:val="left"/>
      <w:pPr>
        <w:ind w:left="1439" w:hanging="360"/>
      </w:pPr>
      <w:rPr>
        <w:rFonts w:ascii="Courier New" w:hAnsi="Courier New" w:cs="Courier New" w:hint="default"/>
      </w:rPr>
    </w:lvl>
    <w:lvl w:ilvl="2" w:tplc="08090005">
      <w:start w:val="1"/>
      <w:numFmt w:val="bullet"/>
      <w:lvlText w:val=""/>
      <w:lvlJc w:val="left"/>
      <w:pPr>
        <w:ind w:left="2159" w:hanging="360"/>
      </w:pPr>
      <w:rPr>
        <w:rFonts w:ascii="Wingdings" w:hAnsi="Wingdings" w:hint="default"/>
      </w:rPr>
    </w:lvl>
    <w:lvl w:ilvl="3" w:tplc="08090001">
      <w:start w:val="1"/>
      <w:numFmt w:val="bullet"/>
      <w:lvlText w:val=""/>
      <w:lvlJc w:val="left"/>
      <w:pPr>
        <w:ind w:left="2879" w:hanging="360"/>
      </w:pPr>
      <w:rPr>
        <w:rFonts w:ascii="Symbol" w:hAnsi="Symbol" w:hint="default"/>
      </w:rPr>
    </w:lvl>
    <w:lvl w:ilvl="4" w:tplc="08090003">
      <w:start w:val="1"/>
      <w:numFmt w:val="bullet"/>
      <w:lvlText w:val="o"/>
      <w:lvlJc w:val="left"/>
      <w:pPr>
        <w:ind w:left="3599" w:hanging="360"/>
      </w:pPr>
      <w:rPr>
        <w:rFonts w:ascii="Courier New" w:hAnsi="Courier New" w:cs="Courier New" w:hint="default"/>
      </w:rPr>
    </w:lvl>
    <w:lvl w:ilvl="5" w:tplc="08090005">
      <w:start w:val="1"/>
      <w:numFmt w:val="bullet"/>
      <w:lvlText w:val=""/>
      <w:lvlJc w:val="left"/>
      <w:pPr>
        <w:ind w:left="4319" w:hanging="360"/>
      </w:pPr>
      <w:rPr>
        <w:rFonts w:ascii="Wingdings" w:hAnsi="Wingdings" w:hint="default"/>
      </w:rPr>
    </w:lvl>
    <w:lvl w:ilvl="6" w:tplc="08090001">
      <w:start w:val="1"/>
      <w:numFmt w:val="bullet"/>
      <w:lvlText w:val=""/>
      <w:lvlJc w:val="left"/>
      <w:pPr>
        <w:ind w:left="5039" w:hanging="360"/>
      </w:pPr>
      <w:rPr>
        <w:rFonts w:ascii="Symbol" w:hAnsi="Symbol" w:hint="default"/>
      </w:rPr>
    </w:lvl>
    <w:lvl w:ilvl="7" w:tplc="08090003">
      <w:start w:val="1"/>
      <w:numFmt w:val="bullet"/>
      <w:lvlText w:val="o"/>
      <w:lvlJc w:val="left"/>
      <w:pPr>
        <w:ind w:left="5759" w:hanging="360"/>
      </w:pPr>
      <w:rPr>
        <w:rFonts w:ascii="Courier New" w:hAnsi="Courier New" w:cs="Courier New" w:hint="default"/>
      </w:rPr>
    </w:lvl>
    <w:lvl w:ilvl="8" w:tplc="08090005">
      <w:start w:val="1"/>
      <w:numFmt w:val="bullet"/>
      <w:lvlText w:val=""/>
      <w:lvlJc w:val="left"/>
      <w:pPr>
        <w:ind w:left="6479" w:hanging="360"/>
      </w:pPr>
      <w:rPr>
        <w:rFonts w:ascii="Wingdings" w:hAnsi="Wingdings" w:hint="default"/>
      </w:rPr>
    </w:lvl>
  </w:abstractNum>
  <w:abstractNum w:abstractNumId="4" w15:restartNumberingAfterBreak="0">
    <w:nsid w:val="2524111E"/>
    <w:multiLevelType w:val="multilevel"/>
    <w:tmpl w:val="B6742DC4"/>
    <w:styleLink w:val="CMFBTGreportnumbering"/>
    <w:lvl w:ilvl="0">
      <w:start w:val="1"/>
      <w:numFmt w:val="upperRoman"/>
      <w:pStyle w:val="Heading1"/>
      <w:lvlText w:val="%1."/>
      <w:lvlJc w:val="left"/>
      <w:pPr>
        <w:ind w:left="851" w:hanging="851"/>
      </w:pPr>
      <w:rPr>
        <w:rFonts w:hint="default"/>
      </w:rPr>
    </w:lvl>
    <w:lvl w:ilvl="1">
      <w:start w:val="1"/>
      <w:numFmt w:val="upperLetter"/>
      <w:pStyle w:val="Heading2"/>
      <w:lvlText w:val="%2."/>
      <w:lvlJc w:val="left"/>
      <w:pPr>
        <w:ind w:left="851" w:hanging="851"/>
      </w:pPr>
      <w:rPr>
        <w:rFonts w:hint="default"/>
      </w:rPr>
    </w:lvl>
    <w:lvl w:ilvl="2">
      <w:start w:val="1"/>
      <w:numFmt w:val="decimal"/>
      <w:pStyle w:val="Heading3"/>
      <w:lvlText w:val="%2.%3"/>
      <w:lvlJc w:val="left"/>
      <w:pPr>
        <w:ind w:left="2978" w:hanging="851"/>
      </w:pPr>
      <w:rPr>
        <w:rFonts w:hint="default"/>
      </w:rPr>
    </w:lvl>
    <w:lvl w:ilvl="3">
      <w:start w:val="1"/>
      <w:numFmt w:val="decimal"/>
      <w:pStyle w:val="Heading4"/>
      <w:lvlText w:val="%2.%3.%4"/>
      <w:lvlJc w:val="left"/>
      <w:pPr>
        <w:ind w:left="851" w:hanging="851"/>
      </w:pPr>
      <w:rPr>
        <w:rFonts w:hint="default"/>
        <w:i w:val="0"/>
      </w:rPr>
    </w:lvl>
    <w:lvl w:ilvl="4">
      <w:start w:val="1"/>
      <w:numFmt w:val="decimal"/>
      <w:pStyle w:val="Heading5"/>
      <w:lvlText w:val="%2.%3.%4.%5"/>
      <w:lvlJc w:val="left"/>
      <w:pPr>
        <w:ind w:left="851" w:hanging="851"/>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5" w15:restartNumberingAfterBreak="0">
    <w:nsid w:val="4CF3483D"/>
    <w:multiLevelType w:val="multilevel"/>
    <w:tmpl w:val="2962EB7A"/>
    <w:styleLink w:val="List0"/>
    <w:lvl w:ilvl="0">
      <w:start w:val="1"/>
      <w:numFmt w:val="bullet"/>
      <w:lvlText w:val="•"/>
      <w:lvlJc w:val="left"/>
      <w:pPr>
        <w:ind w:left="0" w:firstLine="0"/>
      </w:pPr>
      <w:rPr>
        <w:position w:val="0"/>
      </w:rPr>
    </w:lvl>
    <w:lvl w:ilvl="1">
      <w:start w:val="1"/>
      <w:numFmt w:val="bullet"/>
      <w:lvlText w:val="o"/>
      <w:lvlJc w:val="left"/>
      <w:pPr>
        <w:ind w:left="0" w:firstLine="0"/>
      </w:pPr>
      <w:rPr>
        <w:position w:val="0"/>
      </w:rPr>
    </w:lvl>
    <w:lvl w:ilvl="2">
      <w:start w:val="1"/>
      <w:numFmt w:val="bullet"/>
      <w:lvlText w:val="▪"/>
      <w:lvlJc w:val="left"/>
      <w:pPr>
        <w:ind w:left="0" w:firstLine="0"/>
      </w:pPr>
      <w:rPr>
        <w:position w:val="0"/>
      </w:rPr>
    </w:lvl>
    <w:lvl w:ilvl="3">
      <w:start w:val="1"/>
      <w:numFmt w:val="bullet"/>
      <w:lvlText w:val="•"/>
      <w:lvlJc w:val="left"/>
      <w:pPr>
        <w:ind w:left="0" w:firstLine="0"/>
      </w:pPr>
      <w:rPr>
        <w:position w:val="0"/>
      </w:rPr>
    </w:lvl>
    <w:lvl w:ilvl="4">
      <w:start w:val="1"/>
      <w:numFmt w:val="bullet"/>
      <w:lvlText w:val="o"/>
      <w:lvlJc w:val="left"/>
      <w:pPr>
        <w:ind w:left="0" w:firstLine="0"/>
      </w:pPr>
      <w:rPr>
        <w:position w:val="0"/>
      </w:rPr>
    </w:lvl>
    <w:lvl w:ilvl="5">
      <w:start w:val="1"/>
      <w:numFmt w:val="bullet"/>
      <w:lvlText w:val="▪"/>
      <w:lvlJc w:val="left"/>
      <w:pPr>
        <w:ind w:left="0" w:firstLine="0"/>
      </w:pPr>
      <w:rPr>
        <w:position w:val="0"/>
      </w:rPr>
    </w:lvl>
    <w:lvl w:ilvl="6">
      <w:start w:val="1"/>
      <w:numFmt w:val="bullet"/>
      <w:lvlText w:val="•"/>
      <w:lvlJc w:val="left"/>
      <w:pPr>
        <w:ind w:left="0" w:firstLine="0"/>
      </w:pPr>
      <w:rPr>
        <w:position w:val="0"/>
      </w:rPr>
    </w:lvl>
    <w:lvl w:ilvl="7">
      <w:start w:val="1"/>
      <w:numFmt w:val="bullet"/>
      <w:lvlText w:val="o"/>
      <w:lvlJc w:val="left"/>
      <w:pPr>
        <w:ind w:left="0" w:firstLine="0"/>
      </w:pPr>
      <w:rPr>
        <w:position w:val="0"/>
      </w:rPr>
    </w:lvl>
    <w:lvl w:ilvl="8">
      <w:start w:val="1"/>
      <w:numFmt w:val="bullet"/>
      <w:lvlText w:val="▪"/>
      <w:lvlJc w:val="left"/>
      <w:pPr>
        <w:ind w:left="0" w:firstLine="0"/>
      </w:pPr>
      <w:rPr>
        <w:position w:val="0"/>
      </w:rPr>
    </w:lvl>
  </w:abstractNum>
  <w:abstractNum w:abstractNumId="6" w15:restartNumberingAfterBreak="0">
    <w:nsid w:val="52E84EE6"/>
    <w:multiLevelType w:val="multilevel"/>
    <w:tmpl w:val="B6742DC4"/>
    <w:numStyleLink w:val="CMFBTGreportnumbering"/>
  </w:abstractNum>
  <w:abstractNum w:abstractNumId="7" w15:restartNumberingAfterBreak="0">
    <w:nsid w:val="54E94483"/>
    <w:multiLevelType w:val="multilevel"/>
    <w:tmpl w:val="B6742DC4"/>
    <w:numStyleLink w:val="CMFBTGreportnumbering"/>
  </w:abstractNum>
  <w:abstractNum w:abstractNumId="8" w15:restartNumberingAfterBreak="0">
    <w:nsid w:val="653E461B"/>
    <w:multiLevelType w:val="hybridMultilevel"/>
    <w:tmpl w:val="F3FED6CC"/>
    <w:lvl w:ilvl="0" w:tplc="0C26830C">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75A416A"/>
    <w:multiLevelType w:val="hybridMultilevel"/>
    <w:tmpl w:val="7D28FB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8A55F35"/>
    <w:multiLevelType w:val="multilevel"/>
    <w:tmpl w:val="668EF652"/>
    <w:lvl w:ilvl="0">
      <w:start w:val="1"/>
      <w:numFmt w:val="upperRoman"/>
      <w:pStyle w:val="CMFBTitle"/>
      <w:lvlText w:val="%1."/>
      <w:lvlJc w:val="right"/>
      <w:pPr>
        <w:ind w:left="720" w:hanging="360"/>
      </w:pPr>
      <w:rPr>
        <w:b/>
      </w:rPr>
    </w:lvl>
    <w:lvl w:ilvl="1">
      <w:start w:val="1"/>
      <w:numFmt w:val="bullet"/>
      <w:lvlText w:val=""/>
      <w:lvlJc w:val="left"/>
      <w:pPr>
        <w:ind w:left="900" w:hanging="54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4C86523"/>
    <w:multiLevelType w:val="hybridMultilevel"/>
    <w:tmpl w:val="5D78576C"/>
    <w:lvl w:ilvl="0" w:tplc="5CA214EC">
      <w:start w:val="1"/>
      <w:numFmt w:val="decimal"/>
      <w:pStyle w:val="CMFBnumberedtext"/>
      <w:lvlText w:val="%1."/>
      <w:lvlJc w:val="left"/>
      <w:pPr>
        <w:ind w:left="478"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C0C34C5"/>
    <w:multiLevelType w:val="hybridMultilevel"/>
    <w:tmpl w:val="F3D0F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0045375">
    <w:abstractNumId w:val="5"/>
  </w:num>
  <w:num w:numId="2" w16cid:durableId="846361232">
    <w:abstractNumId w:val="12"/>
  </w:num>
  <w:num w:numId="3" w16cid:durableId="561595652">
    <w:abstractNumId w:val="11"/>
  </w:num>
  <w:num w:numId="4" w16cid:durableId="2080858985">
    <w:abstractNumId w:val="3"/>
  </w:num>
  <w:num w:numId="5" w16cid:durableId="285738412">
    <w:abstractNumId w:val="10"/>
  </w:num>
  <w:num w:numId="6" w16cid:durableId="1272128516">
    <w:abstractNumId w:val="2"/>
  </w:num>
  <w:num w:numId="7" w16cid:durableId="1144473296">
    <w:abstractNumId w:val="4"/>
  </w:num>
  <w:num w:numId="8" w16cid:durableId="1204906440">
    <w:abstractNumId w:val="11"/>
    <w:lvlOverride w:ilvl="0">
      <w:startOverride w:val="1"/>
    </w:lvlOverride>
  </w:num>
  <w:num w:numId="9" w16cid:durableId="1929145870">
    <w:abstractNumId w:val="1"/>
  </w:num>
  <w:num w:numId="10" w16cid:durableId="1602950141">
    <w:abstractNumId w:val="11"/>
    <w:lvlOverride w:ilvl="0">
      <w:startOverride w:val="1"/>
    </w:lvlOverride>
  </w:num>
  <w:num w:numId="11" w16cid:durableId="1078939086">
    <w:abstractNumId w:val="11"/>
    <w:lvlOverride w:ilvl="0">
      <w:startOverride w:val="1"/>
    </w:lvlOverride>
  </w:num>
  <w:num w:numId="12" w16cid:durableId="186021810">
    <w:abstractNumId w:val="7"/>
  </w:num>
  <w:num w:numId="13" w16cid:durableId="1138109633">
    <w:abstractNumId w:val="0"/>
  </w:num>
  <w:num w:numId="14" w16cid:durableId="46228880">
    <w:abstractNumId w:val="6"/>
  </w:num>
  <w:num w:numId="15" w16cid:durableId="457379603">
    <w:abstractNumId w:val="3"/>
  </w:num>
  <w:num w:numId="16" w16cid:durableId="5284167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27815541">
    <w:abstractNumId w:val="9"/>
  </w:num>
  <w:num w:numId="18" w16cid:durableId="1134788577">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283"/>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55ACC"/>
    <w:rsid w:val="000042FD"/>
    <w:rsid w:val="000052D8"/>
    <w:rsid w:val="0000534C"/>
    <w:rsid w:val="00007F3C"/>
    <w:rsid w:val="00010AE5"/>
    <w:rsid w:val="00012F85"/>
    <w:rsid w:val="00013804"/>
    <w:rsid w:val="00015708"/>
    <w:rsid w:val="00017582"/>
    <w:rsid w:val="00025E07"/>
    <w:rsid w:val="000262C1"/>
    <w:rsid w:val="0003004A"/>
    <w:rsid w:val="0003339F"/>
    <w:rsid w:val="000338E4"/>
    <w:rsid w:val="00040ACB"/>
    <w:rsid w:val="00041428"/>
    <w:rsid w:val="00041595"/>
    <w:rsid w:val="000419B2"/>
    <w:rsid w:val="00043D5A"/>
    <w:rsid w:val="000456E6"/>
    <w:rsid w:val="00045977"/>
    <w:rsid w:val="00047A27"/>
    <w:rsid w:val="00060A0E"/>
    <w:rsid w:val="000666AF"/>
    <w:rsid w:val="00066716"/>
    <w:rsid w:val="000714E0"/>
    <w:rsid w:val="0007224C"/>
    <w:rsid w:val="00072683"/>
    <w:rsid w:val="00075A67"/>
    <w:rsid w:val="000762F3"/>
    <w:rsid w:val="00077AD4"/>
    <w:rsid w:val="00084888"/>
    <w:rsid w:val="00090226"/>
    <w:rsid w:val="0009129D"/>
    <w:rsid w:val="00095FCC"/>
    <w:rsid w:val="000968E4"/>
    <w:rsid w:val="000A0785"/>
    <w:rsid w:val="000A3941"/>
    <w:rsid w:val="000A523A"/>
    <w:rsid w:val="000A53C9"/>
    <w:rsid w:val="000B055C"/>
    <w:rsid w:val="000B1380"/>
    <w:rsid w:val="000B251A"/>
    <w:rsid w:val="000B25CA"/>
    <w:rsid w:val="000B2BA9"/>
    <w:rsid w:val="000B3B4F"/>
    <w:rsid w:val="000C0DA3"/>
    <w:rsid w:val="000C58C3"/>
    <w:rsid w:val="000D4F96"/>
    <w:rsid w:val="000D628F"/>
    <w:rsid w:val="000D67B3"/>
    <w:rsid w:val="000E48C0"/>
    <w:rsid w:val="000F2430"/>
    <w:rsid w:val="000F2C41"/>
    <w:rsid w:val="000F4CE4"/>
    <w:rsid w:val="000F5BB3"/>
    <w:rsid w:val="000F6F25"/>
    <w:rsid w:val="00101A4B"/>
    <w:rsid w:val="00105656"/>
    <w:rsid w:val="00107A52"/>
    <w:rsid w:val="00112DC3"/>
    <w:rsid w:val="00121EA3"/>
    <w:rsid w:val="00124A66"/>
    <w:rsid w:val="00127195"/>
    <w:rsid w:val="00127F23"/>
    <w:rsid w:val="0013238F"/>
    <w:rsid w:val="0013408D"/>
    <w:rsid w:val="00134D0B"/>
    <w:rsid w:val="00137EF2"/>
    <w:rsid w:val="0014159A"/>
    <w:rsid w:val="00145F05"/>
    <w:rsid w:val="00147286"/>
    <w:rsid w:val="00150971"/>
    <w:rsid w:val="0015239A"/>
    <w:rsid w:val="0015488C"/>
    <w:rsid w:val="001549D7"/>
    <w:rsid w:val="001637CF"/>
    <w:rsid w:val="00165857"/>
    <w:rsid w:val="00166435"/>
    <w:rsid w:val="00172754"/>
    <w:rsid w:val="00181342"/>
    <w:rsid w:val="00184BE1"/>
    <w:rsid w:val="0019181F"/>
    <w:rsid w:val="00191C43"/>
    <w:rsid w:val="00194018"/>
    <w:rsid w:val="00196997"/>
    <w:rsid w:val="001A0866"/>
    <w:rsid w:val="001A41EA"/>
    <w:rsid w:val="001A6095"/>
    <w:rsid w:val="001B2B86"/>
    <w:rsid w:val="001B6366"/>
    <w:rsid w:val="001B68B6"/>
    <w:rsid w:val="001C093D"/>
    <w:rsid w:val="001C39F9"/>
    <w:rsid w:val="001C5A3B"/>
    <w:rsid w:val="001C5D9A"/>
    <w:rsid w:val="001C70F1"/>
    <w:rsid w:val="001D175F"/>
    <w:rsid w:val="001E1B51"/>
    <w:rsid w:val="001E379A"/>
    <w:rsid w:val="001E51DB"/>
    <w:rsid w:val="001E5497"/>
    <w:rsid w:val="001E60B0"/>
    <w:rsid w:val="001E6903"/>
    <w:rsid w:val="001E6967"/>
    <w:rsid w:val="001F0FD7"/>
    <w:rsid w:val="001F6A8F"/>
    <w:rsid w:val="00201356"/>
    <w:rsid w:val="00202617"/>
    <w:rsid w:val="00204609"/>
    <w:rsid w:val="00204890"/>
    <w:rsid w:val="002074A3"/>
    <w:rsid w:val="002109C0"/>
    <w:rsid w:val="00210B67"/>
    <w:rsid w:val="0021105B"/>
    <w:rsid w:val="0021140C"/>
    <w:rsid w:val="00216C65"/>
    <w:rsid w:val="00217671"/>
    <w:rsid w:val="002212E4"/>
    <w:rsid w:val="002219B9"/>
    <w:rsid w:val="00221F13"/>
    <w:rsid w:val="00222D45"/>
    <w:rsid w:val="002253BC"/>
    <w:rsid w:val="00236886"/>
    <w:rsid w:val="00240265"/>
    <w:rsid w:val="00241811"/>
    <w:rsid w:val="00241D28"/>
    <w:rsid w:val="00244DD8"/>
    <w:rsid w:val="002462CD"/>
    <w:rsid w:val="002535B3"/>
    <w:rsid w:val="00254AA8"/>
    <w:rsid w:val="002559DF"/>
    <w:rsid w:val="002564BC"/>
    <w:rsid w:val="00261430"/>
    <w:rsid w:val="002638E4"/>
    <w:rsid w:val="00263DF0"/>
    <w:rsid w:val="0026455E"/>
    <w:rsid w:val="00270926"/>
    <w:rsid w:val="002724D8"/>
    <w:rsid w:val="00277BE1"/>
    <w:rsid w:val="00277E48"/>
    <w:rsid w:val="0028075C"/>
    <w:rsid w:val="00280E9E"/>
    <w:rsid w:val="00292922"/>
    <w:rsid w:val="00296526"/>
    <w:rsid w:val="002977F3"/>
    <w:rsid w:val="002A6461"/>
    <w:rsid w:val="002B1DC4"/>
    <w:rsid w:val="002B366B"/>
    <w:rsid w:val="002C06BC"/>
    <w:rsid w:val="002C0F98"/>
    <w:rsid w:val="002C7E0A"/>
    <w:rsid w:val="002E059C"/>
    <w:rsid w:val="002E1020"/>
    <w:rsid w:val="002E222A"/>
    <w:rsid w:val="002E378B"/>
    <w:rsid w:val="002E4EB6"/>
    <w:rsid w:val="002F18D0"/>
    <w:rsid w:val="002F264F"/>
    <w:rsid w:val="002F7AFB"/>
    <w:rsid w:val="00300C83"/>
    <w:rsid w:val="003036FD"/>
    <w:rsid w:val="00304304"/>
    <w:rsid w:val="003046F6"/>
    <w:rsid w:val="00305DA0"/>
    <w:rsid w:val="0031322E"/>
    <w:rsid w:val="003140C3"/>
    <w:rsid w:val="00315A96"/>
    <w:rsid w:val="00316148"/>
    <w:rsid w:val="003211EE"/>
    <w:rsid w:val="00321342"/>
    <w:rsid w:val="0032138E"/>
    <w:rsid w:val="003214A4"/>
    <w:rsid w:val="003220D3"/>
    <w:rsid w:val="0032265A"/>
    <w:rsid w:val="0033274B"/>
    <w:rsid w:val="003333D2"/>
    <w:rsid w:val="00334BC0"/>
    <w:rsid w:val="003376FB"/>
    <w:rsid w:val="00337739"/>
    <w:rsid w:val="0034006F"/>
    <w:rsid w:val="00342131"/>
    <w:rsid w:val="003442AC"/>
    <w:rsid w:val="00346B21"/>
    <w:rsid w:val="00351AF7"/>
    <w:rsid w:val="003540FB"/>
    <w:rsid w:val="00355FFE"/>
    <w:rsid w:val="00356F3E"/>
    <w:rsid w:val="00357FFD"/>
    <w:rsid w:val="00361541"/>
    <w:rsid w:val="00362108"/>
    <w:rsid w:val="00365234"/>
    <w:rsid w:val="0037135C"/>
    <w:rsid w:val="00381480"/>
    <w:rsid w:val="003814AF"/>
    <w:rsid w:val="00385FC3"/>
    <w:rsid w:val="00387CE2"/>
    <w:rsid w:val="0039574C"/>
    <w:rsid w:val="003979FC"/>
    <w:rsid w:val="00397A8E"/>
    <w:rsid w:val="003A08EA"/>
    <w:rsid w:val="003A1BE7"/>
    <w:rsid w:val="003A387B"/>
    <w:rsid w:val="003B2397"/>
    <w:rsid w:val="003B291D"/>
    <w:rsid w:val="003B59C9"/>
    <w:rsid w:val="003C0232"/>
    <w:rsid w:val="003C1DC7"/>
    <w:rsid w:val="003C2735"/>
    <w:rsid w:val="003C302F"/>
    <w:rsid w:val="003C4C56"/>
    <w:rsid w:val="003C501A"/>
    <w:rsid w:val="003C562C"/>
    <w:rsid w:val="003C59A7"/>
    <w:rsid w:val="003D15EB"/>
    <w:rsid w:val="003E4EDE"/>
    <w:rsid w:val="003E5521"/>
    <w:rsid w:val="003E770C"/>
    <w:rsid w:val="003F145E"/>
    <w:rsid w:val="003F5948"/>
    <w:rsid w:val="00403021"/>
    <w:rsid w:val="00403EC6"/>
    <w:rsid w:val="0040550E"/>
    <w:rsid w:val="00405BFD"/>
    <w:rsid w:val="0040676F"/>
    <w:rsid w:val="00406C8A"/>
    <w:rsid w:val="00411004"/>
    <w:rsid w:val="00414090"/>
    <w:rsid w:val="00415077"/>
    <w:rsid w:val="00421663"/>
    <w:rsid w:val="00431005"/>
    <w:rsid w:val="00433D81"/>
    <w:rsid w:val="004360E7"/>
    <w:rsid w:val="00440589"/>
    <w:rsid w:val="00440B55"/>
    <w:rsid w:val="00441678"/>
    <w:rsid w:val="0045055B"/>
    <w:rsid w:val="004517ED"/>
    <w:rsid w:val="00452115"/>
    <w:rsid w:val="00455441"/>
    <w:rsid w:val="004572F5"/>
    <w:rsid w:val="0045768F"/>
    <w:rsid w:val="00462A24"/>
    <w:rsid w:val="004631F1"/>
    <w:rsid w:val="00463405"/>
    <w:rsid w:val="00463450"/>
    <w:rsid w:val="00465E5B"/>
    <w:rsid w:val="00466C88"/>
    <w:rsid w:val="00467048"/>
    <w:rsid w:val="00474243"/>
    <w:rsid w:val="0047792E"/>
    <w:rsid w:val="00480DDF"/>
    <w:rsid w:val="00480DFC"/>
    <w:rsid w:val="00482489"/>
    <w:rsid w:val="004904A6"/>
    <w:rsid w:val="004942D6"/>
    <w:rsid w:val="00496A10"/>
    <w:rsid w:val="004A07CD"/>
    <w:rsid w:val="004A14D1"/>
    <w:rsid w:val="004A3B4B"/>
    <w:rsid w:val="004A4320"/>
    <w:rsid w:val="004A45C3"/>
    <w:rsid w:val="004A612C"/>
    <w:rsid w:val="004B149D"/>
    <w:rsid w:val="004B4ABA"/>
    <w:rsid w:val="004C1D06"/>
    <w:rsid w:val="004C3711"/>
    <w:rsid w:val="004C6AE5"/>
    <w:rsid w:val="004D19E5"/>
    <w:rsid w:val="004D433E"/>
    <w:rsid w:val="004D4E66"/>
    <w:rsid w:val="004D5C19"/>
    <w:rsid w:val="004E12D5"/>
    <w:rsid w:val="004E3F50"/>
    <w:rsid w:val="004E698D"/>
    <w:rsid w:val="004F3671"/>
    <w:rsid w:val="004F4332"/>
    <w:rsid w:val="004F76FD"/>
    <w:rsid w:val="0050150B"/>
    <w:rsid w:val="00514E31"/>
    <w:rsid w:val="00515DE9"/>
    <w:rsid w:val="00516A5F"/>
    <w:rsid w:val="00520CB5"/>
    <w:rsid w:val="00521780"/>
    <w:rsid w:val="00523F32"/>
    <w:rsid w:val="005249F2"/>
    <w:rsid w:val="00524D86"/>
    <w:rsid w:val="0052593B"/>
    <w:rsid w:val="00525951"/>
    <w:rsid w:val="005356A8"/>
    <w:rsid w:val="00540BEB"/>
    <w:rsid w:val="00543B75"/>
    <w:rsid w:val="00543EBE"/>
    <w:rsid w:val="00546BFC"/>
    <w:rsid w:val="00553BB0"/>
    <w:rsid w:val="0055538E"/>
    <w:rsid w:val="00556C0A"/>
    <w:rsid w:val="00557FDF"/>
    <w:rsid w:val="00560A8E"/>
    <w:rsid w:val="00560D1E"/>
    <w:rsid w:val="00562A16"/>
    <w:rsid w:val="00563074"/>
    <w:rsid w:val="00564A0B"/>
    <w:rsid w:val="00564D31"/>
    <w:rsid w:val="00564D63"/>
    <w:rsid w:val="005657E0"/>
    <w:rsid w:val="00570750"/>
    <w:rsid w:val="005712D2"/>
    <w:rsid w:val="00581B0C"/>
    <w:rsid w:val="00585BF1"/>
    <w:rsid w:val="00586D36"/>
    <w:rsid w:val="00591F1C"/>
    <w:rsid w:val="00592B34"/>
    <w:rsid w:val="00595C31"/>
    <w:rsid w:val="005A354F"/>
    <w:rsid w:val="005A5BFF"/>
    <w:rsid w:val="005A5FA3"/>
    <w:rsid w:val="005B1946"/>
    <w:rsid w:val="005B1B32"/>
    <w:rsid w:val="005B2962"/>
    <w:rsid w:val="005B5587"/>
    <w:rsid w:val="005B7691"/>
    <w:rsid w:val="005C1018"/>
    <w:rsid w:val="005C12EA"/>
    <w:rsid w:val="005C7943"/>
    <w:rsid w:val="005D1B15"/>
    <w:rsid w:val="005D1B5B"/>
    <w:rsid w:val="005D3B0D"/>
    <w:rsid w:val="005D44C8"/>
    <w:rsid w:val="005D5369"/>
    <w:rsid w:val="005D6954"/>
    <w:rsid w:val="005D70F9"/>
    <w:rsid w:val="005D79A5"/>
    <w:rsid w:val="005D7A6A"/>
    <w:rsid w:val="005E46ED"/>
    <w:rsid w:val="005E5DC8"/>
    <w:rsid w:val="005E7DB7"/>
    <w:rsid w:val="005F6060"/>
    <w:rsid w:val="005F703F"/>
    <w:rsid w:val="005F75D3"/>
    <w:rsid w:val="00600AF1"/>
    <w:rsid w:val="0060127F"/>
    <w:rsid w:val="006052B1"/>
    <w:rsid w:val="00606125"/>
    <w:rsid w:val="00606FF4"/>
    <w:rsid w:val="00610083"/>
    <w:rsid w:val="00610A16"/>
    <w:rsid w:val="00611122"/>
    <w:rsid w:val="00611FAD"/>
    <w:rsid w:val="00616D83"/>
    <w:rsid w:val="00622ABD"/>
    <w:rsid w:val="00622C84"/>
    <w:rsid w:val="00623500"/>
    <w:rsid w:val="00626A16"/>
    <w:rsid w:val="00633EBE"/>
    <w:rsid w:val="006348C2"/>
    <w:rsid w:val="00634A61"/>
    <w:rsid w:val="00636794"/>
    <w:rsid w:val="00637308"/>
    <w:rsid w:val="00640AC3"/>
    <w:rsid w:val="00644623"/>
    <w:rsid w:val="006453DD"/>
    <w:rsid w:val="0065072E"/>
    <w:rsid w:val="006528AC"/>
    <w:rsid w:val="00653FBA"/>
    <w:rsid w:val="006558FE"/>
    <w:rsid w:val="00655ACC"/>
    <w:rsid w:val="006561E2"/>
    <w:rsid w:val="00656F70"/>
    <w:rsid w:val="00656FF0"/>
    <w:rsid w:val="00657DBA"/>
    <w:rsid w:val="00661621"/>
    <w:rsid w:val="0066298B"/>
    <w:rsid w:val="006629D4"/>
    <w:rsid w:val="006707A4"/>
    <w:rsid w:val="006742C2"/>
    <w:rsid w:val="006816F4"/>
    <w:rsid w:val="00682C15"/>
    <w:rsid w:val="00685CE0"/>
    <w:rsid w:val="00686E05"/>
    <w:rsid w:val="00687824"/>
    <w:rsid w:val="00692883"/>
    <w:rsid w:val="006952BF"/>
    <w:rsid w:val="00697223"/>
    <w:rsid w:val="006A05DC"/>
    <w:rsid w:val="006A16E0"/>
    <w:rsid w:val="006A2DAA"/>
    <w:rsid w:val="006A5527"/>
    <w:rsid w:val="006B047D"/>
    <w:rsid w:val="006B41D7"/>
    <w:rsid w:val="006C3274"/>
    <w:rsid w:val="006C4EB8"/>
    <w:rsid w:val="006D1336"/>
    <w:rsid w:val="006D17FF"/>
    <w:rsid w:val="006E4572"/>
    <w:rsid w:val="006E75BC"/>
    <w:rsid w:val="006F015E"/>
    <w:rsid w:val="006F1892"/>
    <w:rsid w:val="006F4D56"/>
    <w:rsid w:val="006F6D55"/>
    <w:rsid w:val="006F77E9"/>
    <w:rsid w:val="00701EAE"/>
    <w:rsid w:val="007039FF"/>
    <w:rsid w:val="007055BF"/>
    <w:rsid w:val="00710A9A"/>
    <w:rsid w:val="0071283A"/>
    <w:rsid w:val="00712C0A"/>
    <w:rsid w:val="00717E2C"/>
    <w:rsid w:val="00721639"/>
    <w:rsid w:val="007245DE"/>
    <w:rsid w:val="007309B6"/>
    <w:rsid w:val="00734253"/>
    <w:rsid w:val="007342F8"/>
    <w:rsid w:val="007347F3"/>
    <w:rsid w:val="007363F8"/>
    <w:rsid w:val="0074068F"/>
    <w:rsid w:val="00740C48"/>
    <w:rsid w:val="007467D9"/>
    <w:rsid w:val="0074682C"/>
    <w:rsid w:val="007471BA"/>
    <w:rsid w:val="00753E92"/>
    <w:rsid w:val="00754152"/>
    <w:rsid w:val="00754BE9"/>
    <w:rsid w:val="00755A1B"/>
    <w:rsid w:val="00755DF5"/>
    <w:rsid w:val="00756781"/>
    <w:rsid w:val="00757D6E"/>
    <w:rsid w:val="007602E4"/>
    <w:rsid w:val="00761042"/>
    <w:rsid w:val="0076320E"/>
    <w:rsid w:val="007674CB"/>
    <w:rsid w:val="00770AD0"/>
    <w:rsid w:val="007745CA"/>
    <w:rsid w:val="00774F52"/>
    <w:rsid w:val="0078426F"/>
    <w:rsid w:val="00784F1A"/>
    <w:rsid w:val="00785883"/>
    <w:rsid w:val="007860F6"/>
    <w:rsid w:val="0078620E"/>
    <w:rsid w:val="007901DF"/>
    <w:rsid w:val="007908EA"/>
    <w:rsid w:val="00791F62"/>
    <w:rsid w:val="007952F2"/>
    <w:rsid w:val="007A5F50"/>
    <w:rsid w:val="007A6B7E"/>
    <w:rsid w:val="007B054B"/>
    <w:rsid w:val="007B2D00"/>
    <w:rsid w:val="007B639B"/>
    <w:rsid w:val="007B69DD"/>
    <w:rsid w:val="007C0068"/>
    <w:rsid w:val="007C0763"/>
    <w:rsid w:val="007C2AC7"/>
    <w:rsid w:val="007C6DB8"/>
    <w:rsid w:val="007D3110"/>
    <w:rsid w:val="007D3315"/>
    <w:rsid w:val="007E0E95"/>
    <w:rsid w:val="007E24CF"/>
    <w:rsid w:val="007F09D9"/>
    <w:rsid w:val="007F329B"/>
    <w:rsid w:val="007F3C0F"/>
    <w:rsid w:val="00800C36"/>
    <w:rsid w:val="00801D78"/>
    <w:rsid w:val="008040A2"/>
    <w:rsid w:val="00805C77"/>
    <w:rsid w:val="00811C37"/>
    <w:rsid w:val="0081364D"/>
    <w:rsid w:val="00814908"/>
    <w:rsid w:val="00815587"/>
    <w:rsid w:val="00816F71"/>
    <w:rsid w:val="008207E9"/>
    <w:rsid w:val="008223B5"/>
    <w:rsid w:val="008242BA"/>
    <w:rsid w:val="008261C8"/>
    <w:rsid w:val="008316B6"/>
    <w:rsid w:val="00832589"/>
    <w:rsid w:val="00833172"/>
    <w:rsid w:val="00837F9D"/>
    <w:rsid w:val="00842F82"/>
    <w:rsid w:val="00842F8A"/>
    <w:rsid w:val="00843E61"/>
    <w:rsid w:val="0084407C"/>
    <w:rsid w:val="0084600E"/>
    <w:rsid w:val="0084636A"/>
    <w:rsid w:val="00850AD6"/>
    <w:rsid w:val="00852A04"/>
    <w:rsid w:val="00854367"/>
    <w:rsid w:val="00854780"/>
    <w:rsid w:val="00854F47"/>
    <w:rsid w:val="008572B2"/>
    <w:rsid w:val="0086012D"/>
    <w:rsid w:val="008601C6"/>
    <w:rsid w:val="00862C6F"/>
    <w:rsid w:val="00866385"/>
    <w:rsid w:val="0087209C"/>
    <w:rsid w:val="00872AC3"/>
    <w:rsid w:val="00872C4E"/>
    <w:rsid w:val="0087300C"/>
    <w:rsid w:val="00873AE2"/>
    <w:rsid w:val="00874C9A"/>
    <w:rsid w:val="008771CE"/>
    <w:rsid w:val="00886EBD"/>
    <w:rsid w:val="00887225"/>
    <w:rsid w:val="00894E11"/>
    <w:rsid w:val="00895B5F"/>
    <w:rsid w:val="0089776A"/>
    <w:rsid w:val="008A0E71"/>
    <w:rsid w:val="008A1708"/>
    <w:rsid w:val="008A2902"/>
    <w:rsid w:val="008A3339"/>
    <w:rsid w:val="008A6F49"/>
    <w:rsid w:val="008B3CBA"/>
    <w:rsid w:val="008B4019"/>
    <w:rsid w:val="008B4FD5"/>
    <w:rsid w:val="008B6505"/>
    <w:rsid w:val="008B6FB1"/>
    <w:rsid w:val="008B7D11"/>
    <w:rsid w:val="008C28B3"/>
    <w:rsid w:val="008C2EAF"/>
    <w:rsid w:val="008D1663"/>
    <w:rsid w:val="008D1E18"/>
    <w:rsid w:val="008D3892"/>
    <w:rsid w:val="008D3C26"/>
    <w:rsid w:val="008D52E3"/>
    <w:rsid w:val="008D7BE7"/>
    <w:rsid w:val="008E25B2"/>
    <w:rsid w:val="008E636C"/>
    <w:rsid w:val="008E76F7"/>
    <w:rsid w:val="008E77BE"/>
    <w:rsid w:val="008F084F"/>
    <w:rsid w:val="008F1111"/>
    <w:rsid w:val="008F2D02"/>
    <w:rsid w:val="008F37E9"/>
    <w:rsid w:val="00900523"/>
    <w:rsid w:val="00900815"/>
    <w:rsid w:val="00902CD4"/>
    <w:rsid w:val="009064D4"/>
    <w:rsid w:val="00907508"/>
    <w:rsid w:val="00914E29"/>
    <w:rsid w:val="009219E4"/>
    <w:rsid w:val="009241AF"/>
    <w:rsid w:val="00927A69"/>
    <w:rsid w:val="00933C86"/>
    <w:rsid w:val="00934076"/>
    <w:rsid w:val="00940D06"/>
    <w:rsid w:val="00941589"/>
    <w:rsid w:val="009426BF"/>
    <w:rsid w:val="00943C6A"/>
    <w:rsid w:val="00954F8E"/>
    <w:rsid w:val="0095614C"/>
    <w:rsid w:val="00956ADB"/>
    <w:rsid w:val="00956B0E"/>
    <w:rsid w:val="00961637"/>
    <w:rsid w:val="00962A9D"/>
    <w:rsid w:val="00963105"/>
    <w:rsid w:val="00966B8B"/>
    <w:rsid w:val="00967B37"/>
    <w:rsid w:val="00977EAB"/>
    <w:rsid w:val="00983918"/>
    <w:rsid w:val="009906E2"/>
    <w:rsid w:val="009908EB"/>
    <w:rsid w:val="0099161D"/>
    <w:rsid w:val="00991C4B"/>
    <w:rsid w:val="009968E4"/>
    <w:rsid w:val="00997BD2"/>
    <w:rsid w:val="009A1BD5"/>
    <w:rsid w:val="009A1C75"/>
    <w:rsid w:val="009A53E9"/>
    <w:rsid w:val="009A54DD"/>
    <w:rsid w:val="009A5FCD"/>
    <w:rsid w:val="009A60A5"/>
    <w:rsid w:val="009B0164"/>
    <w:rsid w:val="009B0C65"/>
    <w:rsid w:val="009B340B"/>
    <w:rsid w:val="009C4349"/>
    <w:rsid w:val="009C5B17"/>
    <w:rsid w:val="009C69C4"/>
    <w:rsid w:val="009C73EF"/>
    <w:rsid w:val="009D10B1"/>
    <w:rsid w:val="009D226B"/>
    <w:rsid w:val="009D517E"/>
    <w:rsid w:val="009D629A"/>
    <w:rsid w:val="009E159A"/>
    <w:rsid w:val="009E504D"/>
    <w:rsid w:val="009E6A78"/>
    <w:rsid w:val="009F08D9"/>
    <w:rsid w:val="00A003D4"/>
    <w:rsid w:val="00A01EF4"/>
    <w:rsid w:val="00A06E52"/>
    <w:rsid w:val="00A23CE4"/>
    <w:rsid w:val="00A25CF4"/>
    <w:rsid w:val="00A26CFD"/>
    <w:rsid w:val="00A3431D"/>
    <w:rsid w:val="00A36A37"/>
    <w:rsid w:val="00A405A0"/>
    <w:rsid w:val="00A445D9"/>
    <w:rsid w:val="00A44D88"/>
    <w:rsid w:val="00A51023"/>
    <w:rsid w:val="00A57AE8"/>
    <w:rsid w:val="00A61711"/>
    <w:rsid w:val="00A664BD"/>
    <w:rsid w:val="00A677FC"/>
    <w:rsid w:val="00A71D28"/>
    <w:rsid w:val="00A7335A"/>
    <w:rsid w:val="00A74414"/>
    <w:rsid w:val="00A76C03"/>
    <w:rsid w:val="00A76D38"/>
    <w:rsid w:val="00A76EB4"/>
    <w:rsid w:val="00A84EB4"/>
    <w:rsid w:val="00A86E5F"/>
    <w:rsid w:val="00A86FFE"/>
    <w:rsid w:val="00A871DA"/>
    <w:rsid w:val="00A91815"/>
    <w:rsid w:val="00A931FB"/>
    <w:rsid w:val="00A97842"/>
    <w:rsid w:val="00AA0A85"/>
    <w:rsid w:val="00AA1B7E"/>
    <w:rsid w:val="00AA25A2"/>
    <w:rsid w:val="00AB2A55"/>
    <w:rsid w:val="00AB3DDF"/>
    <w:rsid w:val="00AB4BFC"/>
    <w:rsid w:val="00AC305D"/>
    <w:rsid w:val="00AC56F4"/>
    <w:rsid w:val="00AC6D88"/>
    <w:rsid w:val="00AD04CA"/>
    <w:rsid w:val="00AE3B1C"/>
    <w:rsid w:val="00AE3D30"/>
    <w:rsid w:val="00AE564F"/>
    <w:rsid w:val="00AE6526"/>
    <w:rsid w:val="00AE7D18"/>
    <w:rsid w:val="00AF5687"/>
    <w:rsid w:val="00B02034"/>
    <w:rsid w:val="00B04900"/>
    <w:rsid w:val="00B12ED8"/>
    <w:rsid w:val="00B12EFB"/>
    <w:rsid w:val="00B130E5"/>
    <w:rsid w:val="00B1397D"/>
    <w:rsid w:val="00B13D48"/>
    <w:rsid w:val="00B15654"/>
    <w:rsid w:val="00B212F3"/>
    <w:rsid w:val="00B2200D"/>
    <w:rsid w:val="00B24040"/>
    <w:rsid w:val="00B24D09"/>
    <w:rsid w:val="00B250DC"/>
    <w:rsid w:val="00B25147"/>
    <w:rsid w:val="00B27550"/>
    <w:rsid w:val="00B35C15"/>
    <w:rsid w:val="00B36B5D"/>
    <w:rsid w:val="00B37C3C"/>
    <w:rsid w:val="00B409E4"/>
    <w:rsid w:val="00B41C14"/>
    <w:rsid w:val="00B42277"/>
    <w:rsid w:val="00B449E2"/>
    <w:rsid w:val="00B4549C"/>
    <w:rsid w:val="00B4606A"/>
    <w:rsid w:val="00B47F1D"/>
    <w:rsid w:val="00B52228"/>
    <w:rsid w:val="00B527F4"/>
    <w:rsid w:val="00B61A1B"/>
    <w:rsid w:val="00B63B56"/>
    <w:rsid w:val="00B65A38"/>
    <w:rsid w:val="00B66D83"/>
    <w:rsid w:val="00B67304"/>
    <w:rsid w:val="00B721E0"/>
    <w:rsid w:val="00B72F24"/>
    <w:rsid w:val="00B76A35"/>
    <w:rsid w:val="00B802E5"/>
    <w:rsid w:val="00B8215C"/>
    <w:rsid w:val="00B831EF"/>
    <w:rsid w:val="00B85866"/>
    <w:rsid w:val="00B92D7E"/>
    <w:rsid w:val="00B96190"/>
    <w:rsid w:val="00B96993"/>
    <w:rsid w:val="00B969D9"/>
    <w:rsid w:val="00BA015E"/>
    <w:rsid w:val="00BA0F53"/>
    <w:rsid w:val="00BA43F7"/>
    <w:rsid w:val="00BA5BFF"/>
    <w:rsid w:val="00BA6D5A"/>
    <w:rsid w:val="00BB108B"/>
    <w:rsid w:val="00BB1E9A"/>
    <w:rsid w:val="00BB400E"/>
    <w:rsid w:val="00BB7EE6"/>
    <w:rsid w:val="00BB7F8A"/>
    <w:rsid w:val="00BC2C69"/>
    <w:rsid w:val="00BC39B6"/>
    <w:rsid w:val="00BC3F70"/>
    <w:rsid w:val="00BC6B4B"/>
    <w:rsid w:val="00BC799C"/>
    <w:rsid w:val="00BD17B5"/>
    <w:rsid w:val="00BD2BC1"/>
    <w:rsid w:val="00BD2C8D"/>
    <w:rsid w:val="00BD4D0E"/>
    <w:rsid w:val="00BE10DA"/>
    <w:rsid w:val="00BE2CF7"/>
    <w:rsid w:val="00BE3344"/>
    <w:rsid w:val="00BE3A12"/>
    <w:rsid w:val="00BE5098"/>
    <w:rsid w:val="00BE53C2"/>
    <w:rsid w:val="00BF01B5"/>
    <w:rsid w:val="00BF21E3"/>
    <w:rsid w:val="00BF3419"/>
    <w:rsid w:val="00C02D18"/>
    <w:rsid w:val="00C034C4"/>
    <w:rsid w:val="00C048EC"/>
    <w:rsid w:val="00C060B0"/>
    <w:rsid w:val="00C11817"/>
    <w:rsid w:val="00C15E33"/>
    <w:rsid w:val="00C24B0A"/>
    <w:rsid w:val="00C267ED"/>
    <w:rsid w:val="00C33713"/>
    <w:rsid w:val="00C35111"/>
    <w:rsid w:val="00C4389C"/>
    <w:rsid w:val="00C45A87"/>
    <w:rsid w:val="00C45FC1"/>
    <w:rsid w:val="00C53BF2"/>
    <w:rsid w:val="00C54FA4"/>
    <w:rsid w:val="00C60846"/>
    <w:rsid w:val="00C60CAB"/>
    <w:rsid w:val="00C62BB8"/>
    <w:rsid w:val="00C63CD9"/>
    <w:rsid w:val="00C63D13"/>
    <w:rsid w:val="00C65AB5"/>
    <w:rsid w:val="00C71B38"/>
    <w:rsid w:val="00C731EF"/>
    <w:rsid w:val="00C73D1C"/>
    <w:rsid w:val="00C74079"/>
    <w:rsid w:val="00C749F3"/>
    <w:rsid w:val="00C83204"/>
    <w:rsid w:val="00C83C72"/>
    <w:rsid w:val="00C920D8"/>
    <w:rsid w:val="00C92E4C"/>
    <w:rsid w:val="00C97710"/>
    <w:rsid w:val="00CA0D39"/>
    <w:rsid w:val="00CA3FF3"/>
    <w:rsid w:val="00CA5AD2"/>
    <w:rsid w:val="00CA6799"/>
    <w:rsid w:val="00CB104F"/>
    <w:rsid w:val="00CB2017"/>
    <w:rsid w:val="00CB2E19"/>
    <w:rsid w:val="00CB34C3"/>
    <w:rsid w:val="00CB4752"/>
    <w:rsid w:val="00CB6197"/>
    <w:rsid w:val="00CB7D59"/>
    <w:rsid w:val="00CC458B"/>
    <w:rsid w:val="00CC6E76"/>
    <w:rsid w:val="00CC7F4F"/>
    <w:rsid w:val="00CD24D1"/>
    <w:rsid w:val="00CD499A"/>
    <w:rsid w:val="00CD5D94"/>
    <w:rsid w:val="00CD6E2B"/>
    <w:rsid w:val="00CD744C"/>
    <w:rsid w:val="00CE353C"/>
    <w:rsid w:val="00CE380E"/>
    <w:rsid w:val="00CE7562"/>
    <w:rsid w:val="00CF036B"/>
    <w:rsid w:val="00CF1AEE"/>
    <w:rsid w:val="00CF279B"/>
    <w:rsid w:val="00CF394A"/>
    <w:rsid w:val="00D02F1E"/>
    <w:rsid w:val="00D02F72"/>
    <w:rsid w:val="00D034C3"/>
    <w:rsid w:val="00D04CC6"/>
    <w:rsid w:val="00D05D06"/>
    <w:rsid w:val="00D11E17"/>
    <w:rsid w:val="00D11E36"/>
    <w:rsid w:val="00D14926"/>
    <w:rsid w:val="00D14E8D"/>
    <w:rsid w:val="00D227A9"/>
    <w:rsid w:val="00D237BA"/>
    <w:rsid w:val="00D307E9"/>
    <w:rsid w:val="00D30ED5"/>
    <w:rsid w:val="00D318C8"/>
    <w:rsid w:val="00D34910"/>
    <w:rsid w:val="00D357A0"/>
    <w:rsid w:val="00D4259C"/>
    <w:rsid w:val="00D44F7A"/>
    <w:rsid w:val="00D4763F"/>
    <w:rsid w:val="00D56B16"/>
    <w:rsid w:val="00D57BD8"/>
    <w:rsid w:val="00D630F5"/>
    <w:rsid w:val="00D6766D"/>
    <w:rsid w:val="00D70192"/>
    <w:rsid w:val="00D70C7E"/>
    <w:rsid w:val="00D74FEE"/>
    <w:rsid w:val="00D80E17"/>
    <w:rsid w:val="00D80EA3"/>
    <w:rsid w:val="00D82236"/>
    <w:rsid w:val="00D841A0"/>
    <w:rsid w:val="00D8705D"/>
    <w:rsid w:val="00D9128C"/>
    <w:rsid w:val="00D92524"/>
    <w:rsid w:val="00D96E1A"/>
    <w:rsid w:val="00D97297"/>
    <w:rsid w:val="00D979D3"/>
    <w:rsid w:val="00DA095A"/>
    <w:rsid w:val="00DA7017"/>
    <w:rsid w:val="00DB0504"/>
    <w:rsid w:val="00DB34D4"/>
    <w:rsid w:val="00DB6F72"/>
    <w:rsid w:val="00DC0EE7"/>
    <w:rsid w:val="00DC5C6F"/>
    <w:rsid w:val="00DC5C96"/>
    <w:rsid w:val="00DD0CAA"/>
    <w:rsid w:val="00DD3188"/>
    <w:rsid w:val="00DD3CFF"/>
    <w:rsid w:val="00DD4230"/>
    <w:rsid w:val="00DD47E3"/>
    <w:rsid w:val="00DD5DEF"/>
    <w:rsid w:val="00DE14B6"/>
    <w:rsid w:val="00DE255A"/>
    <w:rsid w:val="00DF0529"/>
    <w:rsid w:val="00DF0F0A"/>
    <w:rsid w:val="00DF11BE"/>
    <w:rsid w:val="00DF2A9E"/>
    <w:rsid w:val="00DF3BC6"/>
    <w:rsid w:val="00DF3CC7"/>
    <w:rsid w:val="00DF41D5"/>
    <w:rsid w:val="00DF4DE0"/>
    <w:rsid w:val="00DF6105"/>
    <w:rsid w:val="00DF6E7D"/>
    <w:rsid w:val="00E01BE6"/>
    <w:rsid w:val="00E03598"/>
    <w:rsid w:val="00E11057"/>
    <w:rsid w:val="00E11B6C"/>
    <w:rsid w:val="00E14679"/>
    <w:rsid w:val="00E158E1"/>
    <w:rsid w:val="00E20E7E"/>
    <w:rsid w:val="00E30F3B"/>
    <w:rsid w:val="00E32F33"/>
    <w:rsid w:val="00E36C4A"/>
    <w:rsid w:val="00E37145"/>
    <w:rsid w:val="00E4057F"/>
    <w:rsid w:val="00E41515"/>
    <w:rsid w:val="00E44941"/>
    <w:rsid w:val="00E44EA2"/>
    <w:rsid w:val="00E460DD"/>
    <w:rsid w:val="00E51BCC"/>
    <w:rsid w:val="00E57DEE"/>
    <w:rsid w:val="00E6087C"/>
    <w:rsid w:val="00E6163D"/>
    <w:rsid w:val="00E64E7B"/>
    <w:rsid w:val="00E66769"/>
    <w:rsid w:val="00E702BD"/>
    <w:rsid w:val="00E72669"/>
    <w:rsid w:val="00E73A1C"/>
    <w:rsid w:val="00E75A7B"/>
    <w:rsid w:val="00E76DD9"/>
    <w:rsid w:val="00E816CB"/>
    <w:rsid w:val="00E837E6"/>
    <w:rsid w:val="00E838D7"/>
    <w:rsid w:val="00E83ECB"/>
    <w:rsid w:val="00E84FC3"/>
    <w:rsid w:val="00E8670D"/>
    <w:rsid w:val="00E869C0"/>
    <w:rsid w:val="00E87291"/>
    <w:rsid w:val="00E87887"/>
    <w:rsid w:val="00E91ED9"/>
    <w:rsid w:val="00E95143"/>
    <w:rsid w:val="00E97F7B"/>
    <w:rsid w:val="00EA2D3C"/>
    <w:rsid w:val="00EA4B1F"/>
    <w:rsid w:val="00EA641C"/>
    <w:rsid w:val="00EB33D7"/>
    <w:rsid w:val="00EB3451"/>
    <w:rsid w:val="00EB36CD"/>
    <w:rsid w:val="00EB57B7"/>
    <w:rsid w:val="00EB5F9F"/>
    <w:rsid w:val="00EC065A"/>
    <w:rsid w:val="00EC2EB6"/>
    <w:rsid w:val="00EC31AC"/>
    <w:rsid w:val="00EC420B"/>
    <w:rsid w:val="00EC44A9"/>
    <w:rsid w:val="00EC7333"/>
    <w:rsid w:val="00ED1305"/>
    <w:rsid w:val="00EE1A33"/>
    <w:rsid w:val="00EE4999"/>
    <w:rsid w:val="00EE7140"/>
    <w:rsid w:val="00EF01CA"/>
    <w:rsid w:val="00EF15F9"/>
    <w:rsid w:val="00EF6DDB"/>
    <w:rsid w:val="00F0452D"/>
    <w:rsid w:val="00F05164"/>
    <w:rsid w:val="00F05959"/>
    <w:rsid w:val="00F05E34"/>
    <w:rsid w:val="00F06259"/>
    <w:rsid w:val="00F067D2"/>
    <w:rsid w:val="00F15543"/>
    <w:rsid w:val="00F15B2A"/>
    <w:rsid w:val="00F20580"/>
    <w:rsid w:val="00F208B1"/>
    <w:rsid w:val="00F20E57"/>
    <w:rsid w:val="00F20EE0"/>
    <w:rsid w:val="00F254B9"/>
    <w:rsid w:val="00F25D91"/>
    <w:rsid w:val="00F26295"/>
    <w:rsid w:val="00F265E2"/>
    <w:rsid w:val="00F27A4A"/>
    <w:rsid w:val="00F3253A"/>
    <w:rsid w:val="00F33A72"/>
    <w:rsid w:val="00F34993"/>
    <w:rsid w:val="00F349EF"/>
    <w:rsid w:val="00F40C1C"/>
    <w:rsid w:val="00F42070"/>
    <w:rsid w:val="00F42218"/>
    <w:rsid w:val="00F4256C"/>
    <w:rsid w:val="00F43BBB"/>
    <w:rsid w:val="00F451F6"/>
    <w:rsid w:val="00F46DA0"/>
    <w:rsid w:val="00F50812"/>
    <w:rsid w:val="00F55AAA"/>
    <w:rsid w:val="00F562AD"/>
    <w:rsid w:val="00F6450B"/>
    <w:rsid w:val="00F716D2"/>
    <w:rsid w:val="00F71E80"/>
    <w:rsid w:val="00F74221"/>
    <w:rsid w:val="00F7530A"/>
    <w:rsid w:val="00F76DC7"/>
    <w:rsid w:val="00F852D5"/>
    <w:rsid w:val="00F908D8"/>
    <w:rsid w:val="00F94E02"/>
    <w:rsid w:val="00F95047"/>
    <w:rsid w:val="00F962A9"/>
    <w:rsid w:val="00F963D3"/>
    <w:rsid w:val="00F9697C"/>
    <w:rsid w:val="00F976C1"/>
    <w:rsid w:val="00FA153E"/>
    <w:rsid w:val="00FA1782"/>
    <w:rsid w:val="00FA4A79"/>
    <w:rsid w:val="00FB2CE2"/>
    <w:rsid w:val="00FB48F1"/>
    <w:rsid w:val="00FB536A"/>
    <w:rsid w:val="00FB614E"/>
    <w:rsid w:val="00FB7CDC"/>
    <w:rsid w:val="00FC0160"/>
    <w:rsid w:val="00FC223E"/>
    <w:rsid w:val="00FC4503"/>
    <w:rsid w:val="00FD10E7"/>
    <w:rsid w:val="00FD17F0"/>
    <w:rsid w:val="00FD1B7B"/>
    <w:rsid w:val="00FD3DD9"/>
    <w:rsid w:val="00FD4B31"/>
    <w:rsid w:val="00FD4F57"/>
    <w:rsid w:val="00FD689B"/>
    <w:rsid w:val="00FD709E"/>
    <w:rsid w:val="00FE2CA6"/>
    <w:rsid w:val="00FE2DA9"/>
    <w:rsid w:val="00FE45DC"/>
    <w:rsid w:val="00FE7BAE"/>
    <w:rsid w:val="00FF5432"/>
    <w:rsid w:val="00FF7F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47156E3"/>
  <w15:docId w15:val="{29AE2CC7-E402-4C90-A51F-0673B06E7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AA8"/>
    <w:pPr>
      <w:spacing w:after="200" w:line="276" w:lineRule="auto"/>
    </w:pPr>
    <w:rPr>
      <w:sz w:val="22"/>
      <w:szCs w:val="22"/>
      <w:lang w:val="lt-LT" w:eastAsia="en-US"/>
    </w:rPr>
  </w:style>
  <w:style w:type="paragraph" w:styleId="Heading1">
    <w:name w:val="heading 1"/>
    <w:aliases w:val="CMFB Heading 1"/>
    <w:basedOn w:val="CMFBTitle"/>
    <w:next w:val="Normal"/>
    <w:link w:val="Heading1Char"/>
    <w:qFormat/>
    <w:rsid w:val="00A74414"/>
    <w:pPr>
      <w:numPr>
        <w:numId w:val="14"/>
      </w:numPr>
    </w:pPr>
  </w:style>
  <w:style w:type="paragraph" w:styleId="Heading2">
    <w:name w:val="heading 2"/>
    <w:aliases w:val="CMFB Heading 2"/>
    <w:basedOn w:val="Normal"/>
    <w:next w:val="Normal"/>
    <w:link w:val="Heading2Char"/>
    <w:unhideWhenUsed/>
    <w:qFormat/>
    <w:rsid w:val="00A74414"/>
    <w:pPr>
      <w:keepNext/>
      <w:numPr>
        <w:ilvl w:val="1"/>
        <w:numId w:val="14"/>
      </w:numPr>
      <w:suppressAutoHyphens/>
      <w:spacing w:before="480" w:after="240" w:line="240" w:lineRule="auto"/>
      <w:jc w:val="both"/>
      <w:outlineLvl w:val="1"/>
    </w:pPr>
    <w:rPr>
      <w:rFonts w:ascii="Times New Roman" w:eastAsia="Times New Roman" w:hAnsi="Times New Roman"/>
      <w:b/>
      <w:bCs/>
      <w:iCs/>
      <w:sz w:val="28"/>
      <w:szCs w:val="28"/>
      <w:lang w:val="it-IT"/>
    </w:rPr>
  </w:style>
  <w:style w:type="paragraph" w:styleId="Heading3">
    <w:name w:val="heading 3"/>
    <w:aliases w:val="CMFB Heading 3"/>
    <w:basedOn w:val="Normal"/>
    <w:next w:val="Normal"/>
    <w:link w:val="Heading3Char"/>
    <w:unhideWhenUsed/>
    <w:qFormat/>
    <w:rsid w:val="00A74414"/>
    <w:pPr>
      <w:keepNext/>
      <w:numPr>
        <w:ilvl w:val="2"/>
        <w:numId w:val="14"/>
      </w:numPr>
      <w:suppressAutoHyphens/>
      <w:spacing w:before="480" w:after="240" w:line="240" w:lineRule="auto"/>
      <w:ind w:left="851"/>
      <w:jc w:val="both"/>
      <w:outlineLvl w:val="2"/>
    </w:pPr>
    <w:rPr>
      <w:rFonts w:ascii="Times New Roman" w:eastAsia="Times New Roman" w:hAnsi="Times New Roman"/>
      <w:bCs/>
      <w:i/>
      <w:sz w:val="24"/>
      <w:szCs w:val="24"/>
    </w:rPr>
  </w:style>
  <w:style w:type="paragraph" w:styleId="Heading4">
    <w:name w:val="heading 4"/>
    <w:aliases w:val="CMFB Heading 4"/>
    <w:basedOn w:val="Normal"/>
    <w:next w:val="Normal"/>
    <w:link w:val="Heading4Char"/>
    <w:uiPriority w:val="9"/>
    <w:unhideWhenUsed/>
    <w:qFormat/>
    <w:rsid w:val="00A74414"/>
    <w:pPr>
      <w:keepNext/>
      <w:keepLines/>
      <w:numPr>
        <w:ilvl w:val="3"/>
        <w:numId w:val="14"/>
      </w:numPr>
      <w:spacing w:before="200" w:after="0"/>
      <w:outlineLvl w:val="3"/>
    </w:pPr>
    <w:rPr>
      <w:rFonts w:ascii="Times New Roman" w:eastAsiaTheme="majorEastAsia" w:hAnsi="Times New Roman"/>
      <w:bCs/>
      <w:iCs/>
      <w:u w:val="single"/>
    </w:rPr>
  </w:style>
  <w:style w:type="paragraph" w:styleId="Heading5">
    <w:name w:val="heading 5"/>
    <w:basedOn w:val="Normal"/>
    <w:next w:val="CMFBText"/>
    <w:link w:val="Heading5Char"/>
    <w:uiPriority w:val="9"/>
    <w:unhideWhenUsed/>
    <w:qFormat/>
    <w:rsid w:val="00EC44A9"/>
    <w:pPr>
      <w:keepNext/>
      <w:keepLines/>
      <w:numPr>
        <w:ilvl w:val="4"/>
        <w:numId w:val="14"/>
      </w:numPr>
      <w:spacing w:before="200" w:after="0"/>
      <w:outlineLvl w:val="4"/>
    </w:pPr>
    <w:rPr>
      <w:rFonts w:ascii="Times New Roman" w:eastAsiaTheme="majorEastAsia" w:hAnsi="Times New Roman"/>
      <w: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5ACC"/>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qFormat/>
    <w:rsid w:val="00E6163D"/>
    <w:pPr>
      <w:spacing w:after="0" w:line="240" w:lineRule="auto"/>
      <w:ind w:left="720"/>
      <w:contextualSpacing/>
    </w:pPr>
    <w:rPr>
      <w:rFonts w:ascii="Times New Roman" w:eastAsia="Times New Roman" w:hAnsi="Times New Roman"/>
      <w:sz w:val="24"/>
      <w:szCs w:val="24"/>
      <w:lang w:eastAsia="en-GB"/>
    </w:rPr>
  </w:style>
  <w:style w:type="paragraph" w:styleId="NormalWeb">
    <w:name w:val="Normal (Web)"/>
    <w:basedOn w:val="Normal"/>
    <w:uiPriority w:val="99"/>
    <w:semiHidden/>
    <w:unhideWhenUsed/>
    <w:rsid w:val="00AB4BFC"/>
    <w:pPr>
      <w:spacing w:before="100" w:beforeAutospacing="1" w:after="100" w:afterAutospacing="1" w:line="240" w:lineRule="auto"/>
    </w:pPr>
    <w:rPr>
      <w:rFonts w:ascii="Times New Roman" w:eastAsia="Times New Roman" w:hAnsi="Times New Roman"/>
      <w:sz w:val="24"/>
      <w:szCs w:val="24"/>
      <w:lang w:eastAsia="en-GB"/>
    </w:rPr>
  </w:style>
  <w:style w:type="numbering" w:customStyle="1" w:styleId="List0">
    <w:name w:val="List 0"/>
    <w:rsid w:val="00B76A35"/>
    <w:pPr>
      <w:numPr>
        <w:numId w:val="1"/>
      </w:numPr>
    </w:pPr>
  </w:style>
  <w:style w:type="character" w:customStyle="1" w:styleId="Heading1Char">
    <w:name w:val="Heading 1 Char"/>
    <w:aliases w:val="CMFB Heading 1 Char"/>
    <w:link w:val="Heading1"/>
    <w:rsid w:val="00A74414"/>
    <w:rPr>
      <w:rFonts w:ascii="Times New Roman" w:hAnsi="Times New Roman"/>
      <w:b/>
      <w:color w:val="1F497D" w:themeColor="text2"/>
      <w:sz w:val="28"/>
      <w:szCs w:val="28"/>
      <w:lang w:eastAsia="en-US"/>
    </w:rPr>
  </w:style>
  <w:style w:type="paragraph" w:customStyle="1" w:styleId="CMFBText">
    <w:name w:val="CMFB Text"/>
    <w:basedOn w:val="Normal"/>
    <w:link w:val="CMFBTextChar"/>
    <w:qFormat/>
    <w:rsid w:val="00CE380E"/>
    <w:pPr>
      <w:spacing w:before="120" w:after="120" w:line="240" w:lineRule="auto"/>
      <w:jc w:val="both"/>
    </w:pPr>
    <w:rPr>
      <w:rFonts w:ascii="Times New Roman" w:hAnsi="Times New Roman"/>
      <w:szCs w:val="24"/>
    </w:rPr>
  </w:style>
  <w:style w:type="paragraph" w:styleId="Header">
    <w:name w:val="header"/>
    <w:basedOn w:val="Normal"/>
    <w:link w:val="HeaderChar"/>
    <w:unhideWhenUsed/>
    <w:rsid w:val="005657E0"/>
    <w:pPr>
      <w:tabs>
        <w:tab w:val="center" w:pos="4513"/>
        <w:tab w:val="right" w:pos="9026"/>
      </w:tabs>
    </w:pPr>
  </w:style>
  <w:style w:type="character" w:customStyle="1" w:styleId="CMFBTextChar">
    <w:name w:val="CMFB Text Char"/>
    <w:link w:val="CMFBText"/>
    <w:rsid w:val="00CE380E"/>
    <w:rPr>
      <w:rFonts w:ascii="Times New Roman" w:hAnsi="Times New Roman"/>
      <w:sz w:val="22"/>
      <w:szCs w:val="24"/>
      <w:lang w:eastAsia="en-US"/>
    </w:rPr>
  </w:style>
  <w:style w:type="character" w:customStyle="1" w:styleId="HeaderChar">
    <w:name w:val="Header Char"/>
    <w:link w:val="Header"/>
    <w:uiPriority w:val="99"/>
    <w:rsid w:val="005657E0"/>
    <w:rPr>
      <w:sz w:val="22"/>
      <w:szCs w:val="22"/>
      <w:lang w:eastAsia="en-US"/>
    </w:rPr>
  </w:style>
  <w:style w:type="paragraph" w:styleId="Footer">
    <w:name w:val="footer"/>
    <w:basedOn w:val="Normal"/>
    <w:link w:val="FooterChar"/>
    <w:unhideWhenUsed/>
    <w:rsid w:val="005657E0"/>
    <w:pPr>
      <w:tabs>
        <w:tab w:val="center" w:pos="4513"/>
        <w:tab w:val="right" w:pos="9026"/>
      </w:tabs>
    </w:pPr>
  </w:style>
  <w:style w:type="character" w:customStyle="1" w:styleId="FooterChar">
    <w:name w:val="Footer Char"/>
    <w:link w:val="Footer"/>
    <w:uiPriority w:val="99"/>
    <w:rsid w:val="005657E0"/>
    <w:rPr>
      <w:sz w:val="22"/>
      <w:szCs w:val="22"/>
      <w:lang w:eastAsia="en-US"/>
    </w:rPr>
  </w:style>
  <w:style w:type="paragraph" w:styleId="FootnoteText">
    <w:name w:val="footnote text"/>
    <w:basedOn w:val="Normal"/>
    <w:link w:val="FootnoteTextChar"/>
    <w:uiPriority w:val="99"/>
    <w:unhideWhenUsed/>
    <w:rsid w:val="00304304"/>
    <w:rPr>
      <w:rFonts w:ascii="Times New Roman" w:hAnsi="Times New Roman"/>
      <w:sz w:val="16"/>
      <w:szCs w:val="20"/>
    </w:rPr>
  </w:style>
  <w:style w:type="character" w:customStyle="1" w:styleId="FootnoteTextChar">
    <w:name w:val="Footnote Text Char"/>
    <w:link w:val="FootnoteText"/>
    <w:uiPriority w:val="99"/>
    <w:rsid w:val="00304304"/>
    <w:rPr>
      <w:rFonts w:ascii="Times New Roman" w:hAnsi="Times New Roman"/>
      <w:sz w:val="16"/>
      <w:lang w:eastAsia="en-US"/>
    </w:rPr>
  </w:style>
  <w:style w:type="character" w:styleId="FootnoteReference">
    <w:name w:val="footnote reference"/>
    <w:uiPriority w:val="99"/>
    <w:semiHidden/>
    <w:unhideWhenUsed/>
    <w:rsid w:val="00874C9A"/>
    <w:rPr>
      <w:vertAlign w:val="superscript"/>
    </w:rPr>
  </w:style>
  <w:style w:type="paragraph" w:styleId="BalloonText">
    <w:name w:val="Balloon Text"/>
    <w:basedOn w:val="Normal"/>
    <w:link w:val="BalloonTextChar"/>
    <w:uiPriority w:val="99"/>
    <w:semiHidden/>
    <w:unhideWhenUsed/>
    <w:rsid w:val="00874C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4C9A"/>
    <w:rPr>
      <w:rFonts w:ascii="Tahoma" w:hAnsi="Tahoma" w:cs="Tahoma"/>
      <w:sz w:val="16"/>
      <w:szCs w:val="16"/>
      <w:lang w:eastAsia="en-US"/>
    </w:rPr>
  </w:style>
  <w:style w:type="character" w:styleId="CommentReference">
    <w:name w:val="annotation reference"/>
    <w:uiPriority w:val="99"/>
    <w:semiHidden/>
    <w:unhideWhenUsed/>
    <w:rsid w:val="005D3B0D"/>
    <w:rPr>
      <w:sz w:val="16"/>
      <w:szCs w:val="16"/>
    </w:rPr>
  </w:style>
  <w:style w:type="paragraph" w:styleId="CommentText">
    <w:name w:val="annotation text"/>
    <w:basedOn w:val="Normal"/>
    <w:link w:val="CommentTextChar"/>
    <w:uiPriority w:val="99"/>
    <w:semiHidden/>
    <w:unhideWhenUsed/>
    <w:rsid w:val="005D3B0D"/>
    <w:rPr>
      <w:sz w:val="20"/>
      <w:szCs w:val="20"/>
    </w:rPr>
  </w:style>
  <w:style w:type="character" w:customStyle="1" w:styleId="CommentTextChar">
    <w:name w:val="Comment Text Char"/>
    <w:link w:val="CommentText"/>
    <w:uiPriority w:val="99"/>
    <w:semiHidden/>
    <w:rsid w:val="005D3B0D"/>
    <w:rPr>
      <w:lang w:eastAsia="en-US"/>
    </w:rPr>
  </w:style>
  <w:style w:type="paragraph" w:styleId="CommentSubject">
    <w:name w:val="annotation subject"/>
    <w:basedOn w:val="CommentText"/>
    <w:next w:val="CommentText"/>
    <w:link w:val="CommentSubjectChar"/>
    <w:uiPriority w:val="99"/>
    <w:semiHidden/>
    <w:unhideWhenUsed/>
    <w:rsid w:val="005D3B0D"/>
    <w:rPr>
      <w:b/>
      <w:bCs/>
    </w:rPr>
  </w:style>
  <w:style w:type="character" w:customStyle="1" w:styleId="CommentSubjectChar">
    <w:name w:val="Comment Subject Char"/>
    <w:link w:val="CommentSubject"/>
    <w:uiPriority w:val="99"/>
    <w:semiHidden/>
    <w:rsid w:val="005D3B0D"/>
    <w:rPr>
      <w:b/>
      <w:bCs/>
      <w:lang w:eastAsia="en-US"/>
    </w:rPr>
  </w:style>
  <w:style w:type="character" w:customStyle="1" w:styleId="Heading2Char">
    <w:name w:val="Heading 2 Char"/>
    <w:aliases w:val="CMFB Heading 2 Char"/>
    <w:link w:val="Heading2"/>
    <w:rsid w:val="00A74414"/>
    <w:rPr>
      <w:rFonts w:ascii="Times New Roman" w:eastAsia="Times New Roman" w:hAnsi="Times New Roman"/>
      <w:b/>
      <w:bCs/>
      <w:iCs/>
      <w:sz w:val="28"/>
      <w:szCs w:val="28"/>
      <w:lang w:val="it-IT" w:eastAsia="en-US"/>
    </w:rPr>
  </w:style>
  <w:style w:type="paragraph" w:customStyle="1" w:styleId="Paragraphs">
    <w:name w:val="Paragraphs"/>
    <w:uiPriority w:val="99"/>
    <w:rsid w:val="00A86E5F"/>
    <w:pPr>
      <w:tabs>
        <w:tab w:val="left" w:pos="567"/>
        <w:tab w:val="left" w:pos="1134"/>
        <w:tab w:val="right" w:pos="9073"/>
      </w:tabs>
      <w:spacing w:before="120" w:after="120" w:line="360" w:lineRule="auto"/>
      <w:jc w:val="both"/>
    </w:pPr>
    <w:rPr>
      <w:rFonts w:ascii="Times New Roman" w:eastAsia="Arial Unicode MS" w:hAnsi="Arial Unicode MS" w:cs="Arial Unicode MS"/>
      <w:color w:val="000000"/>
      <w:sz w:val="24"/>
      <w:szCs w:val="24"/>
      <w:u w:color="000000"/>
      <w:lang w:val="en-US"/>
    </w:rPr>
  </w:style>
  <w:style w:type="paragraph" w:customStyle="1" w:styleId="CMFBTitle">
    <w:name w:val="CMFB Title"/>
    <w:basedOn w:val="Normal"/>
    <w:link w:val="CMFBTitleChar"/>
    <w:qFormat/>
    <w:rsid w:val="00991C4B"/>
    <w:pPr>
      <w:numPr>
        <w:numId w:val="5"/>
      </w:numPr>
      <w:pBdr>
        <w:bottom w:val="single" w:sz="4" w:space="1" w:color="auto"/>
      </w:pBdr>
      <w:spacing w:before="240" w:after="480"/>
      <w:ind w:left="1134" w:hanging="567"/>
      <w:outlineLvl w:val="0"/>
    </w:pPr>
    <w:rPr>
      <w:rFonts w:ascii="Times New Roman" w:hAnsi="Times New Roman"/>
      <w:b/>
      <w:color w:val="1F497D" w:themeColor="text2"/>
      <w:sz w:val="28"/>
      <w:szCs w:val="28"/>
    </w:rPr>
  </w:style>
  <w:style w:type="paragraph" w:styleId="NoSpacing">
    <w:name w:val="No Spacing"/>
    <w:uiPriority w:val="1"/>
    <w:qFormat/>
    <w:rsid w:val="00FC0160"/>
    <w:rPr>
      <w:sz w:val="22"/>
      <w:szCs w:val="22"/>
      <w:lang w:eastAsia="en-US"/>
    </w:rPr>
  </w:style>
  <w:style w:type="character" w:customStyle="1" w:styleId="CMFBTitleChar">
    <w:name w:val="CMFB Title Char"/>
    <w:basedOn w:val="DefaultParagraphFont"/>
    <w:link w:val="CMFBTitle"/>
    <w:rsid w:val="00991C4B"/>
    <w:rPr>
      <w:rFonts w:ascii="Times New Roman" w:hAnsi="Times New Roman"/>
      <w:b/>
      <w:color w:val="1F497D" w:themeColor="text2"/>
      <w:sz w:val="28"/>
      <w:szCs w:val="28"/>
      <w:lang w:eastAsia="en-US"/>
    </w:rPr>
  </w:style>
  <w:style w:type="paragraph" w:customStyle="1" w:styleId="CMFBtextintable">
    <w:name w:val="CMFB text in table"/>
    <w:basedOn w:val="Normal"/>
    <w:link w:val="CMFBtextintableChar"/>
    <w:qFormat/>
    <w:rsid w:val="006707A4"/>
    <w:pPr>
      <w:spacing w:after="60"/>
      <w:jc w:val="both"/>
    </w:pPr>
    <w:rPr>
      <w:rFonts w:ascii="Times New Roman" w:hAnsi="Times New Roman"/>
    </w:rPr>
  </w:style>
  <w:style w:type="character" w:styleId="Hyperlink">
    <w:name w:val="Hyperlink"/>
    <w:basedOn w:val="DefaultParagraphFont"/>
    <w:uiPriority w:val="99"/>
    <w:unhideWhenUsed/>
    <w:rsid w:val="00300C83"/>
    <w:rPr>
      <w:color w:val="0000FF" w:themeColor="hyperlink"/>
      <w:u w:val="single"/>
    </w:rPr>
  </w:style>
  <w:style w:type="character" w:customStyle="1" w:styleId="CMFBtextintableChar">
    <w:name w:val="CMFB text in table Char"/>
    <w:basedOn w:val="CMFBTextChar"/>
    <w:link w:val="CMFBtextintable"/>
    <w:rsid w:val="006707A4"/>
    <w:rPr>
      <w:rFonts w:ascii="Times New Roman" w:hAnsi="Times New Roman"/>
      <w:sz w:val="22"/>
      <w:szCs w:val="22"/>
      <w:lang w:eastAsia="en-US"/>
    </w:rPr>
  </w:style>
  <w:style w:type="paragraph" w:styleId="TOC1">
    <w:name w:val="toc 1"/>
    <w:basedOn w:val="Normal"/>
    <w:next w:val="Normal"/>
    <w:autoRedefine/>
    <w:uiPriority w:val="39"/>
    <w:unhideWhenUsed/>
    <w:qFormat/>
    <w:rsid w:val="00515DE9"/>
    <w:pPr>
      <w:tabs>
        <w:tab w:val="left" w:pos="440"/>
        <w:tab w:val="right" w:pos="9016"/>
      </w:tabs>
      <w:spacing w:before="240" w:after="0"/>
    </w:pPr>
    <w:rPr>
      <w:rFonts w:asciiTheme="majorHAnsi" w:hAnsiTheme="majorHAnsi"/>
      <w:b/>
      <w:bCs/>
      <w:caps/>
      <w:noProof/>
      <w:sz w:val="24"/>
      <w:szCs w:val="24"/>
    </w:rPr>
  </w:style>
  <w:style w:type="paragraph" w:styleId="TOCHeading">
    <w:name w:val="TOC Heading"/>
    <w:basedOn w:val="Heading1"/>
    <w:next w:val="Normal"/>
    <w:uiPriority w:val="39"/>
    <w:unhideWhenUsed/>
    <w:qFormat/>
    <w:rsid w:val="00300C83"/>
    <w:pPr>
      <w:keepLines/>
      <w:numPr>
        <w:numId w:val="0"/>
      </w:numPr>
      <w:spacing w:after="0"/>
      <w:outlineLvl w:val="9"/>
    </w:pPr>
    <w:rPr>
      <w:rFonts w:asciiTheme="majorHAnsi" w:eastAsiaTheme="majorEastAsia" w:hAnsiTheme="majorHAnsi" w:cstheme="majorBidi"/>
      <w:bCs/>
      <w:color w:val="365F91" w:themeColor="accent1" w:themeShade="BF"/>
      <w:lang w:val="en-US" w:eastAsia="ja-JP"/>
    </w:rPr>
  </w:style>
  <w:style w:type="paragraph" w:styleId="TOC2">
    <w:name w:val="toc 2"/>
    <w:basedOn w:val="TOC1"/>
    <w:next w:val="Normal"/>
    <w:autoRedefine/>
    <w:uiPriority w:val="39"/>
    <w:unhideWhenUsed/>
    <w:qFormat/>
    <w:rsid w:val="00515DE9"/>
    <w:pPr>
      <w:spacing w:before="60" w:line="240" w:lineRule="auto"/>
    </w:pPr>
    <w:rPr>
      <w:rFonts w:asciiTheme="minorHAnsi" w:hAnsiTheme="minorHAnsi"/>
      <w:caps w:val="0"/>
      <w:sz w:val="20"/>
      <w:szCs w:val="20"/>
    </w:rPr>
  </w:style>
  <w:style w:type="paragraph" w:styleId="TOC3">
    <w:name w:val="toc 3"/>
    <w:basedOn w:val="Normal"/>
    <w:next w:val="Normal"/>
    <w:autoRedefine/>
    <w:uiPriority w:val="39"/>
    <w:unhideWhenUsed/>
    <w:qFormat/>
    <w:rsid w:val="00300C83"/>
    <w:pPr>
      <w:spacing w:after="0"/>
      <w:ind w:left="220"/>
    </w:pPr>
    <w:rPr>
      <w:rFonts w:asciiTheme="minorHAnsi" w:hAnsiTheme="minorHAnsi"/>
      <w:sz w:val="20"/>
      <w:szCs w:val="20"/>
    </w:rPr>
  </w:style>
  <w:style w:type="character" w:customStyle="1" w:styleId="Heading3Char">
    <w:name w:val="Heading 3 Char"/>
    <w:aliases w:val="CMFB Heading 3 Char"/>
    <w:basedOn w:val="DefaultParagraphFont"/>
    <w:link w:val="Heading3"/>
    <w:rsid w:val="00A74414"/>
    <w:rPr>
      <w:rFonts w:ascii="Times New Roman" w:eastAsia="Times New Roman" w:hAnsi="Times New Roman"/>
      <w:bCs/>
      <w:i/>
      <w:sz w:val="24"/>
      <w:szCs w:val="24"/>
      <w:lang w:eastAsia="en-US"/>
    </w:rPr>
  </w:style>
  <w:style w:type="paragraph" w:styleId="TOC4">
    <w:name w:val="toc 4"/>
    <w:basedOn w:val="Normal"/>
    <w:next w:val="Normal"/>
    <w:autoRedefine/>
    <w:uiPriority w:val="39"/>
    <w:unhideWhenUsed/>
    <w:rsid w:val="00300C83"/>
    <w:pPr>
      <w:spacing w:after="0"/>
      <w:ind w:left="440"/>
    </w:pPr>
    <w:rPr>
      <w:rFonts w:asciiTheme="minorHAnsi" w:hAnsiTheme="minorHAnsi"/>
      <w:sz w:val="20"/>
      <w:szCs w:val="20"/>
    </w:rPr>
  </w:style>
  <w:style w:type="paragraph" w:styleId="TOC5">
    <w:name w:val="toc 5"/>
    <w:basedOn w:val="Normal"/>
    <w:next w:val="Normal"/>
    <w:autoRedefine/>
    <w:uiPriority w:val="39"/>
    <w:unhideWhenUsed/>
    <w:rsid w:val="00300C83"/>
    <w:pPr>
      <w:spacing w:after="0"/>
      <w:ind w:left="660"/>
    </w:pPr>
    <w:rPr>
      <w:rFonts w:asciiTheme="minorHAnsi" w:hAnsiTheme="minorHAnsi"/>
      <w:sz w:val="20"/>
      <w:szCs w:val="20"/>
    </w:rPr>
  </w:style>
  <w:style w:type="paragraph" w:styleId="TOC6">
    <w:name w:val="toc 6"/>
    <w:basedOn w:val="Normal"/>
    <w:next w:val="Normal"/>
    <w:autoRedefine/>
    <w:uiPriority w:val="39"/>
    <w:unhideWhenUsed/>
    <w:rsid w:val="00300C83"/>
    <w:pPr>
      <w:spacing w:after="0"/>
      <w:ind w:left="880"/>
    </w:pPr>
    <w:rPr>
      <w:rFonts w:asciiTheme="minorHAnsi" w:hAnsiTheme="minorHAnsi"/>
      <w:sz w:val="20"/>
      <w:szCs w:val="20"/>
    </w:rPr>
  </w:style>
  <w:style w:type="paragraph" w:styleId="TOC7">
    <w:name w:val="toc 7"/>
    <w:basedOn w:val="Normal"/>
    <w:next w:val="Normal"/>
    <w:autoRedefine/>
    <w:uiPriority w:val="39"/>
    <w:unhideWhenUsed/>
    <w:rsid w:val="00300C83"/>
    <w:pPr>
      <w:spacing w:after="0"/>
      <w:ind w:left="1100"/>
    </w:pPr>
    <w:rPr>
      <w:rFonts w:asciiTheme="minorHAnsi" w:hAnsiTheme="minorHAnsi"/>
      <w:sz w:val="20"/>
      <w:szCs w:val="20"/>
    </w:rPr>
  </w:style>
  <w:style w:type="paragraph" w:styleId="TOC8">
    <w:name w:val="toc 8"/>
    <w:basedOn w:val="Normal"/>
    <w:next w:val="Normal"/>
    <w:autoRedefine/>
    <w:uiPriority w:val="39"/>
    <w:unhideWhenUsed/>
    <w:rsid w:val="00300C83"/>
    <w:pPr>
      <w:spacing w:after="0"/>
      <w:ind w:left="1320"/>
    </w:pPr>
    <w:rPr>
      <w:rFonts w:asciiTheme="minorHAnsi" w:hAnsiTheme="minorHAnsi"/>
      <w:sz w:val="20"/>
      <w:szCs w:val="20"/>
    </w:rPr>
  </w:style>
  <w:style w:type="paragraph" w:styleId="TOC9">
    <w:name w:val="toc 9"/>
    <w:basedOn w:val="Normal"/>
    <w:next w:val="Normal"/>
    <w:autoRedefine/>
    <w:uiPriority w:val="39"/>
    <w:unhideWhenUsed/>
    <w:rsid w:val="00300C83"/>
    <w:pPr>
      <w:spacing w:after="0"/>
      <w:ind w:left="1540"/>
    </w:pPr>
    <w:rPr>
      <w:rFonts w:asciiTheme="minorHAnsi" w:hAnsiTheme="minorHAnsi"/>
      <w:sz w:val="20"/>
      <w:szCs w:val="20"/>
    </w:rPr>
  </w:style>
  <w:style w:type="paragraph" w:customStyle="1" w:styleId="CMFBnumberedtext">
    <w:name w:val="CMFB numbered text"/>
    <w:basedOn w:val="CMFBtextintable"/>
    <w:link w:val="CMFBnumberedtextChar"/>
    <w:qFormat/>
    <w:rsid w:val="007B639B"/>
    <w:pPr>
      <w:numPr>
        <w:numId w:val="3"/>
      </w:numPr>
      <w:tabs>
        <w:tab w:val="left" w:pos="544"/>
      </w:tabs>
      <w:spacing w:before="120" w:after="120" w:line="240" w:lineRule="auto"/>
    </w:pPr>
  </w:style>
  <w:style w:type="character" w:customStyle="1" w:styleId="CMFBnumberedtextChar">
    <w:name w:val="CMFB numbered text Char"/>
    <w:basedOn w:val="CMFBtextintableChar"/>
    <w:link w:val="CMFBnumberedtext"/>
    <w:rsid w:val="007B639B"/>
    <w:rPr>
      <w:rFonts w:ascii="Times New Roman" w:hAnsi="Times New Roman"/>
      <w:sz w:val="22"/>
      <w:szCs w:val="22"/>
      <w:lang w:eastAsia="en-US"/>
    </w:rPr>
  </w:style>
  <w:style w:type="paragraph" w:styleId="Title">
    <w:name w:val="Title"/>
    <w:basedOn w:val="Normal"/>
    <w:next w:val="Subtitle"/>
    <w:link w:val="TitleChar"/>
    <w:qFormat/>
    <w:rsid w:val="00CB2017"/>
    <w:pPr>
      <w:suppressAutoHyphens/>
      <w:spacing w:after="0" w:line="240" w:lineRule="auto"/>
      <w:jc w:val="center"/>
    </w:pPr>
    <w:rPr>
      <w:rFonts w:ascii="Times New Roman" w:eastAsia="Times New Roman" w:hAnsi="Times New Roman"/>
      <w:b/>
      <w:color w:val="000000"/>
      <w:sz w:val="32"/>
      <w:szCs w:val="20"/>
      <w:lang w:eastAsia="ar-SA"/>
    </w:rPr>
  </w:style>
  <w:style w:type="character" w:customStyle="1" w:styleId="TitleChar">
    <w:name w:val="Title Char"/>
    <w:basedOn w:val="DefaultParagraphFont"/>
    <w:link w:val="Title"/>
    <w:rsid w:val="00CB2017"/>
    <w:rPr>
      <w:rFonts w:ascii="Times New Roman" w:eastAsia="Times New Roman" w:hAnsi="Times New Roman"/>
      <w:b/>
      <w:color w:val="000000"/>
      <w:sz w:val="32"/>
      <w:lang w:eastAsia="ar-SA"/>
    </w:rPr>
  </w:style>
  <w:style w:type="character" w:customStyle="1" w:styleId="CMFBBulletChar">
    <w:name w:val="CMFB Bullet Char"/>
    <w:basedOn w:val="DefaultParagraphFont"/>
    <w:link w:val="CMFBBullet"/>
    <w:locked/>
    <w:rsid w:val="00E816CB"/>
    <w:rPr>
      <w:rFonts w:ascii="Times New Roman" w:eastAsia="Times New Roman" w:hAnsi="Times New Roman"/>
      <w:color w:val="000000"/>
      <w:sz w:val="22"/>
      <w:szCs w:val="24"/>
      <w:lang w:val="x-none" w:eastAsia="ar-SA"/>
    </w:rPr>
  </w:style>
  <w:style w:type="paragraph" w:customStyle="1" w:styleId="CMFBBullet">
    <w:name w:val="CMFB Bullet"/>
    <w:basedOn w:val="Normal"/>
    <w:link w:val="CMFBBulletChar"/>
    <w:qFormat/>
    <w:rsid w:val="00E816CB"/>
    <w:pPr>
      <w:numPr>
        <w:numId w:val="4"/>
      </w:numPr>
      <w:suppressAutoHyphens/>
      <w:spacing w:after="120" w:line="240" w:lineRule="auto"/>
      <w:ind w:left="1134" w:hanging="567"/>
      <w:jc w:val="both"/>
    </w:pPr>
    <w:rPr>
      <w:rFonts w:ascii="Times New Roman" w:eastAsia="Times New Roman" w:hAnsi="Times New Roman"/>
      <w:color w:val="000000"/>
      <w:szCs w:val="24"/>
      <w:lang w:val="x-none" w:eastAsia="ar-SA"/>
    </w:rPr>
  </w:style>
  <w:style w:type="paragraph" w:styleId="Subtitle">
    <w:name w:val="Subtitle"/>
    <w:basedOn w:val="Normal"/>
    <w:next w:val="Normal"/>
    <w:link w:val="SubtitleChar"/>
    <w:uiPriority w:val="11"/>
    <w:qFormat/>
    <w:rsid w:val="00CB201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B2017"/>
    <w:rPr>
      <w:rFonts w:asciiTheme="majorHAnsi" w:eastAsiaTheme="majorEastAsia" w:hAnsiTheme="majorHAnsi" w:cstheme="majorBidi"/>
      <w:i/>
      <w:iCs/>
      <w:color w:val="4F81BD" w:themeColor="accent1"/>
      <w:spacing w:val="15"/>
      <w:sz w:val="24"/>
      <w:szCs w:val="24"/>
      <w:lang w:eastAsia="en-US"/>
    </w:rPr>
  </w:style>
  <w:style w:type="character" w:customStyle="1" w:styleId="Heading4Char">
    <w:name w:val="Heading 4 Char"/>
    <w:aliases w:val="CMFB Heading 4 Char"/>
    <w:basedOn w:val="DefaultParagraphFont"/>
    <w:link w:val="Heading4"/>
    <w:uiPriority w:val="9"/>
    <w:rsid w:val="00A74414"/>
    <w:rPr>
      <w:rFonts w:ascii="Times New Roman" w:eastAsiaTheme="majorEastAsia" w:hAnsi="Times New Roman"/>
      <w:bCs/>
      <w:iCs/>
      <w:sz w:val="22"/>
      <w:szCs w:val="22"/>
      <w:u w:val="single"/>
      <w:lang w:eastAsia="en-US"/>
    </w:rPr>
  </w:style>
  <w:style w:type="numbering" w:customStyle="1" w:styleId="Style1">
    <w:name w:val="Style1"/>
    <w:uiPriority w:val="99"/>
    <w:rsid w:val="00D227A9"/>
    <w:pPr>
      <w:numPr>
        <w:numId w:val="6"/>
      </w:numPr>
    </w:pPr>
  </w:style>
  <w:style w:type="numbering" w:customStyle="1" w:styleId="CMFBTGreportnumbering">
    <w:name w:val="CMFB TG report numbering"/>
    <w:uiPriority w:val="99"/>
    <w:rsid w:val="00A74414"/>
    <w:pPr>
      <w:numPr>
        <w:numId w:val="7"/>
      </w:numPr>
    </w:pPr>
  </w:style>
  <w:style w:type="character" w:customStyle="1" w:styleId="Heading5Char">
    <w:name w:val="Heading 5 Char"/>
    <w:basedOn w:val="DefaultParagraphFont"/>
    <w:link w:val="Heading5"/>
    <w:uiPriority w:val="9"/>
    <w:rsid w:val="00EC44A9"/>
    <w:rPr>
      <w:rFonts w:ascii="Times New Roman" w:eastAsiaTheme="majorEastAsia" w:hAnsi="Times New Roman"/>
      <w:i/>
      <w:color w:val="000000" w:themeColor="text1"/>
      <w:sz w:val="22"/>
      <w:szCs w:val="22"/>
      <w:lang w:eastAsia="en-US"/>
    </w:rPr>
  </w:style>
  <w:style w:type="table" w:styleId="TableGrid">
    <w:name w:val="Table Grid"/>
    <w:basedOn w:val="TableNormal"/>
    <w:uiPriority w:val="59"/>
    <w:rsid w:val="002402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FBfooter">
    <w:name w:val="CMFB footer"/>
    <w:basedOn w:val="Footer"/>
    <w:link w:val="CMFBfooterChar"/>
    <w:qFormat/>
    <w:rsid w:val="00A36A37"/>
    <w:pPr>
      <w:pBdr>
        <w:top w:val="single" w:sz="4" w:space="1" w:color="auto"/>
      </w:pBdr>
      <w:tabs>
        <w:tab w:val="clear" w:pos="4513"/>
      </w:tabs>
    </w:pPr>
    <w:rPr>
      <w:rFonts w:ascii="Arial" w:hAnsi="Arial" w:cs="Arial"/>
      <w:sz w:val="16"/>
      <w:szCs w:val="16"/>
    </w:rPr>
  </w:style>
  <w:style w:type="character" w:styleId="LineNumber">
    <w:name w:val="line number"/>
    <w:basedOn w:val="DefaultParagraphFont"/>
    <w:uiPriority w:val="99"/>
    <w:semiHidden/>
    <w:unhideWhenUsed/>
    <w:rsid w:val="001C5D9A"/>
  </w:style>
  <w:style w:type="character" w:customStyle="1" w:styleId="CMFBfooterChar">
    <w:name w:val="CMFB footer Char"/>
    <w:basedOn w:val="FooterChar"/>
    <w:link w:val="CMFBfooter"/>
    <w:rsid w:val="00A36A37"/>
    <w:rPr>
      <w:rFonts w:ascii="Arial" w:hAnsi="Arial" w:cs="Arial"/>
      <w:sz w:val="16"/>
      <w:szCs w:val="16"/>
      <w:lang w:eastAsia="en-US"/>
    </w:rPr>
  </w:style>
  <w:style w:type="character" w:styleId="FollowedHyperlink">
    <w:name w:val="FollowedHyperlink"/>
    <w:basedOn w:val="DefaultParagraphFont"/>
    <w:uiPriority w:val="99"/>
    <w:semiHidden/>
    <w:unhideWhenUsed/>
    <w:rsid w:val="007A6B7E"/>
    <w:rPr>
      <w:color w:val="800080" w:themeColor="followedHyperlink"/>
      <w:u w:val="single"/>
    </w:rPr>
  </w:style>
  <w:style w:type="paragraph" w:styleId="Revision">
    <w:name w:val="Revision"/>
    <w:hidden/>
    <w:uiPriority w:val="99"/>
    <w:semiHidden/>
    <w:rsid w:val="00774F52"/>
    <w:rPr>
      <w:sz w:val="22"/>
      <w:szCs w:val="22"/>
      <w:lang w:eastAsia="en-US"/>
    </w:rPr>
  </w:style>
  <w:style w:type="numbering" w:customStyle="1" w:styleId="CMFBTGreportnumbering1">
    <w:name w:val="CMFB TG report numbering1"/>
    <w:uiPriority w:val="99"/>
    <w:rsid w:val="00F06259"/>
  </w:style>
  <w:style w:type="paragraph" w:customStyle="1" w:styleId="font5">
    <w:name w:val="font5"/>
    <w:basedOn w:val="Normal"/>
    <w:rsid w:val="00060A0E"/>
    <w:pPr>
      <w:spacing w:before="100" w:beforeAutospacing="1" w:after="100" w:afterAutospacing="1" w:line="240" w:lineRule="auto"/>
    </w:pPr>
    <w:rPr>
      <w:rFonts w:ascii="Arial" w:eastAsia="Times New Roman" w:hAnsi="Arial" w:cs="Arial"/>
      <w:color w:val="000000"/>
      <w:lang w:eastAsia="en-GB"/>
    </w:rPr>
  </w:style>
  <w:style w:type="paragraph" w:customStyle="1" w:styleId="font6">
    <w:name w:val="font6"/>
    <w:basedOn w:val="Normal"/>
    <w:rsid w:val="00060A0E"/>
    <w:pPr>
      <w:spacing w:before="100" w:beforeAutospacing="1" w:after="100" w:afterAutospacing="1" w:line="240" w:lineRule="auto"/>
    </w:pPr>
    <w:rPr>
      <w:rFonts w:ascii="Arial" w:eastAsia="Times New Roman" w:hAnsi="Arial" w:cs="Arial"/>
      <w:color w:val="000000"/>
      <w:lang w:eastAsia="en-GB"/>
    </w:rPr>
  </w:style>
  <w:style w:type="paragraph" w:customStyle="1" w:styleId="font7">
    <w:name w:val="font7"/>
    <w:basedOn w:val="Normal"/>
    <w:rsid w:val="00060A0E"/>
    <w:pPr>
      <w:spacing w:before="100" w:beforeAutospacing="1" w:after="100" w:afterAutospacing="1" w:line="240" w:lineRule="auto"/>
    </w:pPr>
    <w:rPr>
      <w:rFonts w:ascii="Arial" w:eastAsia="Times New Roman" w:hAnsi="Arial" w:cs="Arial"/>
      <w:color w:val="000000"/>
      <w:u w:val="single"/>
      <w:lang w:eastAsia="en-GB"/>
    </w:rPr>
  </w:style>
  <w:style w:type="paragraph" w:customStyle="1" w:styleId="xl63">
    <w:name w:val="xl63"/>
    <w:basedOn w:val="Normal"/>
    <w:rsid w:val="00060A0E"/>
    <w:pPr>
      <w:spacing w:before="100" w:beforeAutospacing="1" w:after="100" w:afterAutospacing="1" w:line="240" w:lineRule="auto"/>
      <w:jc w:val="right"/>
    </w:pPr>
    <w:rPr>
      <w:rFonts w:ascii="Arial" w:eastAsia="Times New Roman" w:hAnsi="Arial" w:cs="Arial"/>
      <w:sz w:val="24"/>
      <w:szCs w:val="24"/>
      <w:lang w:eastAsia="en-GB"/>
    </w:rPr>
  </w:style>
  <w:style w:type="paragraph" w:customStyle="1" w:styleId="xl64">
    <w:name w:val="xl64"/>
    <w:basedOn w:val="Normal"/>
    <w:rsid w:val="00060A0E"/>
    <w:pPr>
      <w:spacing w:before="100" w:beforeAutospacing="1" w:after="100" w:afterAutospacing="1" w:line="240" w:lineRule="auto"/>
      <w:jc w:val="right"/>
    </w:pPr>
    <w:rPr>
      <w:rFonts w:ascii="Times New Roman" w:eastAsia="Times New Roman" w:hAnsi="Times New Roman"/>
      <w:sz w:val="24"/>
      <w:szCs w:val="24"/>
      <w:lang w:eastAsia="en-GB"/>
    </w:rPr>
  </w:style>
  <w:style w:type="paragraph" w:customStyle="1" w:styleId="xl65">
    <w:name w:val="xl65"/>
    <w:basedOn w:val="Normal"/>
    <w:rsid w:val="00060A0E"/>
    <w:pPr>
      <w:shd w:val="clear" w:color="000000" w:fill="FFFFFF"/>
      <w:spacing w:before="100" w:beforeAutospacing="1" w:after="100" w:afterAutospacing="1" w:line="240" w:lineRule="auto"/>
      <w:jc w:val="right"/>
    </w:pPr>
    <w:rPr>
      <w:rFonts w:ascii="Arial" w:eastAsia="Times New Roman" w:hAnsi="Arial" w:cs="Arial"/>
      <w:b/>
      <w:bCs/>
      <w:sz w:val="24"/>
      <w:szCs w:val="24"/>
      <w:lang w:eastAsia="en-GB"/>
    </w:rPr>
  </w:style>
  <w:style w:type="paragraph" w:customStyle="1" w:styleId="xl66">
    <w:name w:val="xl66"/>
    <w:basedOn w:val="Normal"/>
    <w:rsid w:val="00060A0E"/>
    <w:pPr>
      <w:pBdr>
        <w:top w:val="single" w:sz="4" w:space="0" w:color="auto"/>
        <w:left w:val="single" w:sz="4" w:space="0" w:color="auto"/>
      </w:pBdr>
      <w:shd w:val="clear" w:color="000000" w:fill="D9D9D9"/>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67">
    <w:name w:val="xl67"/>
    <w:basedOn w:val="Normal"/>
    <w:rsid w:val="00060A0E"/>
    <w:pPr>
      <w:pBdr>
        <w:top w:val="single" w:sz="4" w:space="0" w:color="auto"/>
      </w:pBdr>
      <w:shd w:val="clear" w:color="000000" w:fill="D9D9D9"/>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68">
    <w:name w:val="xl68"/>
    <w:basedOn w:val="Normal"/>
    <w:rsid w:val="00060A0E"/>
    <w:pPr>
      <w:pBdr>
        <w:top w:val="single" w:sz="4"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69">
    <w:name w:val="xl69"/>
    <w:basedOn w:val="Normal"/>
    <w:rsid w:val="00060A0E"/>
    <w:pPr>
      <w:spacing w:before="100" w:beforeAutospacing="1" w:after="100" w:afterAutospacing="1" w:line="240" w:lineRule="auto"/>
      <w:jc w:val="right"/>
    </w:pPr>
    <w:rPr>
      <w:rFonts w:ascii="Times New Roman" w:eastAsia="Times New Roman" w:hAnsi="Times New Roman"/>
      <w:i/>
      <w:iCs/>
      <w:sz w:val="24"/>
      <w:szCs w:val="24"/>
      <w:lang w:eastAsia="en-GB"/>
    </w:rPr>
  </w:style>
  <w:style w:type="paragraph" w:customStyle="1" w:styleId="xl70">
    <w:name w:val="xl70"/>
    <w:basedOn w:val="Normal"/>
    <w:rsid w:val="00060A0E"/>
    <w:pPr>
      <w:spacing w:before="100" w:beforeAutospacing="1" w:after="100" w:afterAutospacing="1" w:line="240" w:lineRule="auto"/>
      <w:jc w:val="right"/>
    </w:pPr>
    <w:rPr>
      <w:rFonts w:ascii="Times New Roman" w:eastAsia="Times New Roman" w:hAnsi="Times New Roman"/>
      <w:b/>
      <w:bCs/>
      <w:sz w:val="24"/>
      <w:szCs w:val="24"/>
      <w:lang w:eastAsia="en-GB"/>
    </w:rPr>
  </w:style>
  <w:style w:type="paragraph" w:customStyle="1" w:styleId="xl71">
    <w:name w:val="xl71"/>
    <w:basedOn w:val="Normal"/>
    <w:rsid w:val="00060A0E"/>
    <w:pPr>
      <w:pBdr>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24"/>
      <w:szCs w:val="24"/>
      <w:lang w:eastAsia="en-GB"/>
    </w:rPr>
  </w:style>
  <w:style w:type="paragraph" w:customStyle="1" w:styleId="xl72">
    <w:name w:val="xl72"/>
    <w:basedOn w:val="Normal"/>
    <w:rsid w:val="00060A0E"/>
    <w:pPr>
      <w:pBdr>
        <w:left w:val="single" w:sz="4" w:space="0" w:color="auto"/>
        <w:bottom w:val="single" w:sz="4" w:space="0" w:color="auto"/>
      </w:pBdr>
      <w:shd w:val="clear" w:color="000000" w:fill="D9D9D9"/>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73">
    <w:name w:val="xl73"/>
    <w:basedOn w:val="Normal"/>
    <w:rsid w:val="00060A0E"/>
    <w:pPr>
      <w:pBdr>
        <w:bottom w:val="single" w:sz="4" w:space="0" w:color="auto"/>
      </w:pBdr>
      <w:shd w:val="clear" w:color="000000" w:fill="D9D9D9"/>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74">
    <w:name w:val="xl74"/>
    <w:basedOn w:val="Normal"/>
    <w:rsid w:val="00060A0E"/>
    <w:pPr>
      <w:pBdr>
        <w:bottom w:val="single" w:sz="4"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75">
    <w:name w:val="xl75"/>
    <w:basedOn w:val="Normal"/>
    <w:rsid w:val="00060A0E"/>
    <w:pPr>
      <w:pBdr>
        <w:left w:val="single" w:sz="4" w:space="0" w:color="auto"/>
        <w:right w:val="single" w:sz="4" w:space="0" w:color="auto"/>
      </w:pBdr>
      <w:shd w:val="clear" w:color="000000" w:fill="D9D9D9"/>
      <w:spacing w:before="100" w:beforeAutospacing="1" w:after="100" w:afterAutospacing="1" w:line="240" w:lineRule="auto"/>
      <w:jc w:val="right"/>
    </w:pPr>
    <w:rPr>
      <w:rFonts w:ascii="Arial" w:eastAsia="Times New Roman" w:hAnsi="Arial" w:cs="Arial"/>
      <w:sz w:val="20"/>
      <w:szCs w:val="20"/>
      <w:lang w:eastAsia="en-GB"/>
    </w:rPr>
  </w:style>
  <w:style w:type="paragraph" w:customStyle="1" w:styleId="xl78">
    <w:name w:val="xl78"/>
    <w:basedOn w:val="Normal"/>
    <w:rsid w:val="00060A0E"/>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Arial" w:eastAsia="Times New Roman" w:hAnsi="Arial" w:cs="Arial"/>
      <w:sz w:val="20"/>
      <w:szCs w:val="20"/>
      <w:lang w:eastAsia="en-GB"/>
    </w:rPr>
  </w:style>
  <w:style w:type="paragraph" w:customStyle="1" w:styleId="xl79">
    <w:name w:val="xl79"/>
    <w:basedOn w:val="Normal"/>
    <w:rsid w:val="00060A0E"/>
    <w:pPr>
      <w:shd w:val="clear" w:color="000000" w:fill="FFFFFF"/>
      <w:spacing w:before="100" w:beforeAutospacing="1" w:after="100" w:afterAutospacing="1" w:line="240" w:lineRule="auto"/>
      <w:jc w:val="center"/>
    </w:pPr>
    <w:rPr>
      <w:rFonts w:ascii="Times New Roman" w:eastAsia="Times New Roman" w:hAnsi="Times New Roman"/>
      <w:sz w:val="24"/>
      <w:szCs w:val="24"/>
      <w:lang w:eastAsia="en-GB"/>
    </w:rPr>
  </w:style>
  <w:style w:type="paragraph" w:customStyle="1" w:styleId="xl80">
    <w:name w:val="xl80"/>
    <w:basedOn w:val="Normal"/>
    <w:rsid w:val="00060A0E"/>
    <w:pPr>
      <w:shd w:val="clear" w:color="000000" w:fill="FFFFFF"/>
      <w:spacing w:before="100" w:beforeAutospacing="1" w:after="100" w:afterAutospacing="1" w:line="240" w:lineRule="auto"/>
    </w:pPr>
    <w:rPr>
      <w:rFonts w:ascii="Arial" w:eastAsia="Times New Roman" w:hAnsi="Arial" w:cs="Arial"/>
      <w:sz w:val="20"/>
      <w:szCs w:val="20"/>
      <w:lang w:eastAsia="en-GB"/>
    </w:rPr>
  </w:style>
  <w:style w:type="paragraph" w:customStyle="1" w:styleId="xl81">
    <w:name w:val="xl81"/>
    <w:basedOn w:val="Normal"/>
    <w:rsid w:val="00060A0E"/>
    <w:pPr>
      <w:spacing w:before="100" w:beforeAutospacing="1" w:after="100" w:afterAutospacing="1" w:line="240" w:lineRule="auto"/>
      <w:jc w:val="center"/>
    </w:pPr>
    <w:rPr>
      <w:rFonts w:ascii="Times New Roman" w:eastAsia="Times New Roman" w:hAnsi="Times New Roman"/>
      <w:sz w:val="24"/>
      <w:szCs w:val="24"/>
      <w:lang w:eastAsia="en-GB"/>
    </w:rPr>
  </w:style>
  <w:style w:type="paragraph" w:customStyle="1" w:styleId="xl82">
    <w:name w:val="xl82"/>
    <w:basedOn w:val="Normal"/>
    <w:rsid w:val="00060A0E"/>
    <w:pPr>
      <w:pBdr>
        <w:left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83">
    <w:name w:val="xl83"/>
    <w:basedOn w:val="Normal"/>
    <w:rsid w:val="00060A0E"/>
    <w:pPr>
      <w:pBdr>
        <w:left w:val="single" w:sz="4" w:space="0" w:color="auto"/>
      </w:pBdr>
      <w:shd w:val="clear" w:color="000000" w:fill="D9D9D9"/>
      <w:spacing w:before="100" w:beforeAutospacing="1" w:after="100" w:afterAutospacing="1" w:line="240" w:lineRule="auto"/>
    </w:pPr>
    <w:rPr>
      <w:rFonts w:ascii="Arial" w:eastAsia="Times New Roman" w:hAnsi="Arial" w:cs="Arial"/>
      <w:sz w:val="20"/>
      <w:szCs w:val="20"/>
      <w:lang w:eastAsia="en-GB"/>
    </w:rPr>
  </w:style>
  <w:style w:type="paragraph" w:customStyle="1" w:styleId="xl84">
    <w:name w:val="xl84"/>
    <w:basedOn w:val="Normal"/>
    <w:rsid w:val="00060A0E"/>
    <w:pPr>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85">
    <w:name w:val="xl85"/>
    <w:basedOn w:val="Normal"/>
    <w:rsid w:val="00060A0E"/>
    <w:pPr>
      <w:spacing w:before="100" w:beforeAutospacing="1" w:after="100" w:afterAutospacing="1" w:line="240" w:lineRule="auto"/>
    </w:pPr>
    <w:rPr>
      <w:rFonts w:ascii="Arial" w:eastAsia="Times New Roman" w:hAnsi="Arial" w:cs="Arial"/>
      <w:sz w:val="24"/>
      <w:szCs w:val="24"/>
      <w:lang w:eastAsia="en-GB"/>
    </w:rPr>
  </w:style>
  <w:style w:type="paragraph" w:customStyle="1" w:styleId="xl86">
    <w:name w:val="xl86"/>
    <w:basedOn w:val="Normal"/>
    <w:rsid w:val="00060A0E"/>
    <w:pPr>
      <w:spacing w:before="100" w:beforeAutospacing="1" w:after="100" w:afterAutospacing="1" w:line="240" w:lineRule="auto"/>
    </w:pPr>
    <w:rPr>
      <w:rFonts w:ascii="Arial" w:eastAsia="Times New Roman" w:hAnsi="Arial" w:cs="Arial"/>
      <w:sz w:val="24"/>
      <w:szCs w:val="24"/>
      <w:lang w:eastAsia="en-GB"/>
    </w:rPr>
  </w:style>
  <w:style w:type="paragraph" w:customStyle="1" w:styleId="xl87">
    <w:name w:val="xl87"/>
    <w:basedOn w:val="Normal"/>
    <w:rsid w:val="00060A0E"/>
    <w:pPr>
      <w:spacing w:before="100" w:beforeAutospacing="1" w:after="100" w:afterAutospacing="1" w:line="240" w:lineRule="auto"/>
    </w:pPr>
    <w:rPr>
      <w:rFonts w:ascii="Arial" w:eastAsia="Times New Roman" w:hAnsi="Arial" w:cs="Arial"/>
      <w:sz w:val="24"/>
      <w:szCs w:val="24"/>
      <w:lang w:eastAsia="en-GB"/>
    </w:rPr>
  </w:style>
  <w:style w:type="paragraph" w:customStyle="1" w:styleId="xl88">
    <w:name w:val="xl88"/>
    <w:basedOn w:val="Normal"/>
    <w:rsid w:val="00060A0E"/>
    <w:pPr>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89">
    <w:name w:val="xl89"/>
    <w:basedOn w:val="Normal"/>
    <w:rsid w:val="00060A0E"/>
    <w:pPr>
      <w:spacing w:before="100" w:beforeAutospacing="1" w:after="100" w:afterAutospacing="1" w:line="240" w:lineRule="auto"/>
      <w:jc w:val="right"/>
    </w:pPr>
    <w:rPr>
      <w:rFonts w:ascii="Times New Roman" w:eastAsia="Times New Roman" w:hAnsi="Times New Roman"/>
      <w:b/>
      <w:bCs/>
      <w:sz w:val="24"/>
      <w:szCs w:val="24"/>
      <w:lang w:eastAsia="en-GB"/>
    </w:rPr>
  </w:style>
  <w:style w:type="paragraph" w:customStyle="1" w:styleId="xl90">
    <w:name w:val="xl90"/>
    <w:basedOn w:val="Normal"/>
    <w:rsid w:val="00060A0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91">
    <w:name w:val="xl91"/>
    <w:basedOn w:val="Normal"/>
    <w:rsid w:val="00060A0E"/>
    <w:pPr>
      <w:shd w:val="clear" w:color="000000" w:fill="FFFFFF"/>
      <w:spacing w:before="100" w:beforeAutospacing="1" w:after="100" w:afterAutospacing="1" w:line="240" w:lineRule="auto"/>
    </w:pPr>
    <w:rPr>
      <w:rFonts w:ascii="Arial" w:eastAsia="Times New Roman" w:hAnsi="Arial" w:cs="Arial"/>
      <w:sz w:val="20"/>
      <w:szCs w:val="20"/>
      <w:lang w:eastAsia="en-GB"/>
    </w:rPr>
  </w:style>
  <w:style w:type="paragraph" w:customStyle="1" w:styleId="xl92">
    <w:name w:val="xl92"/>
    <w:basedOn w:val="Normal"/>
    <w:rsid w:val="00060A0E"/>
    <w:pPr>
      <w:pBdr>
        <w:top w:val="single" w:sz="4" w:space="0" w:color="auto"/>
        <w:left w:val="single" w:sz="4" w:space="0" w:color="auto"/>
      </w:pBdr>
      <w:shd w:val="clear" w:color="000000" w:fill="D9D9D9"/>
      <w:spacing w:before="100" w:beforeAutospacing="1" w:after="100" w:afterAutospacing="1" w:line="240" w:lineRule="auto"/>
    </w:pPr>
    <w:rPr>
      <w:rFonts w:ascii="Arial" w:eastAsia="Times New Roman" w:hAnsi="Arial" w:cs="Arial"/>
      <w:sz w:val="20"/>
      <w:szCs w:val="20"/>
      <w:lang w:eastAsia="en-GB"/>
    </w:rPr>
  </w:style>
  <w:style w:type="paragraph" w:customStyle="1" w:styleId="xl93">
    <w:name w:val="xl93"/>
    <w:basedOn w:val="Normal"/>
    <w:rsid w:val="00060A0E"/>
    <w:pPr>
      <w:pBdr>
        <w:left w:val="single" w:sz="4" w:space="0" w:color="auto"/>
        <w:bottom w:val="single" w:sz="4" w:space="0" w:color="auto"/>
      </w:pBdr>
      <w:shd w:val="clear" w:color="000000" w:fill="D9D9D9"/>
      <w:spacing w:before="100" w:beforeAutospacing="1" w:after="100" w:afterAutospacing="1" w:line="240" w:lineRule="auto"/>
    </w:pPr>
    <w:rPr>
      <w:rFonts w:ascii="Arial" w:eastAsia="Times New Roman" w:hAnsi="Arial" w:cs="Arial"/>
      <w:sz w:val="20"/>
      <w:szCs w:val="20"/>
      <w:lang w:eastAsia="en-GB"/>
    </w:rPr>
  </w:style>
  <w:style w:type="paragraph" w:customStyle="1" w:styleId="xl94">
    <w:name w:val="xl94"/>
    <w:basedOn w:val="Normal"/>
    <w:rsid w:val="00060A0E"/>
    <w:pPr>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95">
    <w:name w:val="xl95"/>
    <w:basedOn w:val="Normal"/>
    <w:rsid w:val="00060A0E"/>
    <w:pPr>
      <w:spacing w:before="100" w:beforeAutospacing="1" w:after="100" w:afterAutospacing="1" w:line="240" w:lineRule="auto"/>
      <w:textAlignment w:val="center"/>
    </w:pPr>
    <w:rPr>
      <w:rFonts w:ascii="Arial" w:eastAsia="Times New Roman" w:hAnsi="Arial" w:cs="Arial"/>
      <w:b/>
      <w:bCs/>
      <w:sz w:val="24"/>
      <w:szCs w:val="24"/>
      <w:lang w:eastAsia="en-GB"/>
    </w:rPr>
  </w:style>
  <w:style w:type="paragraph" w:customStyle="1" w:styleId="xl96">
    <w:name w:val="xl96"/>
    <w:basedOn w:val="Normal"/>
    <w:rsid w:val="00060A0E"/>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97">
    <w:name w:val="xl97"/>
    <w:basedOn w:val="Normal"/>
    <w:rsid w:val="00060A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98">
    <w:name w:val="xl98"/>
    <w:basedOn w:val="Normal"/>
    <w:rsid w:val="00060A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99">
    <w:name w:val="xl99"/>
    <w:basedOn w:val="Normal"/>
    <w:rsid w:val="00060A0E"/>
    <w:pPr>
      <w:pBdr>
        <w:left w:val="single" w:sz="4" w:space="0" w:color="auto"/>
      </w:pBdr>
      <w:shd w:val="clear" w:color="000000" w:fill="D9D9D9"/>
      <w:spacing w:before="100" w:beforeAutospacing="1" w:after="100" w:afterAutospacing="1" w:line="240" w:lineRule="auto"/>
    </w:pPr>
    <w:rPr>
      <w:rFonts w:ascii="Arial" w:eastAsia="Times New Roman" w:hAnsi="Arial" w:cs="Arial"/>
      <w:sz w:val="20"/>
      <w:szCs w:val="20"/>
      <w:lang w:eastAsia="en-GB"/>
    </w:rPr>
  </w:style>
  <w:style w:type="paragraph" w:customStyle="1" w:styleId="xl100">
    <w:name w:val="xl100"/>
    <w:basedOn w:val="Normal"/>
    <w:rsid w:val="00060A0E"/>
    <w:pPr>
      <w:pBdr>
        <w:bottom w:val="single" w:sz="4" w:space="0" w:color="auto"/>
      </w:pBdr>
      <w:shd w:val="clear" w:color="000000" w:fill="D9D9D9"/>
      <w:spacing w:before="100" w:beforeAutospacing="1" w:after="100" w:afterAutospacing="1" w:line="240" w:lineRule="auto"/>
    </w:pPr>
    <w:rPr>
      <w:rFonts w:ascii="Arial" w:eastAsia="Times New Roman" w:hAnsi="Arial" w:cs="Arial"/>
      <w:sz w:val="16"/>
      <w:szCs w:val="16"/>
      <w:lang w:eastAsia="en-GB"/>
    </w:rPr>
  </w:style>
  <w:style w:type="paragraph" w:customStyle="1" w:styleId="xl101">
    <w:name w:val="xl101"/>
    <w:basedOn w:val="Normal"/>
    <w:rsid w:val="00060A0E"/>
    <w:pPr>
      <w:pBdr>
        <w:bottom w:val="single" w:sz="4" w:space="0" w:color="auto"/>
      </w:pBdr>
      <w:shd w:val="clear" w:color="000000" w:fill="D9D9D9"/>
      <w:spacing w:before="100" w:beforeAutospacing="1" w:after="100" w:afterAutospacing="1" w:line="240" w:lineRule="auto"/>
    </w:pPr>
    <w:rPr>
      <w:rFonts w:ascii="Arial" w:eastAsia="Times New Roman" w:hAnsi="Arial" w:cs="Arial"/>
      <w:sz w:val="16"/>
      <w:szCs w:val="16"/>
      <w:lang w:eastAsia="en-GB"/>
    </w:rPr>
  </w:style>
  <w:style w:type="paragraph" w:customStyle="1" w:styleId="xl102">
    <w:name w:val="xl102"/>
    <w:basedOn w:val="Normal"/>
    <w:rsid w:val="00060A0E"/>
    <w:pPr>
      <w:pBdr>
        <w:top w:val="single" w:sz="4" w:space="0" w:color="auto"/>
        <w:left w:val="single" w:sz="4" w:space="0" w:color="auto"/>
      </w:pBdr>
      <w:shd w:val="clear" w:color="000000" w:fill="D9D9D9"/>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03">
    <w:name w:val="xl103"/>
    <w:basedOn w:val="Normal"/>
    <w:rsid w:val="00060A0E"/>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04">
    <w:name w:val="xl104"/>
    <w:basedOn w:val="Normal"/>
    <w:rsid w:val="00060A0E"/>
    <w:pPr>
      <w:pBdr>
        <w:top w:val="single" w:sz="4" w:space="0" w:color="auto"/>
      </w:pBdr>
      <w:shd w:val="clear" w:color="000000" w:fill="D9D9D9"/>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05">
    <w:name w:val="xl105"/>
    <w:basedOn w:val="Normal"/>
    <w:rsid w:val="00060A0E"/>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06">
    <w:name w:val="xl106"/>
    <w:basedOn w:val="Normal"/>
    <w:rsid w:val="00060A0E"/>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07">
    <w:name w:val="xl107"/>
    <w:basedOn w:val="Normal"/>
    <w:rsid w:val="00060A0E"/>
    <w:pPr>
      <w:pBdr>
        <w:left w:val="single" w:sz="4" w:space="0" w:color="auto"/>
      </w:pBdr>
      <w:shd w:val="clear" w:color="000000" w:fill="D9D9D9"/>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08">
    <w:name w:val="xl108"/>
    <w:basedOn w:val="Normal"/>
    <w:rsid w:val="00060A0E"/>
    <w:pPr>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09">
    <w:name w:val="xl109"/>
    <w:basedOn w:val="Normal"/>
    <w:rsid w:val="00060A0E"/>
    <w:pPr>
      <w:shd w:val="clear" w:color="000000" w:fill="D9D9D9"/>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10">
    <w:name w:val="xl110"/>
    <w:basedOn w:val="Normal"/>
    <w:rsid w:val="00060A0E"/>
    <w:pPr>
      <w:pBdr>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11">
    <w:name w:val="xl111"/>
    <w:basedOn w:val="Normal"/>
    <w:rsid w:val="00060A0E"/>
    <w:pPr>
      <w:shd w:val="clear" w:color="000000" w:fill="FFFFFF"/>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12">
    <w:name w:val="xl112"/>
    <w:basedOn w:val="Normal"/>
    <w:rsid w:val="00060A0E"/>
    <w:pPr>
      <w:pBdr>
        <w:lef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13">
    <w:name w:val="xl113"/>
    <w:basedOn w:val="Normal"/>
    <w:rsid w:val="00060A0E"/>
    <w:pPr>
      <w:pBdr>
        <w:left w:val="single" w:sz="4" w:space="0" w:color="auto"/>
      </w:pBdr>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14">
    <w:name w:val="xl114"/>
    <w:basedOn w:val="Normal"/>
    <w:rsid w:val="00060A0E"/>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15">
    <w:name w:val="xl115"/>
    <w:basedOn w:val="Normal"/>
    <w:rsid w:val="00060A0E"/>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16">
    <w:name w:val="xl116"/>
    <w:basedOn w:val="Normal"/>
    <w:rsid w:val="00060A0E"/>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17">
    <w:name w:val="xl117"/>
    <w:basedOn w:val="Normal"/>
    <w:rsid w:val="00060A0E"/>
    <w:pPr>
      <w:pBdr>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18">
    <w:name w:val="xl118"/>
    <w:basedOn w:val="Normal"/>
    <w:rsid w:val="00060A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en-GB"/>
    </w:rPr>
  </w:style>
  <w:style w:type="paragraph" w:customStyle="1" w:styleId="xl119">
    <w:name w:val="xl119"/>
    <w:basedOn w:val="Normal"/>
    <w:rsid w:val="00060A0E"/>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en-GB"/>
    </w:rPr>
  </w:style>
  <w:style w:type="paragraph" w:customStyle="1" w:styleId="xl120">
    <w:name w:val="xl120"/>
    <w:basedOn w:val="Normal"/>
    <w:rsid w:val="00060A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en-GB"/>
    </w:rPr>
  </w:style>
  <w:style w:type="paragraph" w:customStyle="1" w:styleId="xl121">
    <w:name w:val="xl121"/>
    <w:basedOn w:val="Normal"/>
    <w:rsid w:val="00060A0E"/>
    <w:pPr>
      <w:shd w:val="clear" w:color="000000" w:fill="FFFFFF"/>
      <w:spacing w:before="100" w:beforeAutospacing="1" w:after="100" w:afterAutospacing="1" w:line="240" w:lineRule="auto"/>
    </w:pPr>
    <w:rPr>
      <w:rFonts w:ascii="Arial" w:eastAsia="Times New Roman" w:hAnsi="Arial" w:cs="Arial"/>
      <w:sz w:val="24"/>
      <w:szCs w:val="24"/>
      <w:lang w:eastAsia="en-GB"/>
    </w:rPr>
  </w:style>
  <w:style w:type="paragraph" w:customStyle="1" w:styleId="xl122">
    <w:name w:val="xl122"/>
    <w:basedOn w:val="Normal"/>
    <w:rsid w:val="00060A0E"/>
    <w:pPr>
      <w:shd w:val="clear" w:color="000000" w:fill="FFFFFF"/>
      <w:spacing w:before="100" w:beforeAutospacing="1" w:after="100" w:afterAutospacing="1" w:line="240" w:lineRule="auto"/>
    </w:pPr>
    <w:rPr>
      <w:rFonts w:ascii="Arial" w:eastAsia="Times New Roman" w:hAnsi="Arial" w:cs="Arial"/>
      <w:sz w:val="24"/>
      <w:szCs w:val="24"/>
      <w:lang w:eastAsia="en-GB"/>
    </w:rPr>
  </w:style>
  <w:style w:type="paragraph" w:customStyle="1" w:styleId="xl123">
    <w:name w:val="xl123"/>
    <w:basedOn w:val="Normal"/>
    <w:rsid w:val="00060A0E"/>
    <w:pPr>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124">
    <w:name w:val="xl124"/>
    <w:basedOn w:val="Normal"/>
    <w:rsid w:val="00060A0E"/>
    <w:pPr>
      <w:spacing w:before="100" w:beforeAutospacing="1" w:after="100" w:afterAutospacing="1" w:line="240" w:lineRule="auto"/>
    </w:pPr>
    <w:rPr>
      <w:rFonts w:ascii="Arial" w:eastAsia="Times New Roman" w:hAnsi="Arial" w:cs="Arial"/>
      <w:sz w:val="24"/>
      <w:szCs w:val="24"/>
      <w:lang w:eastAsia="en-GB"/>
    </w:rPr>
  </w:style>
  <w:style w:type="paragraph" w:customStyle="1" w:styleId="xl125">
    <w:name w:val="xl125"/>
    <w:basedOn w:val="Normal"/>
    <w:rsid w:val="00060A0E"/>
    <w:pPr>
      <w:shd w:val="clear" w:color="000000" w:fill="FFFFFF"/>
      <w:spacing w:before="100" w:beforeAutospacing="1" w:after="100" w:afterAutospacing="1" w:line="240" w:lineRule="auto"/>
    </w:pPr>
    <w:rPr>
      <w:rFonts w:ascii="Arial" w:eastAsia="Times New Roman" w:hAnsi="Arial" w:cs="Arial"/>
      <w:sz w:val="24"/>
      <w:szCs w:val="24"/>
      <w:lang w:eastAsia="en-GB"/>
    </w:rPr>
  </w:style>
  <w:style w:type="paragraph" w:customStyle="1" w:styleId="xl126">
    <w:name w:val="xl126"/>
    <w:basedOn w:val="Normal"/>
    <w:rsid w:val="00060A0E"/>
    <w:pPr>
      <w:shd w:val="clear" w:color="000000" w:fill="FFFFFF"/>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127">
    <w:name w:val="xl127"/>
    <w:basedOn w:val="Normal"/>
    <w:rsid w:val="00060A0E"/>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28">
    <w:name w:val="xl128"/>
    <w:basedOn w:val="Normal"/>
    <w:rsid w:val="00060A0E"/>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numbering" w:customStyle="1" w:styleId="CMFBsectionnumbering">
    <w:name w:val="CMFB section numbering"/>
    <w:uiPriority w:val="99"/>
    <w:rsid w:val="004B4ABA"/>
    <w:pPr>
      <w:numPr>
        <w:numId w:val="9"/>
      </w:numPr>
    </w:pPr>
  </w:style>
  <w:style w:type="character" w:styleId="UnresolvedMention">
    <w:name w:val="Unresolved Mention"/>
    <w:basedOn w:val="DefaultParagraphFont"/>
    <w:uiPriority w:val="99"/>
    <w:semiHidden/>
    <w:unhideWhenUsed/>
    <w:rsid w:val="00616D83"/>
    <w:rPr>
      <w:color w:val="605E5C"/>
      <w:shd w:val="clear" w:color="auto" w:fill="E1DFDD"/>
    </w:rPr>
  </w:style>
  <w:style w:type="table" w:customStyle="1" w:styleId="TableGrid1">
    <w:name w:val="Table Grid1"/>
    <w:basedOn w:val="TableNormal"/>
    <w:next w:val="TableGrid"/>
    <w:uiPriority w:val="59"/>
    <w:rsid w:val="00357F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2299">
      <w:bodyDiv w:val="1"/>
      <w:marLeft w:val="0"/>
      <w:marRight w:val="0"/>
      <w:marTop w:val="0"/>
      <w:marBottom w:val="0"/>
      <w:divBdr>
        <w:top w:val="none" w:sz="0" w:space="0" w:color="auto"/>
        <w:left w:val="none" w:sz="0" w:space="0" w:color="auto"/>
        <w:bottom w:val="none" w:sz="0" w:space="0" w:color="auto"/>
        <w:right w:val="none" w:sz="0" w:space="0" w:color="auto"/>
      </w:divBdr>
      <w:divsChild>
        <w:div w:id="375860597">
          <w:marLeft w:val="720"/>
          <w:marRight w:val="0"/>
          <w:marTop w:val="240"/>
          <w:marBottom w:val="0"/>
          <w:divBdr>
            <w:top w:val="none" w:sz="0" w:space="0" w:color="auto"/>
            <w:left w:val="none" w:sz="0" w:space="0" w:color="auto"/>
            <w:bottom w:val="none" w:sz="0" w:space="0" w:color="auto"/>
            <w:right w:val="none" w:sz="0" w:space="0" w:color="auto"/>
          </w:divBdr>
        </w:div>
        <w:div w:id="785081352">
          <w:marLeft w:val="720"/>
          <w:marRight w:val="0"/>
          <w:marTop w:val="240"/>
          <w:marBottom w:val="0"/>
          <w:divBdr>
            <w:top w:val="none" w:sz="0" w:space="0" w:color="auto"/>
            <w:left w:val="none" w:sz="0" w:space="0" w:color="auto"/>
            <w:bottom w:val="none" w:sz="0" w:space="0" w:color="auto"/>
            <w:right w:val="none" w:sz="0" w:space="0" w:color="auto"/>
          </w:divBdr>
        </w:div>
        <w:div w:id="956571321">
          <w:marLeft w:val="720"/>
          <w:marRight w:val="0"/>
          <w:marTop w:val="240"/>
          <w:marBottom w:val="0"/>
          <w:divBdr>
            <w:top w:val="none" w:sz="0" w:space="0" w:color="auto"/>
            <w:left w:val="none" w:sz="0" w:space="0" w:color="auto"/>
            <w:bottom w:val="none" w:sz="0" w:space="0" w:color="auto"/>
            <w:right w:val="none" w:sz="0" w:space="0" w:color="auto"/>
          </w:divBdr>
        </w:div>
        <w:div w:id="1282149498">
          <w:marLeft w:val="720"/>
          <w:marRight w:val="0"/>
          <w:marTop w:val="240"/>
          <w:marBottom w:val="0"/>
          <w:divBdr>
            <w:top w:val="none" w:sz="0" w:space="0" w:color="auto"/>
            <w:left w:val="none" w:sz="0" w:space="0" w:color="auto"/>
            <w:bottom w:val="none" w:sz="0" w:space="0" w:color="auto"/>
            <w:right w:val="none" w:sz="0" w:space="0" w:color="auto"/>
          </w:divBdr>
        </w:div>
        <w:div w:id="1906795450">
          <w:marLeft w:val="720"/>
          <w:marRight w:val="0"/>
          <w:marTop w:val="240"/>
          <w:marBottom w:val="0"/>
          <w:divBdr>
            <w:top w:val="none" w:sz="0" w:space="0" w:color="auto"/>
            <w:left w:val="none" w:sz="0" w:space="0" w:color="auto"/>
            <w:bottom w:val="none" w:sz="0" w:space="0" w:color="auto"/>
            <w:right w:val="none" w:sz="0" w:space="0" w:color="auto"/>
          </w:divBdr>
        </w:div>
      </w:divsChild>
    </w:div>
    <w:div w:id="195895880">
      <w:bodyDiv w:val="1"/>
      <w:marLeft w:val="0"/>
      <w:marRight w:val="0"/>
      <w:marTop w:val="0"/>
      <w:marBottom w:val="0"/>
      <w:divBdr>
        <w:top w:val="none" w:sz="0" w:space="0" w:color="auto"/>
        <w:left w:val="none" w:sz="0" w:space="0" w:color="auto"/>
        <w:bottom w:val="none" w:sz="0" w:space="0" w:color="auto"/>
        <w:right w:val="none" w:sz="0" w:space="0" w:color="auto"/>
      </w:divBdr>
    </w:div>
    <w:div w:id="295599164">
      <w:bodyDiv w:val="1"/>
      <w:marLeft w:val="0"/>
      <w:marRight w:val="0"/>
      <w:marTop w:val="0"/>
      <w:marBottom w:val="0"/>
      <w:divBdr>
        <w:top w:val="none" w:sz="0" w:space="0" w:color="auto"/>
        <w:left w:val="none" w:sz="0" w:space="0" w:color="auto"/>
        <w:bottom w:val="none" w:sz="0" w:space="0" w:color="auto"/>
        <w:right w:val="none" w:sz="0" w:space="0" w:color="auto"/>
      </w:divBdr>
    </w:div>
    <w:div w:id="339087948">
      <w:bodyDiv w:val="1"/>
      <w:marLeft w:val="0"/>
      <w:marRight w:val="0"/>
      <w:marTop w:val="0"/>
      <w:marBottom w:val="0"/>
      <w:divBdr>
        <w:top w:val="none" w:sz="0" w:space="0" w:color="auto"/>
        <w:left w:val="none" w:sz="0" w:space="0" w:color="auto"/>
        <w:bottom w:val="none" w:sz="0" w:space="0" w:color="auto"/>
        <w:right w:val="none" w:sz="0" w:space="0" w:color="auto"/>
      </w:divBdr>
    </w:div>
    <w:div w:id="360589382">
      <w:bodyDiv w:val="1"/>
      <w:marLeft w:val="0"/>
      <w:marRight w:val="0"/>
      <w:marTop w:val="0"/>
      <w:marBottom w:val="0"/>
      <w:divBdr>
        <w:top w:val="none" w:sz="0" w:space="0" w:color="auto"/>
        <w:left w:val="none" w:sz="0" w:space="0" w:color="auto"/>
        <w:bottom w:val="none" w:sz="0" w:space="0" w:color="auto"/>
        <w:right w:val="none" w:sz="0" w:space="0" w:color="auto"/>
      </w:divBdr>
    </w:div>
    <w:div w:id="447431119">
      <w:bodyDiv w:val="1"/>
      <w:marLeft w:val="0"/>
      <w:marRight w:val="0"/>
      <w:marTop w:val="0"/>
      <w:marBottom w:val="0"/>
      <w:divBdr>
        <w:top w:val="none" w:sz="0" w:space="0" w:color="auto"/>
        <w:left w:val="none" w:sz="0" w:space="0" w:color="auto"/>
        <w:bottom w:val="none" w:sz="0" w:space="0" w:color="auto"/>
        <w:right w:val="none" w:sz="0" w:space="0" w:color="auto"/>
      </w:divBdr>
    </w:div>
    <w:div w:id="970939460">
      <w:bodyDiv w:val="1"/>
      <w:marLeft w:val="0"/>
      <w:marRight w:val="0"/>
      <w:marTop w:val="0"/>
      <w:marBottom w:val="0"/>
      <w:divBdr>
        <w:top w:val="none" w:sz="0" w:space="0" w:color="auto"/>
        <w:left w:val="none" w:sz="0" w:space="0" w:color="auto"/>
        <w:bottom w:val="none" w:sz="0" w:space="0" w:color="auto"/>
        <w:right w:val="none" w:sz="0" w:space="0" w:color="auto"/>
      </w:divBdr>
    </w:div>
    <w:div w:id="994989111">
      <w:bodyDiv w:val="1"/>
      <w:marLeft w:val="0"/>
      <w:marRight w:val="0"/>
      <w:marTop w:val="0"/>
      <w:marBottom w:val="0"/>
      <w:divBdr>
        <w:top w:val="none" w:sz="0" w:space="0" w:color="auto"/>
        <w:left w:val="none" w:sz="0" w:space="0" w:color="auto"/>
        <w:bottom w:val="none" w:sz="0" w:space="0" w:color="auto"/>
        <w:right w:val="none" w:sz="0" w:space="0" w:color="auto"/>
      </w:divBdr>
    </w:div>
    <w:div w:id="1225601146">
      <w:bodyDiv w:val="1"/>
      <w:marLeft w:val="0"/>
      <w:marRight w:val="0"/>
      <w:marTop w:val="0"/>
      <w:marBottom w:val="0"/>
      <w:divBdr>
        <w:top w:val="none" w:sz="0" w:space="0" w:color="auto"/>
        <w:left w:val="none" w:sz="0" w:space="0" w:color="auto"/>
        <w:bottom w:val="none" w:sz="0" w:space="0" w:color="auto"/>
        <w:right w:val="none" w:sz="0" w:space="0" w:color="auto"/>
      </w:divBdr>
    </w:div>
    <w:div w:id="1465662034">
      <w:bodyDiv w:val="1"/>
      <w:marLeft w:val="0"/>
      <w:marRight w:val="0"/>
      <w:marTop w:val="0"/>
      <w:marBottom w:val="0"/>
      <w:divBdr>
        <w:top w:val="none" w:sz="0" w:space="0" w:color="auto"/>
        <w:left w:val="none" w:sz="0" w:space="0" w:color="auto"/>
        <w:bottom w:val="none" w:sz="0" w:space="0" w:color="auto"/>
        <w:right w:val="none" w:sz="0" w:space="0" w:color="auto"/>
      </w:divBdr>
      <w:divsChild>
        <w:div w:id="1244267009">
          <w:marLeft w:val="1166"/>
          <w:marRight w:val="0"/>
          <w:marTop w:val="480"/>
          <w:marBottom w:val="0"/>
          <w:divBdr>
            <w:top w:val="none" w:sz="0" w:space="0" w:color="auto"/>
            <w:left w:val="none" w:sz="0" w:space="0" w:color="auto"/>
            <w:bottom w:val="none" w:sz="0" w:space="0" w:color="auto"/>
            <w:right w:val="none" w:sz="0" w:space="0" w:color="auto"/>
          </w:divBdr>
        </w:div>
      </w:divsChild>
    </w:div>
    <w:div w:id="1494879230">
      <w:bodyDiv w:val="1"/>
      <w:marLeft w:val="0"/>
      <w:marRight w:val="0"/>
      <w:marTop w:val="0"/>
      <w:marBottom w:val="0"/>
      <w:divBdr>
        <w:top w:val="none" w:sz="0" w:space="0" w:color="auto"/>
        <w:left w:val="none" w:sz="0" w:space="0" w:color="auto"/>
        <w:bottom w:val="none" w:sz="0" w:space="0" w:color="auto"/>
        <w:right w:val="none" w:sz="0" w:space="0" w:color="auto"/>
      </w:divBdr>
    </w:div>
    <w:div w:id="1576352349">
      <w:bodyDiv w:val="1"/>
      <w:marLeft w:val="0"/>
      <w:marRight w:val="0"/>
      <w:marTop w:val="0"/>
      <w:marBottom w:val="0"/>
      <w:divBdr>
        <w:top w:val="none" w:sz="0" w:space="0" w:color="auto"/>
        <w:left w:val="none" w:sz="0" w:space="0" w:color="auto"/>
        <w:bottom w:val="none" w:sz="0" w:space="0" w:color="auto"/>
        <w:right w:val="none" w:sz="0" w:space="0" w:color="auto"/>
      </w:divBdr>
    </w:div>
    <w:div w:id="1649243344">
      <w:bodyDiv w:val="1"/>
      <w:marLeft w:val="0"/>
      <w:marRight w:val="0"/>
      <w:marTop w:val="0"/>
      <w:marBottom w:val="0"/>
      <w:divBdr>
        <w:top w:val="none" w:sz="0" w:space="0" w:color="auto"/>
        <w:left w:val="none" w:sz="0" w:space="0" w:color="auto"/>
        <w:bottom w:val="none" w:sz="0" w:space="0" w:color="auto"/>
        <w:right w:val="none" w:sz="0" w:space="0" w:color="auto"/>
      </w:divBdr>
    </w:div>
    <w:div w:id="1808356989">
      <w:bodyDiv w:val="1"/>
      <w:marLeft w:val="0"/>
      <w:marRight w:val="0"/>
      <w:marTop w:val="0"/>
      <w:marBottom w:val="0"/>
      <w:divBdr>
        <w:top w:val="none" w:sz="0" w:space="0" w:color="auto"/>
        <w:left w:val="none" w:sz="0" w:space="0" w:color="auto"/>
        <w:bottom w:val="none" w:sz="0" w:space="0" w:color="auto"/>
        <w:right w:val="none" w:sz="0" w:space="0" w:color="auto"/>
      </w:divBdr>
    </w:div>
    <w:div w:id="1858813697">
      <w:bodyDiv w:val="1"/>
      <w:marLeft w:val="0"/>
      <w:marRight w:val="0"/>
      <w:marTop w:val="0"/>
      <w:marBottom w:val="0"/>
      <w:divBdr>
        <w:top w:val="none" w:sz="0" w:space="0" w:color="auto"/>
        <w:left w:val="none" w:sz="0" w:space="0" w:color="auto"/>
        <w:bottom w:val="none" w:sz="0" w:space="0" w:color="auto"/>
        <w:right w:val="none" w:sz="0" w:space="0" w:color="auto"/>
      </w:divBdr>
    </w:div>
    <w:div w:id="1864399784">
      <w:bodyDiv w:val="1"/>
      <w:marLeft w:val="0"/>
      <w:marRight w:val="0"/>
      <w:marTop w:val="0"/>
      <w:marBottom w:val="0"/>
      <w:divBdr>
        <w:top w:val="none" w:sz="0" w:space="0" w:color="auto"/>
        <w:left w:val="none" w:sz="0" w:space="0" w:color="auto"/>
        <w:bottom w:val="none" w:sz="0" w:space="0" w:color="auto"/>
        <w:right w:val="none" w:sz="0" w:space="0" w:color="auto"/>
      </w:divBdr>
    </w:div>
    <w:div w:id="194460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b.lt/lt/duomenu-revizijos" TargetMode="External"/><Relationship Id="rId18" Type="http://schemas.openxmlformats.org/officeDocument/2006/relationships/hyperlink" Target="https://www.lb.lt/lt/statistika-trumpai" TargetMode="External"/><Relationship Id="rId26" Type="http://schemas.openxmlformats.org/officeDocument/2006/relationships/hyperlink" Target="mailto:mantas.malcius@stat.gov.lt" TargetMode="External"/><Relationship Id="rId3" Type="http://schemas.openxmlformats.org/officeDocument/2006/relationships/numbering" Target="numbering.xml"/><Relationship Id="rId21" Type="http://schemas.openxmlformats.org/officeDocument/2006/relationships/hyperlink" Target="http://stats.oecd.org/"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osp.stat.gov.lt/lt/kalendoriai" TargetMode="External"/><Relationship Id="rId17" Type="http://schemas.openxmlformats.org/officeDocument/2006/relationships/hyperlink" Target="http://www.lb.lt/lt/finansiniu-saskaitu-statistika" TargetMode="External"/><Relationship Id="rId25" Type="http://schemas.openxmlformats.org/officeDocument/2006/relationships/hyperlink" Target="mailto:dliberiene@lb.lt"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osp.stat.gov.lt/documents/10180/5118910/Vald%C5%BEios+sektoriaus+finansin%C4%97s+s%C4%85skaitos+%5BLT%5D+125840000.html" TargetMode="External"/><Relationship Id="rId20" Type="http://schemas.openxmlformats.org/officeDocument/2006/relationships/hyperlink" Target="http://ec.europa.eu/eurostat/data/databas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b.lt/lt/duomenu-skelbimo-kalendorius" TargetMode="External"/><Relationship Id="rId24" Type="http://schemas.openxmlformats.org/officeDocument/2006/relationships/hyperlink" Target="https://osp.stat.gov.lt/documents/10180/5118910/Vald%C5%BEios+sektoriaus+finansin%C4%97s+s%C4%85skaitos+%5BLT%5D+125840000.html" TargetMode="External"/><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www.lb.lt/uploads/documents/files/statistika/metaduomenys/Metaduomenys_Finansines%20saskaitos.pdf" TargetMode="External"/><Relationship Id="rId23" Type="http://schemas.openxmlformats.org/officeDocument/2006/relationships/hyperlink" Target="http://www.lb.lt/uploads/documents/files/statistika/metaduomenys/Metaduomenys_Finansines%20saskaitos.pdf" TargetMode="External"/><Relationship Id="rId28" Type="http://schemas.openxmlformats.org/officeDocument/2006/relationships/header" Target="header2.xml"/><Relationship Id="rId10" Type="http://schemas.openxmlformats.org/officeDocument/2006/relationships/hyperlink" Target="https://vda.lrv.lt/lt/administracine-informacija/planavimo-dokumentai/oficialiosios-statistikos-programos-ofsp/" TargetMode="External"/><Relationship Id="rId19" Type="http://schemas.openxmlformats.org/officeDocument/2006/relationships/hyperlink" Target="https://data.ecb.europa.eu/data/data-categories#financial-accounts" TargetMode="External"/><Relationship Id="rId31"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s://www.lb.lt/uploads/documents/files/statistika/apie-statistika/Lietuvos_banko_statistikos_programa_2026.pdf" TargetMode="External"/><Relationship Id="rId14" Type="http://schemas.openxmlformats.org/officeDocument/2006/relationships/hyperlink" Target="https://vda.lrv.lt/media/viesa/saugykla/2023/12/JemJ9CMzA0k.pdf" TargetMode="External"/><Relationship Id="rId22" Type="http://schemas.openxmlformats.org/officeDocument/2006/relationships/hyperlink" Target="https://osp.stat.gov.lt/statistiniu-rodikliu-analize"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93A0A-68D7-4824-B8F9-6A86989851BB}">
  <ds:schemaRefs>
    <ds:schemaRef ds:uri="http://schemas.openxmlformats.org/officeDocument/2006/bibliography"/>
  </ds:schemaRefs>
</ds:datastoreItem>
</file>

<file path=customXml/itemProps2.xml><?xml version="1.0" encoding="utf-8"?>
<ds:datastoreItem xmlns:ds="http://schemas.openxmlformats.org/officeDocument/2006/customXml" ds:itemID="{8AEF979B-B269-4289-8DA0-75BE3826D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9</Pages>
  <Words>16984</Words>
  <Characters>9682</Characters>
  <Application>Microsoft Office Word</Application>
  <DocSecurity>0</DocSecurity>
  <Lines>80</Lines>
  <Paragraphs>53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European Commission</Company>
  <LinksUpToDate>false</LinksUpToDate>
  <CharactersWithSpaces>26613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TVARIJONAVICIUTE Irena (ESTAT)</dc:creator>
  <cp:lastModifiedBy>Diana Liberienė</cp:lastModifiedBy>
  <cp:revision>7</cp:revision>
  <cp:lastPrinted>2018-10-03T11:17:00Z</cp:lastPrinted>
  <dcterms:created xsi:type="dcterms:W3CDTF">2026-01-19T06:43:00Z</dcterms:created>
  <dcterms:modified xsi:type="dcterms:W3CDTF">2026-01-19T14:19:00Z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2a09b59-4bfd-43f2-a2c2-5b6d8700d3c9_Enabled">
    <vt:lpwstr>true</vt:lpwstr>
  </property>
  <property fmtid="{D5CDD505-2E9C-101B-9397-08002B2CF9AE}" pid="3" name="MSIP_Label_e2a09b59-4bfd-43f2-a2c2-5b6d8700d3c9_SetDate">
    <vt:lpwstr>2023-10-17T10:05:40Z</vt:lpwstr>
  </property>
  <property fmtid="{D5CDD505-2E9C-101B-9397-08002B2CF9AE}" pid="4" name="MSIP_Label_e2a09b59-4bfd-43f2-a2c2-5b6d8700d3c9_Method">
    <vt:lpwstr>Privileged</vt:lpwstr>
  </property>
  <property fmtid="{D5CDD505-2E9C-101B-9397-08002B2CF9AE}" pid="5" name="MSIP_Label_e2a09b59-4bfd-43f2-a2c2-5b6d8700d3c9_Name">
    <vt:lpwstr>LB NEVIEŠA Nematoma (Invisible)</vt:lpwstr>
  </property>
  <property fmtid="{D5CDD505-2E9C-101B-9397-08002B2CF9AE}" pid="6" name="MSIP_Label_e2a09b59-4bfd-43f2-a2c2-5b6d8700d3c9_SiteId">
    <vt:lpwstr>5a40b399-6903-4594-ad73-dc4ed7ed91c0</vt:lpwstr>
  </property>
  <property fmtid="{D5CDD505-2E9C-101B-9397-08002B2CF9AE}" pid="7" name="MSIP_Label_e2a09b59-4bfd-43f2-a2c2-5b6d8700d3c9_ActionId">
    <vt:lpwstr>be58168c-b817-4228-b0d0-c3842e2c8eb2</vt:lpwstr>
  </property>
  <property fmtid="{D5CDD505-2E9C-101B-9397-08002B2CF9AE}" pid="8" name="MSIP_Label_e2a09b59-4bfd-43f2-a2c2-5b6d8700d3c9_ContentBits">
    <vt:lpwstr>0</vt:lpwstr>
  </property>
</Properties>
</file>