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Ref409731609"/>
    <w:bookmarkStart w:id="1" w:name="_Toc421289037"/>
    <w:bookmarkStart w:id="2" w:name="_Toc421695556"/>
    <w:bookmarkStart w:id="3" w:name="_Toc422500648"/>
    <w:bookmarkStart w:id="4" w:name="_Toc422748068"/>
    <w:p w14:paraId="2D3BDD60" w14:textId="77777777" w:rsidR="003614D7" w:rsidRDefault="003614D7" w:rsidP="003614D7">
      <w:pPr>
        <w:rPr>
          <w:rStyle w:val="Strong"/>
          <w:b w:val="0"/>
          <w:bCs w:val="0"/>
        </w:rPr>
      </w:pPr>
      <w:r w:rsidRPr="00FF48A4">
        <w:rPr>
          <w:rFonts w:cs="Arial"/>
          <w:noProof/>
          <w:lang w:eastAsia="en-GB"/>
        </w:rPr>
        <mc:AlternateContent>
          <mc:Choice Requires="wps">
            <w:drawing>
              <wp:anchor distT="0" distB="0" distL="114300" distR="114300" simplePos="0" relativeHeight="251661312" behindDoc="1" locked="0" layoutInCell="1" allowOverlap="1" wp14:anchorId="2DD1D501" wp14:editId="65E55EA7">
                <wp:simplePos x="0" y="0"/>
                <wp:positionH relativeFrom="column">
                  <wp:posOffset>1842448</wp:posOffset>
                </wp:positionH>
                <wp:positionV relativeFrom="paragraph">
                  <wp:posOffset>-545910</wp:posOffset>
                </wp:positionV>
                <wp:extent cx="4590993" cy="11099800"/>
                <wp:effectExtent l="0" t="0" r="635" b="6350"/>
                <wp:wrapNone/>
                <wp:docPr id="41" name="Rectangle 41"/>
                <wp:cNvGraphicFramePr/>
                <a:graphic xmlns:a="http://schemas.openxmlformats.org/drawingml/2006/main">
                  <a:graphicData uri="http://schemas.microsoft.com/office/word/2010/wordprocessingShape">
                    <wps:wsp>
                      <wps:cNvSpPr/>
                      <wps:spPr>
                        <a:xfrm>
                          <a:off x="0" y="0"/>
                          <a:ext cx="4590993" cy="11099800"/>
                        </a:xfrm>
                        <a:prstGeom prst="rect">
                          <a:avLst/>
                        </a:prstGeom>
                        <a:solidFill>
                          <a:schemeClr val="accent1">
                            <a:lumMod val="40000"/>
                            <a:lumOff val="60000"/>
                            <a:alpha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E6AD1" id="Rectangle 41" o:spid="_x0000_s1026" style="position:absolute;margin-left:145.05pt;margin-top:-43pt;width:361.5pt;height:87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" fillcolor="#b4c6e7 [1300]" stroked="f" strokeweight="1pt">
                <v:fill opacity="16448f"/>
              </v:rect>
            </w:pict>
          </mc:Fallback>
        </mc:AlternateContent>
      </w:r>
    </w:p>
    <w:p w14:paraId="6CA87BAC" w14:textId="77777777" w:rsidR="003614D7" w:rsidRDefault="003614D7" w:rsidP="003614D7">
      <w:pPr>
        <w:rPr>
          <w:rStyle w:val="Strong"/>
          <w:b w:val="0"/>
          <w:bCs w:val="0"/>
        </w:rPr>
      </w:pPr>
    </w:p>
    <w:p w14:paraId="169D607C" w14:textId="77777777" w:rsidR="003614D7" w:rsidRDefault="003614D7" w:rsidP="003614D7">
      <w:pPr>
        <w:rPr>
          <w:rStyle w:val="Strong"/>
          <w:b w:val="0"/>
          <w:bCs w:val="0"/>
        </w:rPr>
      </w:pPr>
    </w:p>
    <w:p w14:paraId="2E8B3736" w14:textId="77777777" w:rsidR="003614D7" w:rsidRPr="00BD1A5E" w:rsidRDefault="003614D7" w:rsidP="003614D7">
      <w:pPr>
        <w:rPr>
          <w:rStyle w:val="Strong"/>
          <w:b w:val="0"/>
          <w:bCs w:val="0"/>
        </w:rPr>
      </w:pPr>
      <w:r>
        <w:rPr>
          <w:noProof/>
          <w:lang w:eastAsia="en-GB"/>
        </w:rPr>
        <mc:AlternateContent>
          <mc:Choice Requires="wps">
            <w:drawing>
              <wp:anchor distT="0" distB="0" distL="114300" distR="114300" simplePos="0" relativeHeight="251659264" behindDoc="0" locked="0" layoutInCell="1" allowOverlap="1" wp14:anchorId="2B6D1DF6" wp14:editId="1423326C">
                <wp:simplePos x="0" y="0"/>
                <wp:positionH relativeFrom="column">
                  <wp:posOffset>2169823</wp:posOffset>
                </wp:positionH>
                <wp:positionV relativeFrom="paragraph">
                  <wp:posOffset>6181365</wp:posOffset>
                </wp:positionV>
                <wp:extent cx="4173362" cy="244294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3362" cy="2442949"/>
                        </a:xfrm>
                        <a:prstGeom prst="rect">
                          <a:avLst/>
                        </a:prstGeom>
                        <a:noFill/>
                        <a:ln w="9525">
                          <a:noFill/>
                          <a:miter lim="800000"/>
                          <a:headEnd/>
                          <a:tailEnd/>
                        </a:ln>
                      </wps:spPr>
                      <wps:txbx>
                        <w:txbxContent>
                          <w:p w14:paraId="124F9CC4" w14:textId="30CB4082" w:rsidR="003614D7" w:rsidRPr="003614D7" w:rsidRDefault="003614D7" w:rsidP="003614D7">
                            <w:pPr>
                              <w:spacing w:before="240"/>
                              <w:ind w:right="174"/>
                              <w:jc w:val="right"/>
                              <w:rPr>
                                <w:b/>
                                <w:sz w:val="28"/>
                                <w:szCs w:val="28"/>
                                <w:lang w:val="en-IE"/>
                              </w:rPr>
                            </w:pPr>
                            <w:r w:rsidRPr="005F284E">
                              <w:rPr>
                                <w:b/>
                                <w:sz w:val="28"/>
                                <w:szCs w:val="28"/>
                              </w:rPr>
                              <w:t xml:space="preserve">Statistical domain: </w:t>
                            </w:r>
                            <w:r w:rsidRPr="005F284E">
                              <w:rPr>
                                <w:sz w:val="28"/>
                                <w:szCs w:val="28"/>
                              </w:rPr>
                              <w:t>Financial accounts statistics</w:t>
                            </w:r>
                          </w:p>
                          <w:p w14:paraId="133DD815" w14:textId="496C34EC" w:rsidR="003614D7" w:rsidRPr="005D5FBD" w:rsidRDefault="003614D7" w:rsidP="003614D7">
                            <w:pPr>
                              <w:spacing w:before="240" w:after="120"/>
                              <w:ind w:right="174"/>
                              <w:jc w:val="right"/>
                              <w:rPr>
                                <w:b/>
                                <w:sz w:val="28"/>
                                <w:szCs w:val="28"/>
                              </w:rPr>
                            </w:pPr>
                            <w:r w:rsidRPr="005D5FBD">
                              <w:rPr>
                                <w:b/>
                                <w:sz w:val="28"/>
                                <w:szCs w:val="28"/>
                              </w:rPr>
                              <w:t>Country:</w:t>
                            </w:r>
                            <w:r w:rsidR="005D5FBD" w:rsidRPr="005D5FBD">
                              <w:rPr>
                                <w:b/>
                                <w:sz w:val="28"/>
                                <w:szCs w:val="28"/>
                              </w:rPr>
                              <w:t xml:space="preserve"> Lithuania</w:t>
                            </w:r>
                          </w:p>
                          <w:p w14:paraId="46975F0B" w14:textId="5BDC48B4" w:rsidR="003614D7" w:rsidRPr="005D5FBD" w:rsidRDefault="003614D7" w:rsidP="003614D7">
                            <w:pPr>
                              <w:spacing w:before="240" w:after="120"/>
                              <w:ind w:right="174"/>
                              <w:jc w:val="right"/>
                              <w:rPr>
                                <w:b/>
                                <w:sz w:val="28"/>
                                <w:szCs w:val="28"/>
                              </w:rPr>
                            </w:pPr>
                            <w:r w:rsidRPr="005D5FBD">
                              <w:rPr>
                                <w:b/>
                                <w:sz w:val="28"/>
                                <w:szCs w:val="28"/>
                              </w:rPr>
                              <w:t>Institution:</w:t>
                            </w:r>
                            <w:r w:rsidR="005D5FBD" w:rsidRPr="005D5FBD">
                              <w:rPr>
                                <w:b/>
                                <w:sz w:val="28"/>
                                <w:szCs w:val="28"/>
                              </w:rPr>
                              <w:t xml:space="preserve"> Bank of Lithuania</w:t>
                            </w:r>
                          </w:p>
                          <w:p w14:paraId="3825F26D" w14:textId="3F36904F" w:rsidR="003614D7" w:rsidRPr="005D5FBD" w:rsidRDefault="003614D7" w:rsidP="003614D7">
                            <w:pPr>
                              <w:spacing w:before="240" w:after="120"/>
                              <w:ind w:right="174"/>
                              <w:jc w:val="right"/>
                              <w:rPr>
                                <w:b/>
                                <w:sz w:val="28"/>
                                <w:szCs w:val="28"/>
                              </w:rPr>
                            </w:pPr>
                            <w:r w:rsidRPr="005D5FBD">
                              <w:rPr>
                                <w:b/>
                                <w:sz w:val="28"/>
                                <w:szCs w:val="28"/>
                              </w:rPr>
                              <w:t>Reference year:</w:t>
                            </w:r>
                            <w:r w:rsidR="005D5FBD" w:rsidRPr="005D5FBD">
                              <w:rPr>
                                <w:b/>
                                <w:sz w:val="28"/>
                                <w:szCs w:val="28"/>
                              </w:rPr>
                              <w:t xml:space="preserve"> 2025</w:t>
                            </w:r>
                          </w:p>
                          <w:p w14:paraId="22D219BD" w14:textId="2D61123A" w:rsidR="003614D7" w:rsidRPr="005F284E" w:rsidRDefault="003614D7" w:rsidP="003614D7">
                            <w:pPr>
                              <w:spacing w:before="240" w:after="120"/>
                              <w:ind w:right="174"/>
                              <w:jc w:val="right"/>
                              <w:rPr>
                                <w:b/>
                                <w:sz w:val="28"/>
                                <w:szCs w:val="28"/>
                              </w:rPr>
                            </w:pPr>
                            <w:r w:rsidRPr="005D5FBD">
                              <w:rPr>
                                <w:b/>
                                <w:sz w:val="28"/>
                                <w:szCs w:val="28"/>
                              </w:rPr>
                              <w:t xml:space="preserve">Date of update: </w:t>
                            </w:r>
                            <w:r w:rsidR="005D5FBD" w:rsidRPr="005D5FBD">
                              <w:rPr>
                                <w:b/>
                                <w:sz w:val="28"/>
                                <w:szCs w:val="28"/>
                              </w:rPr>
                              <w:t>08</w:t>
                            </w:r>
                            <w:r w:rsidRPr="005D5FBD">
                              <w:rPr>
                                <w:b/>
                                <w:sz w:val="28"/>
                                <w:szCs w:val="28"/>
                              </w:rPr>
                              <w:t>/</w:t>
                            </w:r>
                            <w:r w:rsidR="005D5FBD" w:rsidRPr="005D5FBD">
                              <w:rPr>
                                <w:b/>
                                <w:sz w:val="28"/>
                                <w:szCs w:val="28"/>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D1DF6" id="_x0000_t202" coordsize="21600,21600" o:spt="202" path="m,l,21600r21600,l21600,xe">
                <v:stroke joinstyle="miter"/>
                <v:path gradientshapeok="t" o:connecttype="rect"/>
              </v:shapetype>
              <v:shape id="Text Box 2" o:spid="_x0000_s1026" type="#_x0000_t202" style="position:absolute;margin-left:170.85pt;margin-top:486.7pt;width:328.6pt;height:19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" filled="f" stroked="f">
                <v:textbox>
                  <w:txbxContent>
                    <w:p w14:paraId="124F9CC4" w14:textId="30CB4082" w:rsidR="003614D7" w:rsidRPr="003614D7" w:rsidRDefault="003614D7" w:rsidP="003614D7">
                      <w:pPr>
                        <w:spacing w:before="240"/>
                        <w:ind w:right="174"/>
                        <w:jc w:val="right"/>
                        <w:rPr>
                          <w:b/>
                          <w:sz w:val="28"/>
                          <w:szCs w:val="28"/>
                          <w:lang w:val="en-IE"/>
                        </w:rPr>
                      </w:pPr>
                      <w:r w:rsidRPr="005F284E">
                        <w:rPr>
                          <w:b/>
                          <w:sz w:val="28"/>
                          <w:szCs w:val="28"/>
                        </w:rPr>
                        <w:t xml:space="preserve">Statistical domain: </w:t>
                      </w:r>
                      <w:r w:rsidRPr="005F284E">
                        <w:rPr>
                          <w:sz w:val="28"/>
                          <w:szCs w:val="28"/>
                        </w:rPr>
                        <w:t>Financial accounts statistics</w:t>
                      </w:r>
                    </w:p>
                    <w:p w14:paraId="133DD815" w14:textId="496C34EC" w:rsidR="003614D7" w:rsidRPr="005D5FBD" w:rsidRDefault="003614D7" w:rsidP="003614D7">
                      <w:pPr>
                        <w:spacing w:before="240" w:after="120"/>
                        <w:ind w:right="174"/>
                        <w:jc w:val="right"/>
                        <w:rPr>
                          <w:b/>
                          <w:sz w:val="28"/>
                          <w:szCs w:val="28"/>
                        </w:rPr>
                      </w:pPr>
                      <w:r w:rsidRPr="005D5FBD">
                        <w:rPr>
                          <w:b/>
                          <w:sz w:val="28"/>
                          <w:szCs w:val="28"/>
                        </w:rPr>
                        <w:t>Country:</w:t>
                      </w:r>
                      <w:r w:rsidR="005D5FBD" w:rsidRPr="005D5FBD">
                        <w:rPr>
                          <w:b/>
                          <w:sz w:val="28"/>
                          <w:szCs w:val="28"/>
                        </w:rPr>
                        <w:t xml:space="preserve"> Lithuania</w:t>
                      </w:r>
                    </w:p>
                    <w:p w14:paraId="46975F0B" w14:textId="5BDC48B4" w:rsidR="003614D7" w:rsidRPr="005D5FBD" w:rsidRDefault="003614D7" w:rsidP="003614D7">
                      <w:pPr>
                        <w:spacing w:before="240" w:after="120"/>
                        <w:ind w:right="174"/>
                        <w:jc w:val="right"/>
                        <w:rPr>
                          <w:b/>
                          <w:sz w:val="28"/>
                          <w:szCs w:val="28"/>
                        </w:rPr>
                      </w:pPr>
                      <w:r w:rsidRPr="005D5FBD">
                        <w:rPr>
                          <w:b/>
                          <w:sz w:val="28"/>
                          <w:szCs w:val="28"/>
                        </w:rPr>
                        <w:t>Institution:</w:t>
                      </w:r>
                      <w:r w:rsidR="005D5FBD" w:rsidRPr="005D5FBD">
                        <w:rPr>
                          <w:b/>
                          <w:sz w:val="28"/>
                          <w:szCs w:val="28"/>
                        </w:rPr>
                        <w:t xml:space="preserve"> Bank of Lithuania</w:t>
                      </w:r>
                    </w:p>
                    <w:p w14:paraId="3825F26D" w14:textId="3F36904F" w:rsidR="003614D7" w:rsidRPr="005D5FBD" w:rsidRDefault="003614D7" w:rsidP="003614D7">
                      <w:pPr>
                        <w:spacing w:before="240" w:after="120"/>
                        <w:ind w:right="174"/>
                        <w:jc w:val="right"/>
                        <w:rPr>
                          <w:b/>
                          <w:sz w:val="28"/>
                          <w:szCs w:val="28"/>
                        </w:rPr>
                      </w:pPr>
                      <w:r w:rsidRPr="005D5FBD">
                        <w:rPr>
                          <w:b/>
                          <w:sz w:val="28"/>
                          <w:szCs w:val="28"/>
                        </w:rPr>
                        <w:t>Reference year:</w:t>
                      </w:r>
                      <w:r w:rsidR="005D5FBD" w:rsidRPr="005D5FBD">
                        <w:rPr>
                          <w:b/>
                          <w:sz w:val="28"/>
                          <w:szCs w:val="28"/>
                        </w:rPr>
                        <w:t xml:space="preserve"> 2025</w:t>
                      </w:r>
                    </w:p>
                    <w:p w14:paraId="22D219BD" w14:textId="2D61123A" w:rsidR="003614D7" w:rsidRPr="005F284E" w:rsidRDefault="003614D7" w:rsidP="003614D7">
                      <w:pPr>
                        <w:spacing w:before="240" w:after="120"/>
                        <w:ind w:right="174"/>
                        <w:jc w:val="right"/>
                        <w:rPr>
                          <w:b/>
                          <w:sz w:val="28"/>
                          <w:szCs w:val="28"/>
                        </w:rPr>
                      </w:pPr>
                      <w:r w:rsidRPr="005D5FBD">
                        <w:rPr>
                          <w:b/>
                          <w:sz w:val="28"/>
                          <w:szCs w:val="28"/>
                        </w:rPr>
                        <w:t xml:space="preserve">Date of update: </w:t>
                      </w:r>
                      <w:r w:rsidR="005D5FBD" w:rsidRPr="005D5FBD">
                        <w:rPr>
                          <w:b/>
                          <w:sz w:val="28"/>
                          <w:szCs w:val="28"/>
                        </w:rPr>
                        <w:t>08</w:t>
                      </w:r>
                      <w:r w:rsidRPr="005D5FBD">
                        <w:rPr>
                          <w:b/>
                          <w:sz w:val="28"/>
                          <w:szCs w:val="28"/>
                        </w:rPr>
                        <w:t>/</w:t>
                      </w:r>
                      <w:r w:rsidR="005D5FBD" w:rsidRPr="005D5FBD">
                        <w:rPr>
                          <w:b/>
                          <w:sz w:val="28"/>
                          <w:szCs w:val="28"/>
                        </w:rPr>
                        <w:t>2025</w:t>
                      </w:r>
                    </w:p>
                  </w:txbxContent>
                </v:textbox>
              </v:shape>
            </w:pict>
          </mc:Fallback>
        </mc:AlternateContent>
      </w:r>
      <w:r w:rsidRPr="00FF48A4">
        <w:rPr>
          <w:rFonts w:cs="Arial"/>
          <w:noProof/>
          <w:lang w:eastAsia="en-GB"/>
        </w:rPr>
        <mc:AlternateContent>
          <mc:Choice Requires="wps">
            <w:drawing>
              <wp:anchor distT="0" distB="0" distL="114300" distR="114300" simplePos="0" relativeHeight="251660288" behindDoc="0" locked="0" layoutInCell="1" allowOverlap="1" wp14:anchorId="25521AB9" wp14:editId="59D7FB9B">
                <wp:simplePos x="0" y="0"/>
                <wp:positionH relativeFrom="column">
                  <wp:posOffset>1420543</wp:posOffset>
                </wp:positionH>
                <wp:positionV relativeFrom="paragraph">
                  <wp:posOffset>91104</wp:posOffset>
                </wp:positionV>
                <wp:extent cx="5012918" cy="325374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5012918" cy="3253740"/>
                        </a:xfrm>
                        <a:prstGeom prst="rect">
                          <a:avLst/>
                        </a:prstGeom>
                        <a:noFill/>
                        <a:ln w="6350">
                          <a:noFill/>
                        </a:ln>
                      </wps:spPr>
                      <wps:txbx>
                        <w:txbxContent>
                          <w:p w14:paraId="71322ED7" w14:textId="77777777" w:rsidR="003614D7" w:rsidRPr="000F17AC" w:rsidRDefault="003614D7" w:rsidP="003614D7">
                            <w:pPr>
                              <w:ind w:right="219"/>
                              <w:jc w:val="right"/>
                              <w:rPr>
                                <w:b/>
                                <w:color w:val="1D4575"/>
                                <w:sz w:val="72"/>
                                <w:szCs w:val="72"/>
                              </w:rPr>
                            </w:pPr>
                            <w:r w:rsidRPr="008B114F">
                              <w:rPr>
                                <w:b/>
                                <w:color w:val="1D4575"/>
                                <w:sz w:val="72"/>
                                <w:szCs w:val="72"/>
                              </w:rPr>
                              <w:t>Level 3 national report on quality of statistics underlying the MIP indicators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21AB9" id="Text Box 12" o:spid="_x0000_s1027" type="#_x0000_t202" style="position:absolute;margin-left:111.85pt;margin-top:7.15pt;width:394.7pt;height:25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5UeGwIAADQ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" filled="f" stroked="f" strokeweight=".5pt">
                <v:textbox>
                  <w:txbxContent>
                    <w:p w14:paraId="71322ED7" w14:textId="77777777" w:rsidR="003614D7" w:rsidRPr="000F17AC" w:rsidRDefault="003614D7" w:rsidP="003614D7">
                      <w:pPr>
                        <w:ind w:right="219"/>
                        <w:jc w:val="right"/>
                        <w:rPr>
                          <w:b/>
                          <w:color w:val="1D4575"/>
                          <w:sz w:val="72"/>
                          <w:szCs w:val="72"/>
                        </w:rPr>
                      </w:pPr>
                      <w:r w:rsidRPr="008B114F">
                        <w:rPr>
                          <w:b/>
                          <w:color w:val="1D4575"/>
                          <w:sz w:val="72"/>
                          <w:szCs w:val="72"/>
                        </w:rPr>
                        <w:t>Level 3 national report on quality of statistics underlying the MIP indicators</w:t>
                      </w:r>
                    </w:p>
                  </w:txbxContent>
                </v:textbox>
              </v:shape>
            </w:pict>
          </mc:Fallback>
        </mc:AlternateContent>
      </w:r>
    </w:p>
    <w:p w14:paraId="23FBEA13" w14:textId="77777777" w:rsidR="003614D7" w:rsidRDefault="003614D7">
      <w:pPr>
        <w:rPr>
          <w:rFonts w:ascii="Calibri" w:hAnsi="Calibri" w:cs="Arial"/>
          <w:b/>
          <w:sz w:val="24"/>
          <w:szCs w:val="24"/>
          <w:lang w:val="en-IE"/>
        </w:rPr>
      </w:pPr>
    </w:p>
    <w:p w14:paraId="1E89E3E6" w14:textId="6366402E" w:rsidR="003614D7" w:rsidRPr="003614D7" w:rsidRDefault="003614D7">
      <w:pPr>
        <w:rPr>
          <w:rFonts w:ascii="Calibri" w:hAnsi="Calibri" w:cs="Arial"/>
          <w:b/>
          <w:sz w:val="24"/>
          <w:szCs w:val="24"/>
          <w:lang w:val="en-IE"/>
        </w:rPr>
      </w:pPr>
      <w:r>
        <w:rPr>
          <w:rFonts w:ascii="Calibri" w:hAnsi="Calibri" w:cs="Arial"/>
          <w:b/>
          <w:sz w:val="24"/>
          <w:szCs w:val="24"/>
        </w:rPr>
        <w:br w:type="page"/>
      </w:r>
    </w:p>
    <w:p w14:paraId="033FFA6A" w14:textId="050DBB86" w:rsidR="00E700F4" w:rsidRPr="00675805" w:rsidRDefault="009D3402" w:rsidP="00E700F4">
      <w:pPr>
        <w:pStyle w:val="Heading1"/>
        <w:numPr>
          <w:ilvl w:val="0"/>
          <w:numId w:val="0"/>
        </w:numPr>
        <w:spacing w:line="280" w:lineRule="exact"/>
        <w:ind w:left="851" w:hanging="851"/>
        <w:jc w:val="right"/>
        <w:rPr>
          <w:rFonts w:ascii="Calibri" w:eastAsiaTheme="minorHAnsi" w:hAnsi="Calibri" w:cs="Arial"/>
          <w:b w:val="0"/>
          <w:color w:val="auto"/>
          <w:sz w:val="24"/>
          <w:szCs w:val="24"/>
          <w:lang w:val="en-US"/>
        </w:rPr>
      </w:pPr>
      <w:r w:rsidRPr="00675805">
        <w:rPr>
          <w:rFonts w:ascii="Calibri" w:eastAsiaTheme="minorHAnsi" w:hAnsi="Calibri" w:cs="Arial"/>
          <w:b w:val="0"/>
          <w:color w:val="auto"/>
          <w:sz w:val="24"/>
          <w:szCs w:val="24"/>
        </w:rPr>
        <w:lastRenderedPageBreak/>
        <w:t>Structural metadata update (SIMS 2</w:t>
      </w:r>
      <w:r w:rsidRPr="005D5FBD">
        <w:rPr>
          <w:rFonts w:ascii="Calibri" w:eastAsiaTheme="minorHAnsi" w:hAnsi="Calibri" w:cs="Arial"/>
          <w:b w:val="0"/>
          <w:color w:val="auto"/>
          <w:sz w:val="24"/>
          <w:szCs w:val="24"/>
        </w:rPr>
        <w:t xml:space="preserve">): </w:t>
      </w:r>
      <w:r w:rsidR="00E700F4" w:rsidRPr="005D5FBD">
        <w:rPr>
          <w:rFonts w:ascii="Calibri" w:eastAsiaTheme="minorHAnsi" w:hAnsi="Calibri" w:cs="Arial"/>
          <w:b w:val="0"/>
          <w:color w:val="auto"/>
          <w:sz w:val="24"/>
          <w:szCs w:val="24"/>
        </w:rPr>
        <w:t xml:space="preserve"> Date: </w:t>
      </w:r>
      <w:r w:rsidR="005D5FBD">
        <w:rPr>
          <w:rFonts w:ascii="Calibri" w:eastAsiaTheme="minorHAnsi" w:hAnsi="Calibri" w:cs="Arial"/>
          <w:b w:val="0"/>
          <w:color w:val="auto"/>
          <w:sz w:val="24"/>
          <w:szCs w:val="24"/>
        </w:rPr>
        <w:t>August 2025</w:t>
      </w:r>
    </w:p>
    <w:p w14:paraId="4876734C" w14:textId="3852425B" w:rsidR="00E700F4" w:rsidRPr="00675805" w:rsidRDefault="00E700F4" w:rsidP="00E700F4">
      <w:pPr>
        <w:pStyle w:val="Heading1"/>
        <w:numPr>
          <w:ilvl w:val="0"/>
          <w:numId w:val="0"/>
        </w:numPr>
        <w:spacing w:line="280" w:lineRule="exact"/>
        <w:jc w:val="both"/>
        <w:rPr>
          <w:rFonts w:ascii="Calibri" w:hAnsi="Calibri" w:cs="Arial"/>
          <w:color w:val="auto"/>
          <w:sz w:val="26"/>
          <w:szCs w:val="26"/>
          <w:lang w:val="en-IE"/>
        </w:rPr>
      </w:pPr>
      <w:r w:rsidRPr="00675805">
        <w:rPr>
          <w:rFonts w:ascii="Calibri" w:hAnsi="Calibri" w:cs="Arial"/>
          <w:color w:val="auto"/>
          <w:sz w:val="26"/>
          <w:szCs w:val="26"/>
        </w:rPr>
        <w:t xml:space="preserve">Template for </w:t>
      </w:r>
      <w:r w:rsidR="00426209" w:rsidRPr="00675805">
        <w:rPr>
          <w:rFonts w:ascii="Calibri" w:hAnsi="Calibri" w:cs="Arial"/>
          <w:color w:val="auto"/>
          <w:sz w:val="26"/>
          <w:szCs w:val="26"/>
        </w:rPr>
        <w:t xml:space="preserve">(1) </w:t>
      </w:r>
      <w:r w:rsidRPr="00675805">
        <w:rPr>
          <w:rFonts w:ascii="Calibri" w:hAnsi="Calibri" w:cs="Arial"/>
          <w:color w:val="auto"/>
          <w:sz w:val="26"/>
          <w:szCs w:val="26"/>
        </w:rPr>
        <w:t>national reports providing information on quality, sources and methods, together with information on the statistical processes used for the compilation of the statistics underlying the MIP indicators (financial accounts)</w:t>
      </w:r>
      <w:bookmarkEnd w:id="0"/>
      <w:bookmarkEnd w:id="1"/>
      <w:bookmarkEnd w:id="2"/>
      <w:bookmarkEnd w:id="3"/>
      <w:bookmarkEnd w:id="4"/>
      <w:r w:rsidR="004F7EC7" w:rsidRPr="00675805">
        <w:rPr>
          <w:rFonts w:ascii="Calibri" w:hAnsi="Calibri" w:cs="Arial"/>
          <w:color w:val="auto"/>
          <w:sz w:val="26"/>
          <w:szCs w:val="26"/>
        </w:rPr>
        <w:t xml:space="preserve"> and </w:t>
      </w:r>
      <w:r w:rsidR="00426209" w:rsidRPr="00675805">
        <w:rPr>
          <w:rFonts w:ascii="Calibri" w:hAnsi="Calibri" w:cs="Arial"/>
          <w:color w:val="auto"/>
          <w:sz w:val="26"/>
          <w:szCs w:val="26"/>
        </w:rPr>
        <w:t xml:space="preserve">for (2) </w:t>
      </w:r>
      <w:r w:rsidR="00426209" w:rsidRPr="00675805">
        <w:rPr>
          <w:rFonts w:ascii="Calibri" w:hAnsi="Calibri" w:cs="Arial"/>
          <w:color w:val="auto"/>
          <w:sz w:val="26"/>
          <w:szCs w:val="26"/>
          <w:lang w:val="en-US"/>
        </w:rPr>
        <w:t>structural metadata</w:t>
      </w:r>
      <w:r w:rsidR="00E61CDD" w:rsidRPr="00675805">
        <w:rPr>
          <w:rFonts w:ascii="Calibri" w:hAnsi="Calibri" w:cs="Arial"/>
          <w:color w:val="auto"/>
          <w:sz w:val="26"/>
          <w:szCs w:val="26"/>
          <w:lang w:val="en-US"/>
        </w:rPr>
        <w:t xml:space="preserve"> as</w:t>
      </w:r>
      <w:r w:rsidR="00426209" w:rsidRPr="00675805">
        <w:rPr>
          <w:rFonts w:ascii="Calibri" w:hAnsi="Calibri" w:cs="Arial"/>
          <w:color w:val="auto"/>
          <w:sz w:val="26"/>
          <w:szCs w:val="26"/>
          <w:lang w:val="en-US"/>
        </w:rPr>
        <w:t xml:space="preserve"> </w:t>
      </w:r>
      <w:r w:rsidR="00E61CDD" w:rsidRPr="00675805">
        <w:rPr>
          <w:rFonts w:ascii="Calibri" w:hAnsi="Calibri" w:cs="Arial"/>
          <w:color w:val="auto"/>
          <w:sz w:val="26"/>
          <w:szCs w:val="26"/>
          <w:lang w:val="en-US"/>
        </w:rPr>
        <w:t>l</w:t>
      </w:r>
      <w:r w:rsidR="00426209" w:rsidRPr="00675805">
        <w:rPr>
          <w:rFonts w:ascii="Calibri" w:hAnsi="Calibri" w:cs="Arial"/>
          <w:color w:val="auto"/>
          <w:sz w:val="26"/>
          <w:szCs w:val="26"/>
          <w:lang w:val="en-US"/>
        </w:rPr>
        <w:t>egal requirements in the revised ESA 2010 TP</w:t>
      </w:r>
      <w:r w:rsidR="00E61CDD" w:rsidRPr="00675805">
        <w:rPr>
          <w:rFonts w:ascii="Calibri" w:hAnsi="Calibri" w:cs="Arial"/>
          <w:color w:val="auto"/>
          <w:sz w:val="26"/>
          <w:szCs w:val="26"/>
          <w:lang w:val="en-US"/>
        </w:rPr>
        <w:t xml:space="preserve"> Regulation (EU) 2023/734 of the European Parliament and of the Council of 15 March 2023 amending Regulation (EU) No 549/2013</w:t>
      </w:r>
    </w:p>
    <w:p w14:paraId="03320CB2" w14:textId="2FD5F55C" w:rsidR="00E700F4" w:rsidRPr="00675805" w:rsidRDefault="00E700F4" w:rsidP="00E700F4">
      <w:pPr>
        <w:pStyle w:val="CMFBText"/>
        <w:spacing w:line="280" w:lineRule="exact"/>
        <w:rPr>
          <w:rFonts w:ascii="Calibri" w:hAnsi="Calibri" w:cs="Arial"/>
          <w:sz w:val="24"/>
        </w:rPr>
      </w:pPr>
      <w:r w:rsidRPr="00675805">
        <w:rPr>
          <w:rFonts w:ascii="Calibri" w:hAnsi="Calibri" w:cs="Arial"/>
          <w:b/>
          <w:bCs/>
          <w:sz w:val="24"/>
        </w:rPr>
        <w:t>Reporting institution</w:t>
      </w:r>
      <w:r w:rsidR="003876CC" w:rsidRPr="00675805">
        <w:rPr>
          <w:rFonts w:ascii="Calibri" w:hAnsi="Calibri" w:cs="Arial"/>
          <w:b/>
          <w:bCs/>
          <w:sz w:val="24"/>
        </w:rPr>
        <w:t>/Country</w:t>
      </w:r>
      <w:r w:rsidRPr="00675805">
        <w:rPr>
          <w:rFonts w:ascii="Calibri" w:hAnsi="Calibri" w:cs="Arial"/>
          <w:b/>
          <w:bCs/>
          <w:i/>
          <w:sz w:val="24"/>
        </w:rPr>
        <w:t>:</w:t>
      </w:r>
      <w:r w:rsidRPr="00675805">
        <w:rPr>
          <w:rFonts w:ascii="Calibri" w:hAnsi="Calibri" w:cs="Arial"/>
          <w:b/>
          <w:bCs/>
          <w:sz w:val="24"/>
        </w:rPr>
        <w:t xml:space="preserve"> </w:t>
      </w:r>
      <w:r w:rsidR="00CE5E5F">
        <w:rPr>
          <w:rFonts w:ascii="Calibri" w:hAnsi="Calibri" w:cs="Arial"/>
          <w:bCs/>
          <w:sz w:val="24"/>
        </w:rPr>
        <w:t>Lithuania</w:t>
      </w:r>
    </w:p>
    <w:p w14:paraId="321DCA3A" w14:textId="77777777" w:rsidR="00E700F4" w:rsidRPr="00675805" w:rsidRDefault="00E700F4" w:rsidP="00E700F4">
      <w:pPr>
        <w:pStyle w:val="Heading2"/>
        <w:tabs>
          <w:tab w:val="left" w:pos="284"/>
        </w:tabs>
        <w:spacing w:line="280" w:lineRule="exact"/>
        <w:rPr>
          <w:rFonts w:ascii="Calibri" w:hAnsi="Calibri" w:cs="Arial"/>
          <w:sz w:val="26"/>
          <w:szCs w:val="26"/>
        </w:rPr>
      </w:pPr>
      <w:r w:rsidRPr="00675805">
        <w:rPr>
          <w:rFonts w:ascii="Calibri" w:hAnsi="Calibri" w:cs="Arial"/>
          <w:sz w:val="26"/>
          <w:szCs w:val="26"/>
        </w:rPr>
        <w:t>INSTITUTIONAL ENVIRONMENT</w:t>
      </w:r>
    </w:p>
    <w:p w14:paraId="3BE3EA71" w14:textId="105ACCF6" w:rsidR="00E700F4" w:rsidRPr="00675805" w:rsidRDefault="00426209" w:rsidP="00426209">
      <w:pPr>
        <w:spacing w:line="280" w:lineRule="exact"/>
        <w:jc w:val="both"/>
        <w:rPr>
          <w:rFonts w:ascii="Calibri" w:hAnsi="Calibri" w:cs="Arial"/>
          <w:b/>
          <w:sz w:val="24"/>
          <w:szCs w:val="24"/>
        </w:rPr>
      </w:pPr>
      <w:r w:rsidRPr="00675805">
        <w:rPr>
          <w:rFonts w:ascii="Calibri" w:hAnsi="Calibri" w:cs="Arial"/>
          <w:b/>
          <w:sz w:val="24"/>
          <w:szCs w:val="24"/>
        </w:rPr>
        <w:t xml:space="preserve">A1. </w:t>
      </w:r>
      <w:r w:rsidR="00E700F4" w:rsidRPr="00675805">
        <w:rPr>
          <w:rFonts w:ascii="Calibri" w:hAnsi="Calibri" w:cs="Arial"/>
          <w:b/>
          <w:sz w:val="24"/>
          <w:szCs w:val="24"/>
        </w:rPr>
        <w:t>CoP1 Professional Independence/ PC1 Professional Independence</w:t>
      </w:r>
    </w:p>
    <w:p w14:paraId="3CE766B9" w14:textId="77777777" w:rsidR="00E700F4" w:rsidRPr="00675805" w:rsidRDefault="00E700F4" w:rsidP="00E700F4">
      <w:pPr>
        <w:pStyle w:val="CMFBtextintable"/>
        <w:spacing w:line="280" w:lineRule="exact"/>
        <w:rPr>
          <w:rFonts w:ascii="Calibri" w:hAnsi="Calibri" w:cs="Arial"/>
          <w:b/>
          <w:i/>
          <w:sz w:val="24"/>
          <w:szCs w:val="24"/>
        </w:rPr>
      </w:pPr>
      <w:r w:rsidRPr="00675805">
        <w:rPr>
          <w:rFonts w:ascii="Calibri" w:hAnsi="Calibri" w:cs="Arial"/>
          <w:b/>
          <w:i/>
          <w:sz w:val="24"/>
          <w:szCs w:val="24"/>
        </w:rPr>
        <w:t>A.1.1. Legal basis</w:t>
      </w:r>
    </w:p>
    <w:p w14:paraId="38F03F19" w14:textId="77777777" w:rsidR="00CE5E5F" w:rsidRDefault="00CE5E5F" w:rsidP="00CE5E5F">
      <w:pPr>
        <w:pStyle w:val="CMFBtextintable"/>
        <w:spacing w:line="280" w:lineRule="exact"/>
        <w:rPr>
          <w:szCs w:val="24"/>
        </w:rPr>
      </w:pPr>
      <w:r w:rsidRPr="00CE5E5F">
        <w:rPr>
          <w:szCs w:val="24"/>
        </w:rPr>
        <w:t>The independence of the Bank of Lithuania (LB) is guaranteed by the Republic of Lithuania Law on the Bank of Lithuania and by the EU primary law. The independence of LB in its capacity as a member of the European System of Central Banks (ESCB) is further emphasised in Article 130 of the EU Treaty and Article 7 of the Statute of the ESCB and of the ECB.</w:t>
      </w:r>
    </w:p>
    <w:p w14:paraId="095E031D" w14:textId="31CE1DAC" w:rsidR="00CE5E5F" w:rsidRPr="00CE5E5F" w:rsidRDefault="00CE5E5F" w:rsidP="00CE5E5F">
      <w:pPr>
        <w:pStyle w:val="CMFBtextintable"/>
        <w:spacing w:line="280" w:lineRule="exact"/>
        <w:rPr>
          <w:szCs w:val="24"/>
        </w:rPr>
      </w:pPr>
      <w:r w:rsidRPr="00CE5E5F">
        <w:rPr>
          <w:szCs w:val="24"/>
        </w:rPr>
        <w:t xml:space="preserve">The professional independence of the </w:t>
      </w:r>
      <w:r w:rsidR="00822ED2" w:rsidRPr="00822ED2">
        <w:rPr>
          <w:szCs w:val="24"/>
        </w:rPr>
        <w:t>national statistics institute</w:t>
      </w:r>
      <w:r w:rsidR="001C0D2E">
        <w:rPr>
          <w:szCs w:val="24"/>
        </w:rPr>
        <w:t xml:space="preserve"> </w:t>
      </w:r>
      <w:r w:rsidRPr="00CE5E5F">
        <w:rPr>
          <w:szCs w:val="24"/>
        </w:rPr>
        <w:t xml:space="preserve">– </w:t>
      </w:r>
      <w:r w:rsidR="00822ED2" w:rsidRPr="00822ED2">
        <w:rPr>
          <w:szCs w:val="24"/>
        </w:rPr>
        <w:t>State Data Agency</w:t>
      </w:r>
      <w:r w:rsidR="00822ED2">
        <w:rPr>
          <w:szCs w:val="24"/>
        </w:rPr>
        <w:t xml:space="preserve"> </w:t>
      </w:r>
      <w:r w:rsidRPr="00CE5E5F">
        <w:rPr>
          <w:szCs w:val="24"/>
        </w:rPr>
        <w:t>(</w:t>
      </w:r>
      <w:r w:rsidR="00FB5096">
        <w:rPr>
          <w:szCs w:val="24"/>
        </w:rPr>
        <w:t>SDA</w:t>
      </w:r>
      <w:r w:rsidRPr="00CE5E5F">
        <w:rPr>
          <w:szCs w:val="24"/>
        </w:rPr>
        <w:t>) is established in the Republic of Lithuania Law on Official Statistics No I-270 of 12 October 1993, last amended on 29 September 2020 (No XIII-3306). It states that the organisation of official statistics shall be based on the principles of objectivity and professional independence from political and other interest groups.</w:t>
      </w:r>
    </w:p>
    <w:p w14:paraId="79AFACA1" w14:textId="77777777" w:rsidR="00CE5E5F" w:rsidRDefault="00CE5E5F" w:rsidP="00CE5E5F">
      <w:pPr>
        <w:pStyle w:val="CMFBtextintable"/>
        <w:spacing w:line="280" w:lineRule="exact"/>
        <w:rPr>
          <w:szCs w:val="24"/>
        </w:rPr>
      </w:pPr>
    </w:p>
    <w:p w14:paraId="5C1DFAF8" w14:textId="73B173AD" w:rsidR="00E700F4" w:rsidRPr="00675805" w:rsidRDefault="00E700F4" w:rsidP="00CE5E5F">
      <w:pPr>
        <w:pStyle w:val="CMFBtextintable"/>
        <w:spacing w:line="280" w:lineRule="exact"/>
        <w:rPr>
          <w:rFonts w:ascii="Calibri" w:hAnsi="Calibri" w:cs="Arial"/>
          <w:b/>
          <w:i/>
          <w:iCs/>
          <w:sz w:val="24"/>
          <w:szCs w:val="24"/>
        </w:rPr>
      </w:pPr>
      <w:r w:rsidRPr="00675805">
        <w:rPr>
          <w:rFonts w:ascii="Calibri" w:hAnsi="Calibri" w:cs="Arial"/>
          <w:b/>
          <w:i/>
          <w:iCs/>
          <w:sz w:val="24"/>
          <w:szCs w:val="24"/>
        </w:rPr>
        <w:t>A.1.2 Statistics work programme</w:t>
      </w:r>
    </w:p>
    <w:p w14:paraId="1B6D42B0" w14:textId="445AF9B3" w:rsidR="00CE5E5F" w:rsidRDefault="00CE5E5F" w:rsidP="00CE5E5F">
      <w:pPr>
        <w:spacing w:before="240" w:after="60" w:line="276" w:lineRule="auto"/>
        <w:jc w:val="both"/>
        <w:rPr>
          <w:rFonts w:ascii="Calibri" w:eastAsia="Calibri" w:hAnsi="Calibri" w:cs="Times New Roman"/>
          <w:iCs/>
          <w:color w:val="0000FF"/>
          <w:u w:val="single"/>
        </w:rPr>
      </w:pPr>
      <w:r w:rsidRPr="00CE5E5F">
        <w:rPr>
          <w:rFonts w:ascii="Times New Roman" w:eastAsia="Calibri" w:hAnsi="Times New Roman" w:cs="Times New Roman"/>
          <w:iCs/>
        </w:rPr>
        <w:t>LB approves its annual statistics work programme, which covers</w:t>
      </w:r>
      <w:r w:rsidRPr="00CE5E5F">
        <w:rPr>
          <w:rFonts w:ascii="Times New Roman" w:eastAsia="Calibri" w:hAnsi="Times New Roman" w:cs="Times New Roman"/>
        </w:rPr>
        <w:t xml:space="preserve"> </w:t>
      </w:r>
      <w:r w:rsidRPr="00CE5E5F">
        <w:rPr>
          <w:rFonts w:ascii="Times New Roman" w:eastAsia="Calibri" w:hAnsi="Times New Roman" w:cs="Times New Roman"/>
          <w:iCs/>
        </w:rPr>
        <w:t>annual and quarterly financial accounts and new developments of financial accounts.</w:t>
      </w:r>
      <w:r w:rsidRPr="00CE5E5F">
        <w:rPr>
          <w:rFonts w:ascii="Times New Roman" w:eastAsia="Calibri" w:hAnsi="Times New Roman" w:cs="Times New Roman"/>
        </w:rPr>
        <w:t xml:space="preserve"> LB</w:t>
      </w:r>
      <w:r w:rsidRPr="00CE5E5F">
        <w:rPr>
          <w:rFonts w:ascii="Times New Roman" w:eastAsia="Calibri" w:hAnsi="Times New Roman" w:cs="Times New Roman"/>
          <w:iCs/>
        </w:rPr>
        <w:t xml:space="preserve"> Statistics Work Programme is publicly available at:</w:t>
      </w:r>
      <w:r w:rsidRPr="00CE5E5F">
        <w:rPr>
          <w:rFonts w:ascii="Times New Roman" w:eastAsia="Calibri" w:hAnsi="Times New Roman" w:cs="Times New Roman"/>
        </w:rPr>
        <w:t xml:space="preserve"> </w:t>
      </w:r>
      <w:hyperlink r:id="rId8" w:history="1">
        <w:r w:rsidRPr="00106623">
          <w:rPr>
            <w:rStyle w:val="Hyperlink"/>
            <w:rFonts w:ascii="Calibri" w:eastAsia="Calibri" w:hAnsi="Calibri" w:cs="Times New Roman"/>
            <w:iCs/>
          </w:rPr>
          <w:t>LB Statistics Work Programme for 202</w:t>
        </w:r>
        <w:r w:rsidR="00106623" w:rsidRPr="00106623">
          <w:rPr>
            <w:rStyle w:val="Hyperlink"/>
            <w:rFonts w:ascii="Calibri" w:eastAsia="Calibri" w:hAnsi="Calibri" w:cs="Times New Roman"/>
            <w:iCs/>
          </w:rPr>
          <w:t>6</w:t>
        </w:r>
      </w:hyperlink>
      <w:r w:rsidR="00106623">
        <w:rPr>
          <w:rFonts w:ascii="Calibri" w:eastAsia="Calibri" w:hAnsi="Calibri" w:cs="Times New Roman"/>
          <w:iCs/>
        </w:rPr>
        <w:t>.</w:t>
      </w:r>
    </w:p>
    <w:p w14:paraId="5E4E1985" w14:textId="43A4FAE6" w:rsidR="00822ED2" w:rsidRDefault="00FB5096" w:rsidP="00822ED2">
      <w:pPr>
        <w:spacing w:after="60" w:line="276" w:lineRule="auto"/>
        <w:jc w:val="both"/>
      </w:pPr>
      <w:r>
        <w:rPr>
          <w:rFonts w:ascii="Calibri" w:eastAsia="Calibri" w:hAnsi="Calibri" w:cs="Times New Roman"/>
          <w:iCs/>
        </w:rPr>
        <w:t>SDA</w:t>
      </w:r>
      <w:r w:rsidR="00822ED2" w:rsidRPr="00822ED2">
        <w:rPr>
          <w:rFonts w:ascii="Calibri" w:eastAsia="Calibri" w:hAnsi="Calibri" w:cs="Times New Roman"/>
          <w:iCs/>
        </w:rPr>
        <w:t xml:space="preserve">, in cooperation with other institutions compiling statistics, approves its annual statistical work programme which covers quarterly financial accounts of general government sector (QFAGG). This Official Statistics Work Programme is publicly available at: </w:t>
      </w:r>
      <w:hyperlink r:id="rId9" w:history="1">
        <w:proofErr w:type="spellStart"/>
        <w:r w:rsidR="00822ED2" w:rsidRPr="00822ED2">
          <w:rPr>
            <w:color w:val="0000FF"/>
            <w:u w:val="single"/>
          </w:rPr>
          <w:t>Oficialiosios</w:t>
        </w:r>
        <w:proofErr w:type="spellEnd"/>
        <w:r w:rsidR="00822ED2" w:rsidRPr="00822ED2">
          <w:rPr>
            <w:color w:val="0000FF"/>
            <w:u w:val="single"/>
          </w:rPr>
          <w:t xml:space="preserve"> </w:t>
        </w:r>
        <w:proofErr w:type="spellStart"/>
        <w:r w:rsidR="00822ED2" w:rsidRPr="00822ED2">
          <w:rPr>
            <w:color w:val="0000FF"/>
            <w:u w:val="single"/>
          </w:rPr>
          <w:t>statistikos</w:t>
        </w:r>
        <w:proofErr w:type="spellEnd"/>
        <w:r w:rsidR="00822ED2" w:rsidRPr="00822ED2">
          <w:rPr>
            <w:color w:val="0000FF"/>
            <w:u w:val="single"/>
          </w:rPr>
          <w:t xml:space="preserve"> </w:t>
        </w:r>
        <w:proofErr w:type="spellStart"/>
        <w:r w:rsidR="00822ED2" w:rsidRPr="00822ED2">
          <w:rPr>
            <w:color w:val="0000FF"/>
            <w:u w:val="single"/>
          </w:rPr>
          <w:t>programos</w:t>
        </w:r>
        <w:proofErr w:type="spellEnd"/>
        <w:r w:rsidR="00822ED2" w:rsidRPr="00822ED2">
          <w:rPr>
            <w:color w:val="0000FF"/>
            <w:u w:val="single"/>
          </w:rPr>
          <w:t xml:space="preserve"> (</w:t>
        </w:r>
        <w:proofErr w:type="spellStart"/>
        <w:r w:rsidR="00822ED2" w:rsidRPr="00822ED2">
          <w:rPr>
            <w:color w:val="0000FF"/>
            <w:u w:val="single"/>
          </w:rPr>
          <w:t>OfSP</w:t>
        </w:r>
        <w:proofErr w:type="spellEnd"/>
        <w:r w:rsidR="00822ED2" w:rsidRPr="00822ED2">
          <w:rPr>
            <w:color w:val="0000FF"/>
            <w:u w:val="single"/>
          </w:rPr>
          <w:t xml:space="preserve">) - </w:t>
        </w:r>
        <w:proofErr w:type="spellStart"/>
        <w:r w:rsidR="00822ED2" w:rsidRPr="00822ED2">
          <w:rPr>
            <w:color w:val="0000FF"/>
            <w:u w:val="single"/>
          </w:rPr>
          <w:t>Valstybės</w:t>
        </w:r>
        <w:proofErr w:type="spellEnd"/>
        <w:r w:rsidR="00822ED2" w:rsidRPr="00822ED2">
          <w:rPr>
            <w:color w:val="0000FF"/>
            <w:u w:val="single"/>
          </w:rPr>
          <w:t xml:space="preserve"> </w:t>
        </w:r>
        <w:proofErr w:type="spellStart"/>
        <w:r w:rsidR="00822ED2" w:rsidRPr="00822ED2">
          <w:rPr>
            <w:color w:val="0000FF"/>
            <w:u w:val="single"/>
          </w:rPr>
          <w:t>duomenų</w:t>
        </w:r>
        <w:proofErr w:type="spellEnd"/>
        <w:r w:rsidR="00822ED2" w:rsidRPr="00822ED2">
          <w:rPr>
            <w:color w:val="0000FF"/>
            <w:u w:val="single"/>
          </w:rPr>
          <w:t xml:space="preserve"> </w:t>
        </w:r>
        <w:proofErr w:type="spellStart"/>
        <w:r w:rsidR="00822ED2" w:rsidRPr="00822ED2">
          <w:rPr>
            <w:color w:val="0000FF"/>
            <w:u w:val="single"/>
          </w:rPr>
          <w:t>agentūra</w:t>
        </w:r>
        <w:proofErr w:type="spellEnd"/>
      </w:hyperlink>
    </w:p>
    <w:p w14:paraId="41AAE770" w14:textId="77777777" w:rsidR="00EC40DF" w:rsidRDefault="00EC40DF" w:rsidP="00822ED2">
      <w:pPr>
        <w:spacing w:after="60" w:line="276" w:lineRule="auto"/>
        <w:jc w:val="both"/>
        <w:rPr>
          <w:lang w:val="en-US"/>
        </w:rPr>
      </w:pPr>
    </w:p>
    <w:p w14:paraId="6C2B8F99" w14:textId="7CA84438" w:rsidR="00E700F4" w:rsidRPr="00675805" w:rsidRDefault="00E700F4" w:rsidP="00822ED2">
      <w:pPr>
        <w:spacing w:after="60" w:line="276" w:lineRule="auto"/>
        <w:jc w:val="both"/>
        <w:rPr>
          <w:rFonts w:ascii="Calibri" w:hAnsi="Calibri" w:cs="Arial"/>
          <w:b/>
          <w:sz w:val="24"/>
          <w:szCs w:val="24"/>
        </w:rPr>
      </w:pPr>
      <w:r w:rsidRPr="00675805">
        <w:rPr>
          <w:rFonts w:ascii="Calibri" w:hAnsi="Calibri" w:cs="Arial"/>
          <w:b/>
          <w:sz w:val="24"/>
          <w:szCs w:val="24"/>
        </w:rPr>
        <w:t>A.2 CoP2 Mandate for data collection/ PC2 Mandate for data collection</w:t>
      </w:r>
    </w:p>
    <w:p w14:paraId="6BE89E96" w14:textId="77777777" w:rsidR="00240AB8" w:rsidRDefault="00240AB8" w:rsidP="00E700F4">
      <w:pPr>
        <w:pStyle w:val="CMFBtextintable"/>
        <w:spacing w:line="280" w:lineRule="exact"/>
        <w:rPr>
          <w:rFonts w:ascii="Calibri" w:hAnsi="Calibri" w:cs="Arial"/>
          <w:b/>
          <w:i/>
          <w:iCs/>
          <w:sz w:val="24"/>
          <w:szCs w:val="24"/>
        </w:rPr>
      </w:pPr>
    </w:p>
    <w:p w14:paraId="105DDC89" w14:textId="53512AED" w:rsidR="00E700F4" w:rsidRPr="00675805" w:rsidRDefault="00E700F4" w:rsidP="00E700F4">
      <w:pPr>
        <w:pStyle w:val="CMFBtextintable"/>
        <w:spacing w:line="280" w:lineRule="exact"/>
        <w:rPr>
          <w:rFonts w:ascii="Calibri" w:hAnsi="Calibri" w:cs="Arial"/>
          <w:b/>
          <w:i/>
          <w:iCs/>
          <w:sz w:val="24"/>
          <w:szCs w:val="24"/>
        </w:rPr>
      </w:pPr>
      <w:r w:rsidRPr="00675805">
        <w:rPr>
          <w:rFonts w:ascii="Calibri" w:hAnsi="Calibri" w:cs="Arial"/>
          <w:b/>
          <w:i/>
          <w:iCs/>
          <w:sz w:val="24"/>
          <w:szCs w:val="24"/>
        </w:rPr>
        <w:t>A.2.1 Allocation of responsibilities</w:t>
      </w:r>
      <w:r w:rsidR="00FE6669" w:rsidRPr="00675805">
        <w:rPr>
          <w:rFonts w:ascii="Calibri" w:hAnsi="Calibri" w:cs="Arial"/>
          <w:b/>
          <w:i/>
          <w:iCs/>
          <w:sz w:val="24"/>
          <w:szCs w:val="24"/>
        </w:rPr>
        <w:t xml:space="preserve"> (SIMS 7.1)</w:t>
      </w:r>
    </w:p>
    <w:p w14:paraId="6C2DD57B" w14:textId="77777777" w:rsidR="00240AB8" w:rsidRDefault="00240AB8" w:rsidP="00E700F4">
      <w:pPr>
        <w:pStyle w:val="CMFBtextintable"/>
        <w:spacing w:line="280" w:lineRule="exact"/>
        <w:rPr>
          <w:szCs w:val="24"/>
        </w:rPr>
      </w:pPr>
      <w:r w:rsidRPr="00240AB8">
        <w:rPr>
          <w:szCs w:val="24"/>
        </w:rPr>
        <w:t>Institutional arrangements of responsibilities for compilation and dissemination of financial accounts are as follows:</w:t>
      </w:r>
    </w:p>
    <w:p w14:paraId="4C5FA05C" w14:textId="5C8FBDCA" w:rsidR="00240AB8" w:rsidRDefault="00240AB8" w:rsidP="00E700F4">
      <w:pPr>
        <w:pStyle w:val="CMFBtextintable"/>
        <w:spacing w:line="280" w:lineRule="exact"/>
        <w:rPr>
          <w:szCs w:val="24"/>
        </w:rPr>
      </w:pPr>
      <w:r w:rsidRPr="00240AB8">
        <w:rPr>
          <w:szCs w:val="24"/>
        </w:rPr>
        <w:t>LB is responsible for the compilation and dissemination of quarterly financial accounts of all sectors (except for the general government sector) and annual financial</w:t>
      </w:r>
      <w:r w:rsidR="00386031">
        <w:rPr>
          <w:szCs w:val="24"/>
        </w:rPr>
        <w:t xml:space="preserve"> </w:t>
      </w:r>
      <w:r w:rsidR="00386031" w:rsidRPr="00386031">
        <w:rPr>
          <w:szCs w:val="24"/>
        </w:rPr>
        <w:t>accounts</w:t>
      </w:r>
      <w:r w:rsidRPr="00240AB8">
        <w:rPr>
          <w:szCs w:val="24"/>
        </w:rPr>
        <w:t>.</w:t>
      </w:r>
    </w:p>
    <w:p w14:paraId="7C18B2FA" w14:textId="7E5C0303" w:rsidR="00240AB8" w:rsidRDefault="00240AB8" w:rsidP="00E700F4">
      <w:pPr>
        <w:pStyle w:val="CMFBtextintable"/>
        <w:spacing w:line="280" w:lineRule="exact"/>
        <w:rPr>
          <w:rFonts w:ascii="Calibri" w:hAnsi="Calibri" w:cs="Arial"/>
          <w:b/>
          <w:i/>
          <w:iCs/>
          <w:sz w:val="24"/>
          <w:szCs w:val="24"/>
        </w:rPr>
      </w:pPr>
      <w:r>
        <w:rPr>
          <w:szCs w:val="24"/>
        </w:rPr>
        <w:lastRenderedPageBreak/>
        <w:t>SDA</w:t>
      </w:r>
      <w:r w:rsidRPr="00240AB8">
        <w:rPr>
          <w:szCs w:val="24"/>
        </w:rPr>
        <w:t xml:space="preserve"> is responsible for compilation and dissemination of quarterly financial accounts of general government sector</w:t>
      </w:r>
      <w:r w:rsidR="00C040F6">
        <w:rPr>
          <w:szCs w:val="24"/>
        </w:rPr>
        <w:t xml:space="preserve"> (QFAGG)</w:t>
      </w:r>
      <w:r w:rsidRPr="00240AB8">
        <w:rPr>
          <w:szCs w:val="24"/>
        </w:rPr>
        <w:t>.</w:t>
      </w:r>
    </w:p>
    <w:p w14:paraId="5C5AF82A" w14:textId="0A5F10EB" w:rsidR="00E700F4" w:rsidRPr="00675805" w:rsidRDefault="00E700F4" w:rsidP="00E700F4">
      <w:pPr>
        <w:pStyle w:val="CMFBtextintable"/>
        <w:spacing w:line="280" w:lineRule="exact"/>
        <w:rPr>
          <w:rFonts w:ascii="Calibri" w:hAnsi="Calibri" w:cs="Arial"/>
          <w:b/>
          <w:i/>
          <w:iCs/>
          <w:sz w:val="24"/>
          <w:szCs w:val="24"/>
        </w:rPr>
      </w:pPr>
      <w:r w:rsidRPr="00675805">
        <w:rPr>
          <w:rFonts w:ascii="Calibri" w:hAnsi="Calibri" w:cs="Arial"/>
          <w:b/>
          <w:i/>
          <w:iCs/>
          <w:sz w:val="24"/>
          <w:szCs w:val="24"/>
        </w:rPr>
        <w:t>A.2.2 Legal basis</w:t>
      </w:r>
      <w:r w:rsidR="00FE6669" w:rsidRPr="00675805">
        <w:rPr>
          <w:rFonts w:ascii="Calibri" w:hAnsi="Calibri" w:cs="Arial"/>
          <w:b/>
          <w:i/>
          <w:iCs/>
          <w:sz w:val="24"/>
          <w:szCs w:val="24"/>
        </w:rPr>
        <w:t xml:space="preserve"> (SIMS 7.1)</w:t>
      </w:r>
    </w:p>
    <w:p w14:paraId="0CD5F618" w14:textId="77777777" w:rsidR="00240AB8" w:rsidRPr="00240AB8" w:rsidRDefault="00240AB8" w:rsidP="00240AB8">
      <w:pPr>
        <w:spacing w:line="280" w:lineRule="exact"/>
        <w:jc w:val="both"/>
        <w:rPr>
          <w:rFonts w:ascii="Times New Roman" w:eastAsia="Calibri" w:hAnsi="Times New Roman" w:cs="Times New Roman"/>
          <w:szCs w:val="24"/>
        </w:rPr>
      </w:pPr>
      <w:r w:rsidRPr="00240AB8">
        <w:rPr>
          <w:rFonts w:ascii="Times New Roman" w:eastAsia="Calibri" w:hAnsi="Times New Roman" w:cs="Times New Roman"/>
          <w:szCs w:val="24"/>
        </w:rPr>
        <w:t>Annual financial accounts are compiled and transmitted according to the European Parliament and Council Regulation (EU) No 549/2013 of 21 May 2013 on the European system of national and regional accounts in the European Union (ESA 2010).</w:t>
      </w:r>
    </w:p>
    <w:p w14:paraId="074EB1EA" w14:textId="77777777" w:rsidR="00240AB8" w:rsidRPr="00240AB8" w:rsidRDefault="00240AB8" w:rsidP="00240AB8">
      <w:pPr>
        <w:spacing w:line="280" w:lineRule="exact"/>
        <w:jc w:val="both"/>
        <w:rPr>
          <w:rFonts w:ascii="Times New Roman" w:eastAsia="Calibri" w:hAnsi="Times New Roman" w:cs="Times New Roman"/>
          <w:szCs w:val="24"/>
        </w:rPr>
      </w:pPr>
      <w:r w:rsidRPr="00240AB8">
        <w:rPr>
          <w:rFonts w:ascii="Times New Roman" w:eastAsia="Calibri" w:hAnsi="Times New Roman" w:cs="Times New Roman"/>
          <w:szCs w:val="24"/>
        </w:rPr>
        <w:t>Quarterly financial accounts are compiled and transmitted to the ECB according to the Guideline ECB/2013/24 on financial accounts statistical reporting requirements.</w:t>
      </w:r>
    </w:p>
    <w:p w14:paraId="710C2483" w14:textId="77777777" w:rsidR="00240AB8" w:rsidRPr="00240AB8" w:rsidRDefault="00240AB8" w:rsidP="00240AB8">
      <w:pPr>
        <w:spacing w:line="280" w:lineRule="exact"/>
        <w:jc w:val="both"/>
        <w:rPr>
          <w:rFonts w:ascii="Times New Roman" w:eastAsia="Calibri" w:hAnsi="Times New Roman" w:cs="Times New Roman"/>
          <w:szCs w:val="24"/>
        </w:rPr>
      </w:pPr>
      <w:r w:rsidRPr="00240AB8">
        <w:rPr>
          <w:rFonts w:ascii="Times New Roman" w:eastAsia="Calibri" w:hAnsi="Times New Roman" w:cs="Times New Roman"/>
          <w:szCs w:val="24"/>
        </w:rPr>
        <w:t xml:space="preserve">Relevant national laws: </w:t>
      </w:r>
    </w:p>
    <w:p w14:paraId="79E1B2DE" w14:textId="77777777" w:rsidR="00240AB8" w:rsidRPr="00240AB8" w:rsidRDefault="00240AB8" w:rsidP="00240AB8">
      <w:pPr>
        <w:spacing w:line="280" w:lineRule="exact"/>
        <w:jc w:val="both"/>
        <w:rPr>
          <w:rFonts w:ascii="Times New Roman" w:eastAsia="Calibri" w:hAnsi="Times New Roman" w:cs="Times New Roman"/>
          <w:szCs w:val="24"/>
        </w:rPr>
      </w:pPr>
      <w:r w:rsidRPr="00240AB8">
        <w:rPr>
          <w:rFonts w:ascii="Times New Roman" w:eastAsia="Calibri" w:hAnsi="Times New Roman" w:cs="Times New Roman"/>
          <w:szCs w:val="24"/>
        </w:rPr>
        <w:t xml:space="preserve">The Republic of Lithuania Law on Official Statistics No I-270 of 12 October 1993, last amended on 29 September 2020 (No XIII-3306). </w:t>
      </w:r>
    </w:p>
    <w:p w14:paraId="6297E376" w14:textId="77777777" w:rsidR="00240AB8" w:rsidRPr="00240AB8" w:rsidRDefault="00240AB8" w:rsidP="00240AB8">
      <w:pPr>
        <w:spacing w:line="280" w:lineRule="exact"/>
        <w:jc w:val="both"/>
        <w:rPr>
          <w:rFonts w:ascii="Times New Roman" w:eastAsia="Calibri" w:hAnsi="Times New Roman" w:cs="Times New Roman"/>
          <w:szCs w:val="24"/>
        </w:rPr>
      </w:pPr>
      <w:r w:rsidRPr="00240AB8">
        <w:rPr>
          <w:rFonts w:ascii="Times New Roman" w:eastAsia="Calibri" w:hAnsi="Times New Roman" w:cs="Times New Roman"/>
          <w:szCs w:val="24"/>
        </w:rPr>
        <w:t>The mandate of LB to collect information for the development, production and dissemination of European Statistics is specified in Article 8 of the Law on the Bank of Lithuania.</w:t>
      </w:r>
    </w:p>
    <w:p w14:paraId="77FE0699" w14:textId="2123CDDF" w:rsidR="00240AB8" w:rsidRPr="00240AB8" w:rsidRDefault="00240AB8" w:rsidP="00240AB8">
      <w:pPr>
        <w:spacing w:line="280" w:lineRule="exact"/>
        <w:jc w:val="both"/>
        <w:rPr>
          <w:rFonts w:ascii="Times New Roman" w:eastAsia="Calibri" w:hAnsi="Times New Roman" w:cs="Times New Roman"/>
          <w:szCs w:val="24"/>
        </w:rPr>
      </w:pPr>
      <w:r w:rsidRPr="00240AB8">
        <w:rPr>
          <w:rFonts w:ascii="Times New Roman" w:eastAsia="Calibri" w:hAnsi="Times New Roman" w:cs="Times New Roman"/>
          <w:szCs w:val="24"/>
        </w:rPr>
        <w:t xml:space="preserve">The responsibility of LB for the compilation and dissemination of annual financial accounts is set up in the Memorandum of Understanding between LB and </w:t>
      </w:r>
      <w:r>
        <w:rPr>
          <w:rFonts w:ascii="Times New Roman" w:eastAsia="Calibri" w:hAnsi="Times New Roman" w:cs="Times New Roman"/>
          <w:szCs w:val="24"/>
        </w:rPr>
        <w:t>SDA</w:t>
      </w:r>
      <w:r w:rsidRPr="00240AB8">
        <w:rPr>
          <w:rFonts w:ascii="Times New Roman" w:eastAsia="Calibri" w:hAnsi="Times New Roman" w:cs="Times New Roman"/>
          <w:szCs w:val="24"/>
        </w:rPr>
        <w:t xml:space="preserve"> signed on 3 March 2020.</w:t>
      </w:r>
    </w:p>
    <w:p w14:paraId="3D0262F7" w14:textId="0621A728" w:rsidR="00240AB8" w:rsidRDefault="00240AB8" w:rsidP="00240AB8">
      <w:pPr>
        <w:spacing w:line="280" w:lineRule="exact"/>
        <w:jc w:val="both"/>
        <w:rPr>
          <w:rFonts w:ascii="Times New Roman" w:eastAsia="Calibri" w:hAnsi="Times New Roman" w:cs="Times New Roman"/>
          <w:szCs w:val="24"/>
        </w:rPr>
      </w:pPr>
      <w:r w:rsidRPr="00240AB8">
        <w:rPr>
          <w:rFonts w:ascii="Times New Roman" w:eastAsia="Calibri" w:hAnsi="Times New Roman" w:cs="Times New Roman"/>
          <w:szCs w:val="24"/>
        </w:rPr>
        <w:t xml:space="preserve">Cooperation between LB and </w:t>
      </w:r>
      <w:r>
        <w:rPr>
          <w:rFonts w:ascii="Times New Roman" w:eastAsia="Calibri" w:hAnsi="Times New Roman" w:cs="Times New Roman"/>
          <w:szCs w:val="24"/>
        </w:rPr>
        <w:t>SDA</w:t>
      </w:r>
      <w:r w:rsidRPr="00240AB8">
        <w:rPr>
          <w:rFonts w:ascii="Times New Roman" w:eastAsia="Calibri" w:hAnsi="Times New Roman" w:cs="Times New Roman"/>
          <w:szCs w:val="24"/>
        </w:rPr>
        <w:t xml:space="preserve"> in the field of annual financial accounts is set up in the Agreement on statistical information and data sharing. The Agreement describes data requirements and data transmission deadlines.</w:t>
      </w:r>
    </w:p>
    <w:p w14:paraId="1F364F09" w14:textId="759DACFD" w:rsidR="00E700F4" w:rsidRPr="00675805" w:rsidRDefault="00E700F4" w:rsidP="00240AB8">
      <w:pPr>
        <w:spacing w:line="280" w:lineRule="exact"/>
        <w:jc w:val="both"/>
        <w:rPr>
          <w:rFonts w:ascii="Calibri" w:hAnsi="Calibri" w:cs="Arial"/>
          <w:b/>
          <w:sz w:val="24"/>
          <w:szCs w:val="24"/>
        </w:rPr>
      </w:pPr>
      <w:r w:rsidRPr="00675805">
        <w:rPr>
          <w:rFonts w:ascii="Calibri" w:hAnsi="Calibri" w:cs="Arial"/>
          <w:b/>
          <w:sz w:val="24"/>
          <w:szCs w:val="24"/>
        </w:rPr>
        <w:t xml:space="preserve">A.3 CoP6 Impartiality and objectivity/ </w:t>
      </w:r>
      <w:r w:rsidR="00897701" w:rsidRPr="00897701">
        <w:rPr>
          <w:rFonts w:ascii="Calibri" w:hAnsi="Calibri" w:cs="Arial"/>
          <w:b/>
          <w:sz w:val="24"/>
          <w:szCs w:val="24"/>
          <w:lang w:val="en-US"/>
        </w:rPr>
        <w:t>PC6 Impartiality and objectivity</w:t>
      </w:r>
    </w:p>
    <w:p w14:paraId="0FCF1664" w14:textId="62FB1577"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A.3.1 Advance release calendar</w:t>
      </w:r>
      <w:r w:rsidR="00FE6669" w:rsidRPr="00675805">
        <w:rPr>
          <w:rFonts w:ascii="Calibri" w:hAnsi="Calibri" w:cs="Arial"/>
          <w:b/>
          <w:i/>
          <w:iCs/>
          <w:sz w:val="24"/>
          <w:szCs w:val="24"/>
        </w:rPr>
        <w:t xml:space="preserve"> (SIMS 8.1 and SIMS 8.2)</w:t>
      </w:r>
    </w:p>
    <w:p w14:paraId="22CCFC9E" w14:textId="77777777" w:rsidR="00240AB8" w:rsidRDefault="00240AB8" w:rsidP="00240AB8">
      <w:pPr>
        <w:spacing w:after="0" w:line="276" w:lineRule="auto"/>
        <w:jc w:val="both"/>
        <w:rPr>
          <w:rFonts w:ascii="Times New Roman" w:eastAsia="Calibri" w:hAnsi="Times New Roman" w:cs="Times New Roman"/>
          <w:iCs/>
        </w:rPr>
      </w:pPr>
      <w:r w:rsidRPr="00240AB8">
        <w:rPr>
          <w:rFonts w:ascii="Times New Roman" w:eastAsia="Calibri" w:hAnsi="Times New Roman" w:cs="Times New Roman"/>
          <w:iCs/>
        </w:rPr>
        <w:t xml:space="preserve">The </w:t>
      </w:r>
      <w:hyperlink r:id="rId10" w:history="1">
        <w:r w:rsidRPr="00240AB8">
          <w:rPr>
            <w:rFonts w:ascii="Times New Roman" w:eastAsia="Calibri" w:hAnsi="Times New Roman" w:cs="Times New Roman"/>
            <w:iCs/>
            <w:color w:val="0000FF"/>
            <w:u w:val="single"/>
          </w:rPr>
          <w:t>data release calendar</w:t>
        </w:r>
      </w:hyperlink>
      <w:r w:rsidRPr="00240AB8">
        <w:rPr>
          <w:rFonts w:ascii="Times New Roman" w:eastAsia="Calibri" w:hAnsi="Times New Roman" w:cs="Times New Roman"/>
          <w:iCs/>
        </w:rPr>
        <w:t xml:space="preserve"> for the annual and quarterly financial accounts is publicly available on the website of LB. The annual financial accounts are published 9 months after the end of the year. Preliminary annual data are published at 95 days after the end of the year. Quarterly financial accounts are published at </w:t>
      </w:r>
      <w:r w:rsidRPr="00240AB8">
        <w:rPr>
          <w:rFonts w:ascii="Times New Roman" w:eastAsia="Calibri" w:hAnsi="Times New Roman" w:cs="Times New Roman"/>
        </w:rPr>
        <w:t>95</w:t>
      </w:r>
      <w:r w:rsidRPr="00240AB8">
        <w:rPr>
          <w:rFonts w:ascii="Times New Roman" w:eastAsia="Calibri" w:hAnsi="Times New Roman" w:cs="Times New Roman"/>
          <w:iCs/>
        </w:rPr>
        <w:t xml:space="preserve"> days after the reference quarter.</w:t>
      </w:r>
    </w:p>
    <w:p w14:paraId="7B6D8314" w14:textId="77777777" w:rsidR="00C040F6" w:rsidRPr="00C040F6" w:rsidRDefault="00C040F6" w:rsidP="00C040F6">
      <w:pPr>
        <w:spacing w:before="240" w:after="0" w:line="276" w:lineRule="auto"/>
        <w:jc w:val="both"/>
        <w:rPr>
          <w:rFonts w:ascii="Times New Roman" w:eastAsia="Calibri" w:hAnsi="Times New Roman" w:cs="Times New Roman"/>
          <w:iCs/>
        </w:rPr>
      </w:pPr>
      <w:r w:rsidRPr="00C040F6">
        <w:rPr>
          <w:rFonts w:ascii="Times New Roman" w:eastAsia="Calibri" w:hAnsi="Times New Roman" w:cs="Times New Roman"/>
          <w:iCs/>
        </w:rPr>
        <w:t>The data release calendar for the QFAGG</w:t>
      </w:r>
      <w:r w:rsidRPr="00C040F6" w:rsidDel="00F27CA9">
        <w:rPr>
          <w:rFonts w:ascii="Times New Roman" w:eastAsia="Calibri" w:hAnsi="Times New Roman" w:cs="Times New Roman"/>
          <w:iCs/>
        </w:rPr>
        <w:t xml:space="preserve"> </w:t>
      </w:r>
      <w:r w:rsidRPr="00C040F6">
        <w:rPr>
          <w:rFonts w:ascii="Times New Roman" w:eastAsia="Calibri" w:hAnsi="Times New Roman" w:cs="Times New Roman"/>
          <w:iCs/>
        </w:rPr>
        <w:t xml:space="preserve">is publicly available at the Official Statistics Portal: </w:t>
      </w:r>
      <w:hyperlink r:id="rId11" w:history="1">
        <w:r w:rsidRPr="00C040F6">
          <w:rPr>
            <w:rFonts w:ascii="Times New Roman" w:eastAsia="Calibri" w:hAnsi="Times New Roman" w:cs="Times New Roman"/>
            <w:iCs/>
            <w:color w:val="0000FF"/>
            <w:u w:val="single"/>
          </w:rPr>
          <w:t>http://osp.stat.gov.lt/en/kalendoriai</w:t>
        </w:r>
      </w:hyperlink>
      <w:r w:rsidRPr="00C040F6">
        <w:rPr>
          <w:rFonts w:ascii="Times New Roman" w:eastAsia="Calibri" w:hAnsi="Times New Roman" w:cs="Times New Roman"/>
          <w:iCs/>
        </w:rPr>
        <w:t xml:space="preserve">. </w:t>
      </w:r>
      <w:r w:rsidRPr="00C040F6">
        <w:rPr>
          <w:rFonts w:ascii="Times New Roman" w:eastAsia="Calibri" w:hAnsi="Times New Roman" w:cs="Times New Roman"/>
        </w:rPr>
        <w:t xml:space="preserve">The QFAGG are published at </w:t>
      </w:r>
      <w:r w:rsidRPr="00C040F6">
        <w:rPr>
          <w:rFonts w:ascii="Times New Roman" w:eastAsia="Calibri" w:hAnsi="Times New Roman" w:cs="Times New Roman"/>
          <w:i/>
        </w:rPr>
        <w:t>t+93</w:t>
      </w:r>
      <w:r w:rsidRPr="00C040F6">
        <w:rPr>
          <w:rFonts w:ascii="Times New Roman" w:eastAsia="Calibri" w:hAnsi="Times New Roman" w:cs="Times New Roman"/>
        </w:rPr>
        <w:t xml:space="preserve"> days after the reference quarter. </w:t>
      </w:r>
    </w:p>
    <w:p w14:paraId="6871676E" w14:textId="77777777" w:rsidR="00C040F6" w:rsidRPr="00240AB8" w:rsidRDefault="00C040F6" w:rsidP="00240AB8">
      <w:pPr>
        <w:spacing w:after="0" w:line="276" w:lineRule="auto"/>
        <w:jc w:val="both"/>
        <w:rPr>
          <w:rFonts w:ascii="Times New Roman" w:eastAsia="Calibri" w:hAnsi="Times New Roman" w:cs="Times New Roman"/>
          <w:iCs/>
        </w:rPr>
      </w:pPr>
    </w:p>
    <w:p w14:paraId="726BF62D" w14:textId="0820376B"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A.3.2 Revision policy</w:t>
      </w:r>
      <w:r w:rsidR="00FE6669" w:rsidRPr="00675805">
        <w:rPr>
          <w:rFonts w:ascii="Calibri" w:hAnsi="Calibri" w:cs="Arial"/>
          <w:b/>
          <w:i/>
          <w:iCs/>
          <w:sz w:val="24"/>
          <w:szCs w:val="24"/>
        </w:rPr>
        <w:t xml:space="preserve"> (SIMS 17.2)</w:t>
      </w:r>
    </w:p>
    <w:p w14:paraId="4B28A530" w14:textId="7F80E4DD" w:rsidR="00C040F6" w:rsidRPr="001C1281" w:rsidRDefault="00C040F6" w:rsidP="00C040F6">
      <w:pPr>
        <w:pStyle w:val="CMFBtextintable"/>
        <w:spacing w:before="240"/>
        <w:rPr>
          <w:iCs/>
        </w:rPr>
      </w:pPr>
      <w:r>
        <w:rPr>
          <w:iCs/>
        </w:rPr>
        <w:t>F</w:t>
      </w:r>
      <w:r w:rsidRPr="001C1281">
        <w:rPr>
          <w:iCs/>
        </w:rPr>
        <w:t>inancial accounts (FA)</w:t>
      </w:r>
    </w:p>
    <w:p w14:paraId="71560258" w14:textId="77777777" w:rsidR="00C040F6" w:rsidRPr="001C1281" w:rsidRDefault="00C040F6" w:rsidP="00C040F6">
      <w:pPr>
        <w:pStyle w:val="CMFBtextintable"/>
        <w:spacing w:after="0"/>
        <w:rPr>
          <w:lang w:eastAsia="en-GB"/>
        </w:rPr>
      </w:pPr>
      <w:r w:rsidRPr="001C1281">
        <w:rPr>
          <w:lang w:eastAsia="en-GB"/>
        </w:rPr>
        <w:t xml:space="preserve">FA data revision policy is </w:t>
      </w:r>
      <w:r>
        <w:rPr>
          <w:lang w:eastAsia="en-GB"/>
        </w:rPr>
        <w:t>compliant</w:t>
      </w:r>
      <w:r w:rsidRPr="001C1281">
        <w:rPr>
          <w:lang w:eastAsia="en-GB"/>
        </w:rPr>
        <w:t xml:space="preserve"> with recommendations of </w:t>
      </w:r>
      <w:r>
        <w:rPr>
          <w:lang w:eastAsia="en-GB"/>
        </w:rPr>
        <w:t xml:space="preserve">the </w:t>
      </w:r>
      <w:r w:rsidRPr="001C1281">
        <w:rPr>
          <w:lang w:eastAsia="en-GB"/>
        </w:rPr>
        <w:t>CMFB and consistent across statistical domains.</w:t>
      </w:r>
    </w:p>
    <w:p w14:paraId="0BA4D6FE" w14:textId="77777777" w:rsidR="00C040F6" w:rsidRPr="001C1281" w:rsidRDefault="00C040F6" w:rsidP="00C040F6">
      <w:pPr>
        <w:pStyle w:val="CMFBtextintable"/>
        <w:spacing w:after="0"/>
        <w:rPr>
          <w:iCs/>
        </w:rPr>
      </w:pPr>
      <w:r>
        <w:t>The r</w:t>
      </w:r>
      <w:r w:rsidRPr="001C1281">
        <w:t>evision</w:t>
      </w:r>
      <w:r w:rsidRPr="001C1281">
        <w:rPr>
          <w:iCs/>
        </w:rPr>
        <w:t xml:space="preserve"> policy is publicly available on the website of LB: </w:t>
      </w:r>
      <w:hyperlink r:id="rId12" w:history="1">
        <w:r w:rsidRPr="001C1281">
          <w:rPr>
            <w:rStyle w:val="Hyperlink"/>
            <w:iCs/>
          </w:rPr>
          <w:t>https://www.lb.lt/en/data-revisions</w:t>
        </w:r>
      </w:hyperlink>
      <w:r w:rsidRPr="001C1281">
        <w:rPr>
          <w:iCs/>
        </w:rPr>
        <w:t>.</w:t>
      </w:r>
    </w:p>
    <w:p w14:paraId="4DD88CD7" w14:textId="77777777" w:rsidR="00C040F6" w:rsidRDefault="00C040F6" w:rsidP="00C040F6">
      <w:pPr>
        <w:pStyle w:val="CMFBtextintable"/>
        <w:spacing w:after="0"/>
        <w:rPr>
          <w:iCs/>
        </w:rPr>
      </w:pPr>
      <w:r w:rsidRPr="001C1281">
        <w:rPr>
          <w:iCs/>
        </w:rPr>
        <w:t>Major methodological changes, such as the implementation of the new ESA 2010, are accompanied by more specific explanations and are communicated separately to the users.</w:t>
      </w:r>
    </w:p>
    <w:p w14:paraId="3E83A256" w14:textId="77777777" w:rsidR="00C040F6" w:rsidRPr="00C040F6" w:rsidRDefault="00C040F6" w:rsidP="00C040F6">
      <w:pPr>
        <w:spacing w:before="60" w:after="20" w:line="240" w:lineRule="auto"/>
        <w:rPr>
          <w:rFonts w:ascii="Times New Roman" w:hAnsi="Times New Roman"/>
          <w:lang w:val="lt-LT" w:eastAsia="en-GB"/>
        </w:rPr>
      </w:pPr>
      <w:r w:rsidRPr="00C040F6">
        <w:rPr>
          <w:rFonts w:ascii="Times New Roman" w:hAnsi="Times New Roman"/>
          <w:lang w:val="lt-LT" w:eastAsia="en-GB"/>
        </w:rPr>
        <w:t>QFAGG</w:t>
      </w:r>
    </w:p>
    <w:p w14:paraId="5AF77FDA" w14:textId="3657A034" w:rsidR="00C040F6" w:rsidRPr="00C040F6" w:rsidRDefault="00C040F6" w:rsidP="00C040F6">
      <w:pPr>
        <w:spacing w:before="60" w:after="20" w:line="240" w:lineRule="auto"/>
        <w:rPr>
          <w:rFonts w:ascii="Times New Roman" w:hAnsi="Times New Roman"/>
          <w:lang w:eastAsia="en-GB"/>
        </w:rPr>
      </w:pPr>
      <w:r w:rsidRPr="00C040F6">
        <w:rPr>
          <w:rFonts w:ascii="Times New Roman" w:hAnsi="Times New Roman"/>
          <w:lang w:eastAsia="en-GB"/>
        </w:rPr>
        <w:t xml:space="preserve">The QFAGG data are revised in March and September. </w:t>
      </w:r>
      <w:r>
        <w:rPr>
          <w:rFonts w:ascii="Times New Roman" w:hAnsi="Times New Roman"/>
          <w:lang w:eastAsia="en-GB"/>
        </w:rPr>
        <w:t>SDA</w:t>
      </w:r>
      <w:r w:rsidRPr="00C040F6">
        <w:rPr>
          <w:rFonts w:ascii="Times New Roman" w:hAnsi="Times New Roman"/>
          <w:lang w:eastAsia="en-GB"/>
        </w:rPr>
        <w:t xml:space="preserve"> revision policy is provided in the document General Principles behind the Performance, Analysis and Announcement of Revisions of Statistical Indicators.</w:t>
      </w:r>
    </w:p>
    <w:p w14:paraId="28BD126B" w14:textId="63F0BA64" w:rsidR="00C040F6" w:rsidRPr="00C040F6" w:rsidRDefault="00C040F6" w:rsidP="00C040F6">
      <w:pPr>
        <w:spacing w:before="60" w:after="20" w:line="240" w:lineRule="auto"/>
        <w:rPr>
          <w:rFonts w:ascii="Times New Roman" w:hAnsi="Times New Roman"/>
          <w:lang w:eastAsia="en-GB"/>
        </w:rPr>
      </w:pPr>
      <w:r w:rsidRPr="00C040F6">
        <w:rPr>
          <w:rFonts w:ascii="Times New Roman" w:hAnsi="Times New Roman"/>
          <w:lang w:eastAsia="en-GB"/>
        </w:rPr>
        <w:t>For major revisions, such as the implementation of ESA 2010, a special press release is disseminated.</w:t>
      </w:r>
    </w:p>
    <w:p w14:paraId="3E9357EE" w14:textId="77777777" w:rsidR="00C040F6" w:rsidRPr="00C040F6" w:rsidRDefault="00C040F6" w:rsidP="00C040F6">
      <w:pPr>
        <w:spacing w:before="60" w:after="20" w:line="240" w:lineRule="auto"/>
        <w:rPr>
          <w:rFonts w:ascii="Times New Roman" w:hAnsi="Times New Roman"/>
          <w:lang w:eastAsia="en-GB"/>
        </w:rPr>
      </w:pPr>
    </w:p>
    <w:p w14:paraId="5C3ADD41" w14:textId="77777777" w:rsidR="00C040F6" w:rsidRDefault="00C040F6" w:rsidP="00C040F6">
      <w:pPr>
        <w:spacing w:before="60" w:after="20" w:line="240" w:lineRule="auto"/>
        <w:rPr>
          <w:rFonts w:ascii="Times New Roman" w:hAnsi="Times New Roman"/>
          <w:lang w:val="lt-LT" w:eastAsia="en-GB"/>
        </w:rPr>
      </w:pPr>
    </w:p>
    <w:p w14:paraId="08F74343" w14:textId="77777777" w:rsidR="000C0CE0" w:rsidRDefault="000C0CE0" w:rsidP="00C040F6">
      <w:pPr>
        <w:spacing w:before="60" w:after="20" w:line="240" w:lineRule="auto"/>
        <w:rPr>
          <w:rFonts w:ascii="Times New Roman" w:hAnsi="Times New Roman"/>
          <w:lang w:val="lt-LT" w:eastAsia="en-GB"/>
        </w:rPr>
      </w:pPr>
    </w:p>
    <w:p w14:paraId="11F7B2F8" w14:textId="77777777" w:rsidR="00C040F6" w:rsidRDefault="00C040F6" w:rsidP="00C040F6">
      <w:pPr>
        <w:spacing w:before="60" w:after="20" w:line="240" w:lineRule="auto"/>
        <w:rPr>
          <w:rFonts w:ascii="Times New Roman" w:hAnsi="Times New Roman"/>
          <w:lang w:val="lt-LT" w:eastAsia="en-GB"/>
        </w:rPr>
      </w:pPr>
    </w:p>
    <w:p w14:paraId="079FE149" w14:textId="5946F37C" w:rsidR="00C040F6" w:rsidRPr="001C1281" w:rsidRDefault="00C040F6" w:rsidP="00C040F6">
      <w:pPr>
        <w:spacing w:before="60" w:after="20" w:line="240" w:lineRule="auto"/>
        <w:rPr>
          <w:rFonts w:ascii="Times New Roman" w:hAnsi="Times New Roman"/>
          <w:lang w:eastAsia="en-GB"/>
        </w:rPr>
      </w:pPr>
      <w:r w:rsidRPr="001C1281">
        <w:rPr>
          <w:rFonts w:ascii="Times New Roman" w:hAnsi="Times New Roman"/>
          <w:lang w:eastAsia="en-GB"/>
        </w:rPr>
        <w:t>FA data revision cycle: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997"/>
        <w:gridCol w:w="2835"/>
        <w:gridCol w:w="2552"/>
        <w:gridCol w:w="1559"/>
      </w:tblGrid>
      <w:tr w:rsidR="00C040F6" w:rsidRPr="001C1281" w14:paraId="11CD0AC7" w14:textId="77777777" w:rsidTr="00C040F6">
        <w:tc>
          <w:tcPr>
            <w:tcW w:w="0" w:type="auto"/>
            <w:shd w:val="clear" w:color="auto" w:fill="auto"/>
          </w:tcPr>
          <w:p w14:paraId="1B926472"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Reference period</w:t>
            </w:r>
          </w:p>
        </w:tc>
        <w:tc>
          <w:tcPr>
            <w:tcW w:w="997" w:type="dxa"/>
            <w:shd w:val="clear" w:color="auto" w:fill="auto"/>
          </w:tcPr>
          <w:p w14:paraId="5A24225C"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Type of revision</w:t>
            </w:r>
          </w:p>
        </w:tc>
        <w:tc>
          <w:tcPr>
            <w:tcW w:w="2835" w:type="dxa"/>
            <w:shd w:val="clear" w:color="auto" w:fill="auto"/>
          </w:tcPr>
          <w:p w14:paraId="3746FF0F"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Timing</w:t>
            </w:r>
          </w:p>
        </w:tc>
        <w:tc>
          <w:tcPr>
            <w:tcW w:w="2552" w:type="dxa"/>
            <w:shd w:val="clear" w:color="auto" w:fill="auto"/>
          </w:tcPr>
          <w:p w14:paraId="39B3C1E9"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Description</w:t>
            </w:r>
          </w:p>
        </w:tc>
        <w:tc>
          <w:tcPr>
            <w:tcW w:w="1559" w:type="dxa"/>
            <w:shd w:val="clear" w:color="auto" w:fill="auto"/>
          </w:tcPr>
          <w:p w14:paraId="4022CADB"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Depth</w:t>
            </w:r>
          </w:p>
        </w:tc>
      </w:tr>
      <w:tr w:rsidR="00C040F6" w:rsidRPr="001C1281" w14:paraId="30051DD2" w14:textId="77777777" w:rsidTr="00C040F6">
        <w:tc>
          <w:tcPr>
            <w:tcW w:w="0" w:type="auto"/>
            <w:shd w:val="clear" w:color="auto" w:fill="auto"/>
          </w:tcPr>
          <w:p w14:paraId="60A9B71E"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Q1</w:t>
            </w:r>
          </w:p>
          <w:p w14:paraId="69E2DFE0"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Q4</w:t>
            </w:r>
          </w:p>
        </w:tc>
        <w:tc>
          <w:tcPr>
            <w:tcW w:w="997" w:type="dxa"/>
            <w:shd w:val="clear" w:color="auto" w:fill="auto"/>
          </w:tcPr>
          <w:p w14:paraId="3FB37662"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Routine</w:t>
            </w:r>
          </w:p>
        </w:tc>
        <w:tc>
          <w:tcPr>
            <w:tcW w:w="2835" w:type="dxa"/>
            <w:shd w:val="clear" w:color="auto" w:fill="auto"/>
          </w:tcPr>
          <w:p w14:paraId="62D1578E" w14:textId="77777777" w:rsidR="00C040F6" w:rsidRPr="001C1281" w:rsidRDefault="00C040F6" w:rsidP="00BE05AB">
            <w:pPr>
              <w:spacing w:before="60" w:after="20" w:line="240" w:lineRule="auto"/>
              <w:rPr>
                <w:rFonts w:ascii="Times New Roman" w:hAnsi="Times New Roman"/>
                <w:lang w:eastAsia="en-GB"/>
              </w:rPr>
            </w:pPr>
            <w:r w:rsidRPr="00390EDD">
              <w:rPr>
                <w:rFonts w:ascii="Times New Roman" w:hAnsi="Times New Roman"/>
                <w:lang w:eastAsia="en-GB"/>
              </w:rPr>
              <w:t xml:space="preserve">According to </w:t>
            </w:r>
            <w:r>
              <w:rPr>
                <w:rFonts w:ascii="Times New Roman" w:hAnsi="Times New Roman"/>
                <w:lang w:eastAsia="en-GB"/>
              </w:rPr>
              <w:t xml:space="preserve">the </w:t>
            </w:r>
            <w:r w:rsidRPr="00390EDD">
              <w:rPr>
                <w:rFonts w:ascii="Times New Roman" w:hAnsi="Times New Roman"/>
                <w:lang w:eastAsia="en-GB"/>
              </w:rPr>
              <w:t>dates indicated in the data release calendar when publishing reference period data</w:t>
            </w:r>
          </w:p>
        </w:tc>
        <w:tc>
          <w:tcPr>
            <w:tcW w:w="2552" w:type="dxa"/>
            <w:shd w:val="clear" w:color="auto" w:fill="auto"/>
          </w:tcPr>
          <w:p w14:paraId="1418C725" w14:textId="77777777"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Replacement of preliminary data with final data; replacement of estimated values with real data received later</w:t>
            </w:r>
          </w:p>
        </w:tc>
        <w:tc>
          <w:tcPr>
            <w:tcW w:w="1559" w:type="dxa"/>
            <w:shd w:val="clear" w:color="auto" w:fill="auto"/>
          </w:tcPr>
          <w:p w14:paraId="159C80C7" w14:textId="66997C2E" w:rsidR="00C040F6" w:rsidRPr="001C1281" w:rsidRDefault="00C040F6" w:rsidP="00BE05AB">
            <w:pPr>
              <w:spacing w:before="60" w:after="20" w:line="240" w:lineRule="auto"/>
              <w:rPr>
                <w:rFonts w:ascii="Times New Roman" w:hAnsi="Times New Roman"/>
                <w:lang w:eastAsia="en-GB"/>
              </w:rPr>
            </w:pPr>
            <w:r w:rsidRPr="001C1281">
              <w:rPr>
                <w:rFonts w:ascii="Times New Roman" w:hAnsi="Times New Roman"/>
                <w:lang w:eastAsia="en-GB"/>
              </w:rPr>
              <w:t>15 quarters</w:t>
            </w:r>
            <w:r>
              <w:rPr>
                <w:rFonts w:ascii="Times New Roman" w:hAnsi="Times New Roman"/>
                <w:lang w:eastAsia="en-GB"/>
              </w:rPr>
              <w:br/>
              <w:t>3 years</w:t>
            </w:r>
          </w:p>
        </w:tc>
      </w:tr>
      <w:tr w:rsidR="00C040F6" w:rsidRPr="001C1281" w14:paraId="19503005" w14:textId="77777777" w:rsidTr="00C040F6">
        <w:tc>
          <w:tcPr>
            <w:tcW w:w="0" w:type="auto"/>
            <w:shd w:val="clear" w:color="auto" w:fill="auto"/>
          </w:tcPr>
          <w:p w14:paraId="02DF161A" w14:textId="7C608AF1" w:rsidR="00C040F6" w:rsidRPr="001C1281" w:rsidRDefault="00C040F6" w:rsidP="00C040F6">
            <w:pPr>
              <w:spacing w:before="60" w:after="20" w:line="240" w:lineRule="auto"/>
              <w:rPr>
                <w:rFonts w:ascii="Times New Roman" w:hAnsi="Times New Roman"/>
                <w:lang w:eastAsia="en-GB"/>
              </w:rPr>
            </w:pPr>
            <w:r w:rsidRPr="001C1281">
              <w:rPr>
                <w:rFonts w:ascii="Times New Roman" w:hAnsi="Times New Roman"/>
                <w:lang w:eastAsia="en-GB"/>
              </w:rPr>
              <w:t>Q2</w:t>
            </w:r>
          </w:p>
        </w:tc>
        <w:tc>
          <w:tcPr>
            <w:tcW w:w="997" w:type="dxa"/>
            <w:shd w:val="clear" w:color="auto" w:fill="auto"/>
          </w:tcPr>
          <w:p w14:paraId="435F895C" w14:textId="1EBF3976" w:rsidR="00C040F6" w:rsidRPr="001C1281" w:rsidRDefault="00C040F6" w:rsidP="00C040F6">
            <w:pPr>
              <w:spacing w:before="60" w:after="20" w:line="240" w:lineRule="auto"/>
              <w:rPr>
                <w:rFonts w:ascii="Times New Roman" w:hAnsi="Times New Roman"/>
                <w:lang w:eastAsia="en-GB"/>
              </w:rPr>
            </w:pPr>
            <w:r w:rsidRPr="001C1281">
              <w:rPr>
                <w:rFonts w:ascii="Times New Roman" w:hAnsi="Times New Roman"/>
                <w:lang w:eastAsia="en-GB"/>
              </w:rPr>
              <w:t>Annual</w:t>
            </w:r>
          </w:p>
        </w:tc>
        <w:tc>
          <w:tcPr>
            <w:tcW w:w="2835" w:type="dxa"/>
            <w:shd w:val="clear" w:color="auto" w:fill="auto"/>
          </w:tcPr>
          <w:p w14:paraId="432564D1" w14:textId="290C2BBA" w:rsidR="00C040F6" w:rsidRPr="00390EDD" w:rsidRDefault="00C040F6" w:rsidP="00C040F6">
            <w:pPr>
              <w:spacing w:before="60" w:after="20" w:line="240" w:lineRule="auto"/>
              <w:rPr>
                <w:rFonts w:ascii="Times New Roman" w:hAnsi="Times New Roman"/>
                <w:lang w:eastAsia="en-GB"/>
              </w:rPr>
            </w:pPr>
            <w:r w:rsidRPr="00390EDD">
              <w:rPr>
                <w:rFonts w:ascii="Times New Roman" w:hAnsi="Times New Roman"/>
                <w:lang w:eastAsia="en-GB"/>
              </w:rPr>
              <w:t xml:space="preserve">According to </w:t>
            </w:r>
            <w:r>
              <w:rPr>
                <w:rFonts w:ascii="Times New Roman" w:hAnsi="Times New Roman"/>
                <w:lang w:eastAsia="en-GB"/>
              </w:rPr>
              <w:t xml:space="preserve">the </w:t>
            </w:r>
            <w:r w:rsidRPr="00390EDD">
              <w:rPr>
                <w:rFonts w:ascii="Times New Roman" w:hAnsi="Times New Roman"/>
                <w:lang w:eastAsia="en-GB"/>
              </w:rPr>
              <w:t>dates indicated in the data release calendar when publishing reference period data</w:t>
            </w:r>
          </w:p>
        </w:tc>
        <w:tc>
          <w:tcPr>
            <w:tcW w:w="2552" w:type="dxa"/>
            <w:shd w:val="clear" w:color="auto" w:fill="auto"/>
          </w:tcPr>
          <w:p w14:paraId="0C9980F8" w14:textId="52F63977" w:rsidR="00C040F6" w:rsidRPr="001C1281" w:rsidRDefault="00C040F6" w:rsidP="00C040F6">
            <w:pPr>
              <w:spacing w:before="60" w:after="20" w:line="240" w:lineRule="auto"/>
              <w:rPr>
                <w:rFonts w:ascii="Times New Roman" w:hAnsi="Times New Roman"/>
                <w:lang w:eastAsia="en-GB"/>
              </w:rPr>
            </w:pPr>
            <w:r w:rsidRPr="001C1281">
              <w:rPr>
                <w:rFonts w:ascii="Times New Roman" w:hAnsi="Times New Roman"/>
                <w:lang w:eastAsia="en-GB"/>
              </w:rPr>
              <w:t>Introduction of new data sources or compilation methods; changes in classification</w:t>
            </w:r>
          </w:p>
        </w:tc>
        <w:tc>
          <w:tcPr>
            <w:tcW w:w="1559" w:type="dxa"/>
            <w:shd w:val="clear" w:color="auto" w:fill="auto"/>
          </w:tcPr>
          <w:p w14:paraId="4B075B3A" w14:textId="0EA366D1" w:rsidR="00C040F6" w:rsidRPr="000C0CE0" w:rsidRDefault="00C040F6" w:rsidP="00C040F6">
            <w:pPr>
              <w:spacing w:before="60" w:after="20" w:line="240" w:lineRule="auto"/>
              <w:ind w:right="176"/>
              <w:rPr>
                <w:rFonts w:ascii="Times New Roman" w:hAnsi="Times New Roman"/>
                <w:lang w:eastAsia="en-GB"/>
              </w:rPr>
            </w:pPr>
            <w:r w:rsidRPr="001C1281">
              <w:rPr>
                <w:rFonts w:ascii="Times New Roman" w:hAnsi="Times New Roman"/>
                <w:lang w:eastAsia="en-GB"/>
              </w:rPr>
              <w:t xml:space="preserve">17 </w:t>
            </w:r>
            <w:r w:rsidRPr="000C0CE0">
              <w:rPr>
                <w:rFonts w:ascii="Times New Roman" w:hAnsi="Times New Roman"/>
                <w:lang w:eastAsia="en-GB"/>
              </w:rPr>
              <w:t>quarters</w:t>
            </w:r>
          </w:p>
          <w:p w14:paraId="7443A778" w14:textId="77777777" w:rsidR="00C040F6" w:rsidRDefault="00C040F6" w:rsidP="00C040F6">
            <w:pPr>
              <w:spacing w:before="60" w:after="20" w:line="240" w:lineRule="auto"/>
              <w:ind w:right="176"/>
              <w:rPr>
                <w:rFonts w:ascii="Times New Roman" w:hAnsi="Times New Roman"/>
                <w:lang w:eastAsia="en-GB"/>
              </w:rPr>
            </w:pPr>
            <w:r w:rsidRPr="00B20246">
              <w:rPr>
                <w:rFonts w:ascii="Times New Roman" w:hAnsi="Times New Roman"/>
                <w:lang w:eastAsia="en-GB"/>
              </w:rPr>
              <w:t>4 years</w:t>
            </w:r>
            <w:r>
              <w:rPr>
                <w:rFonts w:ascii="Times New Roman" w:hAnsi="Times New Roman"/>
                <w:lang w:eastAsia="en-GB"/>
              </w:rPr>
              <w:t xml:space="preserve"> </w:t>
            </w:r>
          </w:p>
          <w:p w14:paraId="77F551CD" w14:textId="627C99E8" w:rsidR="00C040F6" w:rsidRPr="001C1281" w:rsidRDefault="00C040F6" w:rsidP="00C040F6">
            <w:pPr>
              <w:spacing w:before="60" w:after="20" w:line="240" w:lineRule="auto"/>
              <w:rPr>
                <w:rFonts w:ascii="Times New Roman" w:hAnsi="Times New Roman"/>
                <w:lang w:eastAsia="en-GB"/>
              </w:rPr>
            </w:pPr>
            <w:r w:rsidRPr="001C1281">
              <w:rPr>
                <w:rFonts w:ascii="Times New Roman" w:hAnsi="Times New Roman"/>
                <w:lang w:eastAsia="en-GB"/>
              </w:rPr>
              <w:t>or entire time series</w:t>
            </w:r>
          </w:p>
        </w:tc>
      </w:tr>
    </w:tbl>
    <w:p w14:paraId="766929AC" w14:textId="77777777" w:rsidR="00E700F4" w:rsidRDefault="00E700F4" w:rsidP="00E700F4">
      <w:pPr>
        <w:pStyle w:val="Heading2"/>
        <w:tabs>
          <w:tab w:val="left" w:pos="284"/>
        </w:tabs>
        <w:spacing w:line="280" w:lineRule="exact"/>
        <w:rPr>
          <w:rFonts w:ascii="Calibri" w:hAnsi="Calibri" w:cs="Arial"/>
          <w:sz w:val="26"/>
          <w:szCs w:val="26"/>
        </w:rPr>
      </w:pPr>
      <w:r w:rsidRPr="00675805">
        <w:rPr>
          <w:rFonts w:ascii="Calibri" w:hAnsi="Calibri" w:cs="Arial"/>
          <w:sz w:val="26"/>
          <w:szCs w:val="26"/>
        </w:rPr>
        <w:t>STATISTICAL PROCESSES</w:t>
      </w:r>
    </w:p>
    <w:p w14:paraId="6983529F" w14:textId="77777777" w:rsidR="00E700F4" w:rsidRPr="00675805" w:rsidRDefault="00E700F4" w:rsidP="00E700F4">
      <w:pPr>
        <w:spacing w:line="280" w:lineRule="exact"/>
        <w:jc w:val="both"/>
        <w:rPr>
          <w:rFonts w:ascii="Calibri" w:hAnsi="Calibri" w:cs="Arial"/>
          <w:b/>
          <w:sz w:val="24"/>
          <w:szCs w:val="24"/>
        </w:rPr>
      </w:pPr>
      <w:proofErr w:type="gramStart"/>
      <w:r w:rsidRPr="00675805">
        <w:rPr>
          <w:rFonts w:ascii="Calibri" w:hAnsi="Calibri" w:cs="Arial"/>
          <w:b/>
          <w:sz w:val="24"/>
          <w:szCs w:val="24"/>
        </w:rPr>
        <w:t>B.1  CoP</w:t>
      </w:r>
      <w:proofErr w:type="gramEnd"/>
      <w:r w:rsidRPr="00675805">
        <w:rPr>
          <w:rFonts w:ascii="Calibri" w:hAnsi="Calibri" w:cs="Arial"/>
          <w:b/>
          <w:sz w:val="24"/>
          <w:szCs w:val="24"/>
        </w:rPr>
        <w:t>7 Sound methodology/ PC7 Sound methodology</w:t>
      </w:r>
    </w:p>
    <w:p w14:paraId="642BB0B5" w14:textId="10BD5043"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B.1.1 General remarks:</w:t>
      </w:r>
      <w:r w:rsidR="004F7EC7" w:rsidRPr="00675805">
        <w:rPr>
          <w:rFonts w:ascii="Calibri" w:hAnsi="Calibri" w:cs="Arial"/>
          <w:b/>
          <w:i/>
          <w:iCs/>
          <w:sz w:val="24"/>
          <w:szCs w:val="24"/>
        </w:rPr>
        <w:t xml:space="preserve"> (SIMS 3.3 and SIMS 3.4)</w:t>
      </w:r>
    </w:p>
    <w:p w14:paraId="01BF773F" w14:textId="77777777" w:rsidR="000C0CE0" w:rsidRPr="000C0CE0" w:rsidRDefault="000C0CE0" w:rsidP="000C0CE0">
      <w:pPr>
        <w:spacing w:after="60" w:line="276" w:lineRule="auto"/>
        <w:jc w:val="both"/>
        <w:rPr>
          <w:rFonts w:ascii="Times New Roman" w:eastAsia="Calibri" w:hAnsi="Times New Roman" w:cs="Times New Roman"/>
        </w:rPr>
      </w:pPr>
      <w:r w:rsidRPr="000C0CE0">
        <w:rPr>
          <w:rFonts w:ascii="Times New Roman" w:eastAsia="Calibri" w:hAnsi="Times New Roman" w:cs="Times New Roman"/>
        </w:rPr>
        <w:t xml:space="preserve">Annual and quarterly financial accounts completely follow the methodological requirements of ESA 2010. Metadata on annual and quarterly financial accounts are available at the website of LB: </w:t>
      </w:r>
      <w:hyperlink r:id="rId13" w:history="1">
        <w:r w:rsidRPr="000C0CE0">
          <w:rPr>
            <w:rFonts w:ascii="Times New Roman" w:eastAsia="Calibri" w:hAnsi="Times New Roman" w:cs="Times New Roman"/>
            <w:color w:val="0000FF"/>
            <w:u w:val="single"/>
          </w:rPr>
          <w:t>Metadata</w:t>
        </w:r>
      </w:hyperlink>
      <w:r w:rsidRPr="000C0CE0">
        <w:rPr>
          <w:rFonts w:ascii="Times New Roman" w:eastAsia="Calibri" w:hAnsi="Times New Roman" w:cs="Times New Roman"/>
        </w:rPr>
        <w:t>.</w:t>
      </w:r>
    </w:p>
    <w:p w14:paraId="3CE15927" w14:textId="77777777" w:rsidR="000C0CE0" w:rsidRPr="000C0CE0" w:rsidRDefault="000C0CE0" w:rsidP="000C0CE0">
      <w:pPr>
        <w:spacing w:after="60" w:line="276" w:lineRule="auto"/>
        <w:jc w:val="both"/>
        <w:rPr>
          <w:rFonts w:ascii="Times New Roman" w:eastAsia="Calibri" w:hAnsi="Times New Roman" w:cs="Times New Roman"/>
        </w:rPr>
      </w:pPr>
      <w:r w:rsidRPr="000C0CE0">
        <w:rPr>
          <w:rFonts w:ascii="Times New Roman" w:eastAsia="Calibri" w:hAnsi="Times New Roman" w:cs="Times New Roman"/>
        </w:rPr>
        <w:t xml:space="preserve">Metadata on quarterly financial accounts of general government are available and published on the </w:t>
      </w:r>
      <w:r w:rsidRPr="000C0CE0">
        <w:rPr>
          <w:rFonts w:ascii="Times New Roman" w:eastAsia="Calibri" w:hAnsi="Times New Roman" w:cs="Times New Roman"/>
          <w:iCs/>
        </w:rPr>
        <w:t>Official Statistics Portal</w:t>
      </w:r>
      <w:r w:rsidRPr="000C0CE0">
        <w:rPr>
          <w:rFonts w:ascii="Times New Roman" w:eastAsia="Calibri" w:hAnsi="Times New Roman" w:cs="Times New Roman"/>
        </w:rPr>
        <w:t xml:space="preserve">: </w:t>
      </w:r>
      <w:hyperlink r:id="rId14" w:history="1">
        <w:r w:rsidRPr="000C0CE0">
          <w:rPr>
            <w:rFonts w:ascii="Times New Roman" w:eastAsia="Calibri" w:hAnsi="Times New Roman" w:cs="Times New Roman"/>
            <w:color w:val="0000FF"/>
            <w:u w:val="single"/>
          </w:rPr>
          <w:t>QFAGG</w:t>
        </w:r>
      </w:hyperlink>
      <w:r w:rsidRPr="000C0CE0">
        <w:rPr>
          <w:rFonts w:ascii="Times New Roman" w:eastAsia="Calibri" w:hAnsi="Times New Roman" w:cs="Times New Roman"/>
          <w:color w:val="0000FF"/>
          <w:u w:val="single"/>
        </w:rPr>
        <w:t>.</w:t>
      </w:r>
    </w:p>
    <w:p w14:paraId="6D5B3C44" w14:textId="261AD64A"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rPr>
        <w:t>B.1.2 Residency and territory</w:t>
      </w:r>
      <w:r w:rsidR="004F7EC7" w:rsidRPr="00675805">
        <w:rPr>
          <w:rFonts w:ascii="Calibri" w:hAnsi="Calibri" w:cs="Arial"/>
          <w:b/>
          <w:iCs/>
          <w:sz w:val="24"/>
          <w:szCs w:val="24"/>
        </w:rPr>
        <w:t xml:space="preserve"> </w:t>
      </w:r>
      <w:r w:rsidR="004F7EC7" w:rsidRPr="00675805">
        <w:rPr>
          <w:rFonts w:ascii="Calibri" w:hAnsi="Calibri" w:cs="Arial"/>
          <w:b/>
          <w:i/>
          <w:iCs/>
          <w:sz w:val="24"/>
          <w:szCs w:val="24"/>
        </w:rPr>
        <w:t>(SIMS 3.7)</w:t>
      </w:r>
    </w:p>
    <w:p w14:paraId="1A3016ED" w14:textId="77777777" w:rsidR="000C0CE0" w:rsidRDefault="000C0CE0" w:rsidP="00E700F4">
      <w:pPr>
        <w:spacing w:line="280" w:lineRule="exact"/>
        <w:jc w:val="both"/>
        <w:rPr>
          <w:rFonts w:ascii="Times New Roman" w:eastAsia="Calibri" w:hAnsi="Times New Roman" w:cs="Times New Roman"/>
          <w:szCs w:val="24"/>
        </w:rPr>
      </w:pPr>
      <w:r w:rsidRPr="000C0CE0">
        <w:rPr>
          <w:rFonts w:ascii="Times New Roman" w:eastAsia="Calibri" w:hAnsi="Times New Roman" w:cs="Times New Roman"/>
          <w:szCs w:val="24"/>
        </w:rPr>
        <w:t>There are no deviations from the ESA 2010 principles concerning residency and territory.</w:t>
      </w:r>
    </w:p>
    <w:p w14:paraId="0335C938" w14:textId="058D5630"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rPr>
        <w:t>B.1.3 Institutional unit definition</w:t>
      </w:r>
      <w:r w:rsidR="004F7EC7" w:rsidRPr="00675805">
        <w:rPr>
          <w:rFonts w:ascii="Calibri" w:hAnsi="Calibri" w:cs="Arial"/>
          <w:b/>
          <w:iCs/>
          <w:sz w:val="24"/>
          <w:szCs w:val="24"/>
        </w:rPr>
        <w:t xml:space="preserve"> </w:t>
      </w:r>
      <w:r w:rsidR="004F7EC7" w:rsidRPr="00675805">
        <w:rPr>
          <w:rFonts w:ascii="Calibri" w:hAnsi="Calibri" w:cs="Arial"/>
          <w:b/>
          <w:i/>
          <w:iCs/>
          <w:sz w:val="24"/>
          <w:szCs w:val="24"/>
        </w:rPr>
        <w:t>(SIMS 3.5)</w:t>
      </w:r>
    </w:p>
    <w:p w14:paraId="456F2F7F" w14:textId="599FC891" w:rsidR="00E700F4" w:rsidRPr="00675805" w:rsidRDefault="000C0CE0" w:rsidP="00E700F4">
      <w:pPr>
        <w:spacing w:line="280" w:lineRule="exact"/>
        <w:jc w:val="both"/>
        <w:rPr>
          <w:rFonts w:ascii="Calibri" w:hAnsi="Calibri" w:cs="Arial"/>
          <w:b/>
          <w:iCs/>
          <w:sz w:val="24"/>
          <w:szCs w:val="24"/>
        </w:rPr>
      </w:pPr>
      <w:r w:rsidRPr="000C0CE0">
        <w:rPr>
          <w:rFonts w:ascii="Times New Roman" w:eastAsia="Calibri" w:hAnsi="Times New Roman" w:cs="Times New Roman"/>
          <w:szCs w:val="24"/>
        </w:rPr>
        <w:t>There are no deviations from the ESA 2010 principles concerning the definition of an institutional unit.</w:t>
      </w:r>
    </w:p>
    <w:p w14:paraId="557DFD4B" w14:textId="1096CB8C" w:rsidR="00E700F4" w:rsidRPr="00675805" w:rsidRDefault="00E700F4" w:rsidP="00E700F4">
      <w:pPr>
        <w:spacing w:line="280" w:lineRule="exact"/>
        <w:jc w:val="both"/>
        <w:rPr>
          <w:rFonts w:ascii="Calibri" w:hAnsi="Calibri" w:cs="Arial"/>
          <w:b/>
          <w:iCs/>
          <w:sz w:val="24"/>
          <w:szCs w:val="24"/>
        </w:rPr>
      </w:pPr>
      <w:proofErr w:type="gramStart"/>
      <w:r w:rsidRPr="00675805">
        <w:rPr>
          <w:rFonts w:ascii="Calibri" w:hAnsi="Calibri" w:cs="Arial"/>
          <w:b/>
          <w:iCs/>
          <w:sz w:val="24"/>
          <w:szCs w:val="24"/>
        </w:rPr>
        <w:t>B.1.4  Sectorisation</w:t>
      </w:r>
      <w:proofErr w:type="gramEnd"/>
      <w:r w:rsidRPr="00675805">
        <w:rPr>
          <w:rFonts w:ascii="Calibri" w:hAnsi="Calibri" w:cs="Arial"/>
          <w:b/>
          <w:iCs/>
          <w:sz w:val="24"/>
          <w:szCs w:val="24"/>
        </w:rPr>
        <w:t xml:space="preserve"> and sector delimitation</w:t>
      </w:r>
      <w:r w:rsidR="00E61CDD" w:rsidRPr="00675805">
        <w:rPr>
          <w:rFonts w:ascii="Calibri" w:hAnsi="Calibri" w:cs="Arial"/>
          <w:b/>
          <w:iCs/>
          <w:sz w:val="24"/>
          <w:szCs w:val="24"/>
        </w:rPr>
        <w:t xml:space="preserve"> </w:t>
      </w:r>
      <w:r w:rsidR="00E61CDD" w:rsidRPr="00675805">
        <w:rPr>
          <w:rFonts w:ascii="Calibri" w:hAnsi="Calibri" w:cs="Arial"/>
          <w:b/>
          <w:i/>
          <w:iCs/>
          <w:sz w:val="24"/>
          <w:szCs w:val="24"/>
        </w:rPr>
        <w:t>(SIMS 3.5)</w:t>
      </w:r>
    </w:p>
    <w:p w14:paraId="5E3BC0AF" w14:textId="77777777" w:rsidR="000C0CE0" w:rsidRPr="000C0CE0" w:rsidRDefault="000C0CE0" w:rsidP="000C0CE0">
      <w:pPr>
        <w:spacing w:line="280" w:lineRule="exact"/>
        <w:jc w:val="both"/>
        <w:rPr>
          <w:rFonts w:ascii="Times New Roman" w:eastAsia="Calibri" w:hAnsi="Times New Roman" w:cs="Times New Roman"/>
          <w:szCs w:val="24"/>
        </w:rPr>
      </w:pPr>
      <w:r w:rsidRPr="000C0CE0">
        <w:rPr>
          <w:rFonts w:ascii="Times New Roman" w:eastAsia="Calibri" w:hAnsi="Times New Roman" w:cs="Times New Roman"/>
          <w:szCs w:val="24"/>
        </w:rPr>
        <w:t xml:space="preserve">There are no deviations from the ESA 2010 principles concerning sectorisation of institutional units. </w:t>
      </w:r>
    </w:p>
    <w:p w14:paraId="355BD0F1" w14:textId="0FAB3468" w:rsidR="000C0CE0" w:rsidRPr="000C0CE0" w:rsidRDefault="000C0CE0" w:rsidP="000C0CE0">
      <w:pPr>
        <w:spacing w:line="280" w:lineRule="exact"/>
        <w:jc w:val="both"/>
        <w:rPr>
          <w:rFonts w:ascii="Times New Roman" w:eastAsia="Calibri" w:hAnsi="Times New Roman" w:cs="Times New Roman"/>
          <w:szCs w:val="24"/>
        </w:rPr>
      </w:pPr>
      <w:r w:rsidRPr="000C0CE0">
        <w:rPr>
          <w:rFonts w:ascii="Times New Roman" w:eastAsia="Calibri" w:hAnsi="Times New Roman" w:cs="Times New Roman"/>
          <w:szCs w:val="24"/>
        </w:rPr>
        <w:t xml:space="preserve">Sectorisation of resident units is carried out by </w:t>
      </w:r>
      <w:r>
        <w:rPr>
          <w:rFonts w:ascii="Times New Roman" w:eastAsia="Calibri" w:hAnsi="Times New Roman" w:cs="Times New Roman"/>
          <w:szCs w:val="24"/>
        </w:rPr>
        <w:t>SDA</w:t>
      </w:r>
      <w:r w:rsidRPr="000C0CE0">
        <w:rPr>
          <w:rFonts w:ascii="Times New Roman" w:eastAsia="Calibri" w:hAnsi="Times New Roman" w:cs="Times New Roman"/>
          <w:szCs w:val="24"/>
        </w:rPr>
        <w:t xml:space="preserve"> in cooperation with LB and other institutions. There are regular meetings of the Inter-institutional Working Group on Sectorisation (WGS) where experts from LB, </w:t>
      </w:r>
      <w:r>
        <w:rPr>
          <w:rFonts w:ascii="Times New Roman" w:eastAsia="Calibri" w:hAnsi="Times New Roman" w:cs="Times New Roman"/>
          <w:szCs w:val="24"/>
        </w:rPr>
        <w:t>SDA</w:t>
      </w:r>
      <w:r w:rsidRPr="000C0CE0">
        <w:rPr>
          <w:rFonts w:ascii="Times New Roman" w:eastAsia="Calibri" w:hAnsi="Times New Roman" w:cs="Times New Roman"/>
          <w:szCs w:val="24"/>
        </w:rPr>
        <w:t xml:space="preserve"> and other institutions discuss sectorisation issues. Sectorisation of holding companies and head offices is performed by WGS according to the recommendation of Task Force on Head Offices, Holding Companies and Special Purpose Entities (SPEs).</w:t>
      </w:r>
    </w:p>
    <w:p w14:paraId="6CA46106" w14:textId="33ECCDE0" w:rsidR="00E700F4" w:rsidRPr="00675805" w:rsidRDefault="000C0CE0" w:rsidP="000C0CE0">
      <w:pPr>
        <w:spacing w:line="280" w:lineRule="exact"/>
        <w:jc w:val="both"/>
        <w:rPr>
          <w:rFonts w:ascii="Calibri" w:hAnsi="Calibri" w:cs="Arial"/>
          <w:b/>
          <w:iCs/>
          <w:sz w:val="24"/>
          <w:szCs w:val="24"/>
        </w:rPr>
      </w:pPr>
      <w:r w:rsidRPr="000C0CE0">
        <w:rPr>
          <w:rFonts w:ascii="Times New Roman" w:eastAsia="Calibri" w:hAnsi="Times New Roman" w:cs="Times New Roman"/>
          <w:szCs w:val="24"/>
        </w:rPr>
        <w:t xml:space="preserve">Register of statistical units is maintained by </w:t>
      </w:r>
      <w:r>
        <w:rPr>
          <w:rFonts w:ascii="Times New Roman" w:eastAsia="Calibri" w:hAnsi="Times New Roman" w:cs="Times New Roman"/>
          <w:szCs w:val="24"/>
        </w:rPr>
        <w:t>SDA</w:t>
      </w:r>
      <w:r w:rsidRPr="000C0CE0">
        <w:rPr>
          <w:rFonts w:ascii="Times New Roman" w:eastAsia="Calibri" w:hAnsi="Times New Roman" w:cs="Times New Roman"/>
          <w:szCs w:val="24"/>
        </w:rPr>
        <w:t xml:space="preserve"> and used by LB and S</w:t>
      </w:r>
      <w:r>
        <w:rPr>
          <w:rFonts w:ascii="Times New Roman" w:eastAsia="Calibri" w:hAnsi="Times New Roman" w:cs="Times New Roman"/>
          <w:szCs w:val="24"/>
        </w:rPr>
        <w:t>DA</w:t>
      </w:r>
      <w:r w:rsidRPr="000C0CE0">
        <w:rPr>
          <w:rFonts w:ascii="Times New Roman" w:eastAsia="Calibri" w:hAnsi="Times New Roman" w:cs="Times New Roman"/>
          <w:szCs w:val="24"/>
        </w:rPr>
        <w:t xml:space="preserve"> for compilation of different statistics. Information from the register is shared with data suppliers </w:t>
      </w:r>
      <w:proofErr w:type="gramStart"/>
      <w:r w:rsidRPr="000C0CE0">
        <w:rPr>
          <w:rFonts w:ascii="Times New Roman" w:eastAsia="Calibri" w:hAnsi="Times New Roman" w:cs="Times New Roman"/>
          <w:szCs w:val="24"/>
        </w:rPr>
        <w:t>in order to</w:t>
      </w:r>
      <w:proofErr w:type="gramEnd"/>
      <w:r w:rsidRPr="000C0CE0">
        <w:rPr>
          <w:rFonts w:ascii="Times New Roman" w:eastAsia="Calibri" w:hAnsi="Times New Roman" w:cs="Times New Roman"/>
          <w:szCs w:val="24"/>
        </w:rPr>
        <w:t xml:space="preserve"> ensure the consistency of unit classification.</w:t>
      </w:r>
    </w:p>
    <w:p w14:paraId="792B1AFD" w14:textId="6B55558A"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rPr>
        <w:t>B.1.5 Instrument identification</w:t>
      </w:r>
      <w:r w:rsidR="00E61CDD" w:rsidRPr="00675805">
        <w:rPr>
          <w:rFonts w:ascii="Calibri" w:hAnsi="Calibri" w:cs="Arial"/>
          <w:b/>
          <w:iCs/>
          <w:sz w:val="24"/>
          <w:szCs w:val="24"/>
        </w:rPr>
        <w:t xml:space="preserve"> </w:t>
      </w:r>
      <w:r w:rsidR="00E61CDD" w:rsidRPr="00675805">
        <w:rPr>
          <w:rFonts w:ascii="Calibri" w:hAnsi="Calibri" w:cs="Arial"/>
          <w:b/>
          <w:i/>
          <w:iCs/>
          <w:sz w:val="24"/>
          <w:szCs w:val="24"/>
        </w:rPr>
        <w:t>(SIMS 3.6)</w:t>
      </w:r>
    </w:p>
    <w:p w14:paraId="63253B02" w14:textId="20719A0D" w:rsidR="00E700F4" w:rsidRPr="00675805" w:rsidRDefault="00AB3F7E" w:rsidP="00E700F4">
      <w:pPr>
        <w:spacing w:line="280" w:lineRule="exact"/>
        <w:jc w:val="both"/>
        <w:rPr>
          <w:rFonts w:ascii="Calibri" w:hAnsi="Calibri" w:cs="Arial"/>
          <w:b/>
          <w:iCs/>
          <w:sz w:val="24"/>
          <w:szCs w:val="24"/>
        </w:rPr>
      </w:pPr>
      <w:r w:rsidRPr="00AB3F7E">
        <w:rPr>
          <w:rFonts w:ascii="Times New Roman" w:eastAsia="Calibri" w:hAnsi="Times New Roman" w:cs="Times New Roman"/>
          <w:szCs w:val="24"/>
        </w:rPr>
        <w:t>There are no deviations from the ESA 2010 principles concerning classification of financial instruments.</w:t>
      </w:r>
    </w:p>
    <w:p w14:paraId="5C607143" w14:textId="77777777" w:rsidR="00AB3F7E" w:rsidRDefault="00AB3F7E" w:rsidP="00E700F4">
      <w:pPr>
        <w:spacing w:line="280" w:lineRule="exact"/>
        <w:jc w:val="both"/>
        <w:rPr>
          <w:rFonts w:ascii="Calibri" w:hAnsi="Calibri" w:cs="Arial"/>
          <w:b/>
          <w:iCs/>
          <w:sz w:val="24"/>
          <w:szCs w:val="24"/>
        </w:rPr>
      </w:pPr>
    </w:p>
    <w:p w14:paraId="651FA3D3" w14:textId="77777777" w:rsidR="00AB3F7E" w:rsidRDefault="00AB3F7E" w:rsidP="00E700F4">
      <w:pPr>
        <w:spacing w:line="280" w:lineRule="exact"/>
        <w:jc w:val="both"/>
        <w:rPr>
          <w:rFonts w:ascii="Calibri" w:hAnsi="Calibri" w:cs="Arial"/>
          <w:b/>
          <w:iCs/>
          <w:sz w:val="24"/>
          <w:szCs w:val="24"/>
        </w:rPr>
      </w:pPr>
    </w:p>
    <w:p w14:paraId="2655AF91" w14:textId="7AE60375"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rPr>
        <w:t>B.1.6 Valuation, including derivation of transactions and other flows</w:t>
      </w:r>
      <w:r w:rsidR="00E61CDD" w:rsidRPr="00675805">
        <w:rPr>
          <w:rFonts w:ascii="Calibri" w:hAnsi="Calibri" w:cs="Arial"/>
          <w:b/>
          <w:iCs/>
          <w:sz w:val="24"/>
          <w:szCs w:val="24"/>
        </w:rPr>
        <w:t xml:space="preserve"> </w:t>
      </w:r>
    </w:p>
    <w:p w14:paraId="09D7DA63" w14:textId="77777777" w:rsidR="00AB3F7E" w:rsidRPr="00AB3F7E" w:rsidRDefault="00AB3F7E" w:rsidP="00AB3F7E">
      <w:pPr>
        <w:spacing w:line="280" w:lineRule="exact"/>
        <w:jc w:val="both"/>
        <w:rPr>
          <w:rFonts w:ascii="Times New Roman" w:eastAsia="Calibri" w:hAnsi="Times New Roman" w:cs="Times New Roman"/>
          <w:szCs w:val="24"/>
        </w:rPr>
      </w:pPr>
      <w:r w:rsidRPr="00AB3F7E">
        <w:rPr>
          <w:rFonts w:ascii="Times New Roman" w:eastAsia="Calibri" w:hAnsi="Times New Roman" w:cs="Times New Roman"/>
          <w:szCs w:val="24"/>
        </w:rPr>
        <w:t xml:space="preserve">There are no deviations from the ESA 2010 principles concerning valuation of financial instruments. Financial assets and liabilities are evaluated using the ESA 2010 valuation methods. Negotiable financial instruments, such as debt securities, listed shares, investment fund shares or units and financial derivatives, are valued at market prices. Non-negotiable financial instruments, such as loans and deposits, are valued at nominal value. For valuation of unquoted equity, such as unlisted shares and other equity, the own funds at book value method are used. </w:t>
      </w:r>
    </w:p>
    <w:p w14:paraId="7DA625CA" w14:textId="38E1B213" w:rsidR="00E700F4" w:rsidRPr="00675805" w:rsidRDefault="00AB3F7E" w:rsidP="00AB3F7E">
      <w:pPr>
        <w:spacing w:line="280" w:lineRule="exact"/>
        <w:jc w:val="both"/>
        <w:rPr>
          <w:rFonts w:ascii="Calibri" w:hAnsi="Calibri" w:cs="Arial"/>
          <w:iCs/>
          <w:sz w:val="24"/>
          <w:szCs w:val="24"/>
        </w:rPr>
      </w:pPr>
      <w:r w:rsidRPr="00AB3F7E">
        <w:rPr>
          <w:rFonts w:ascii="Times New Roman" w:eastAsia="Calibri" w:hAnsi="Times New Roman" w:cs="Times New Roman"/>
          <w:szCs w:val="24"/>
        </w:rPr>
        <w:t>Financial transactions are available in BSI, BOP/IIP, IC, SHS, IF, PF and QFAGG data. For the rest of the sectors, transactions are calculated as the difference between the outstanding amounts at the beginning of the quarter and the end of the quarter minus revaluations and other volume changes.</w:t>
      </w:r>
    </w:p>
    <w:p w14:paraId="6A04AE1E" w14:textId="5D199D57"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rPr>
        <w:t>B.1.7 Time of recording (accrual accounting)</w:t>
      </w:r>
      <w:r w:rsidR="00E61CDD" w:rsidRPr="00675805">
        <w:rPr>
          <w:rFonts w:ascii="Calibri" w:hAnsi="Calibri" w:cs="Arial"/>
          <w:b/>
          <w:iCs/>
          <w:sz w:val="24"/>
          <w:szCs w:val="24"/>
        </w:rPr>
        <w:t xml:space="preserve"> </w:t>
      </w:r>
      <w:r w:rsidR="00E61CDD" w:rsidRPr="00675805">
        <w:rPr>
          <w:rFonts w:ascii="Calibri" w:hAnsi="Calibri" w:cs="Arial"/>
          <w:b/>
          <w:i/>
          <w:iCs/>
          <w:sz w:val="24"/>
          <w:szCs w:val="24"/>
        </w:rPr>
        <w:t>(SIMS 5)</w:t>
      </w:r>
    </w:p>
    <w:p w14:paraId="092FA8BF" w14:textId="44A7FD07" w:rsidR="00E700F4" w:rsidRPr="00675805" w:rsidRDefault="00AB3F7E" w:rsidP="00E700F4">
      <w:pPr>
        <w:spacing w:line="280" w:lineRule="exact"/>
        <w:jc w:val="both"/>
        <w:rPr>
          <w:rFonts w:ascii="Calibri" w:hAnsi="Calibri" w:cs="Arial"/>
          <w:b/>
          <w:iCs/>
          <w:sz w:val="24"/>
          <w:szCs w:val="24"/>
        </w:rPr>
      </w:pPr>
      <w:r w:rsidRPr="00AB3F7E">
        <w:rPr>
          <w:rFonts w:ascii="Times New Roman" w:eastAsia="Calibri" w:hAnsi="Times New Roman" w:cs="Times New Roman"/>
          <w:szCs w:val="24"/>
        </w:rPr>
        <w:t>Transactions are recorded on an accrual basis, i.e., when economic value is created, transformed, or extinguished, or when claims and obligations arise, not when the corresponding payment is made. Interest accrued is recorded with the financial asset or liability on which it accrues at each individual instrument.</w:t>
      </w:r>
    </w:p>
    <w:p w14:paraId="04696967" w14:textId="0F907494"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rPr>
        <w:t>B.1.8 Coverage gaps</w:t>
      </w:r>
      <w:r w:rsidR="00E61CDD" w:rsidRPr="00675805">
        <w:rPr>
          <w:rFonts w:ascii="Calibri" w:hAnsi="Calibri" w:cs="Arial"/>
          <w:b/>
          <w:iCs/>
          <w:sz w:val="24"/>
          <w:szCs w:val="24"/>
        </w:rPr>
        <w:t xml:space="preserve"> </w:t>
      </w:r>
      <w:r w:rsidR="00E61CDD" w:rsidRPr="00675805">
        <w:rPr>
          <w:rFonts w:ascii="Calibri" w:hAnsi="Calibri" w:cs="Arial"/>
          <w:b/>
          <w:i/>
          <w:iCs/>
          <w:sz w:val="24"/>
          <w:szCs w:val="24"/>
        </w:rPr>
        <w:t>(SIMS 3.3)</w:t>
      </w:r>
    </w:p>
    <w:p w14:paraId="47D4F6A8" w14:textId="77777777" w:rsidR="00AB3F7E" w:rsidRPr="00AB3F7E" w:rsidRDefault="00AB3F7E" w:rsidP="00AB3F7E">
      <w:pPr>
        <w:spacing w:line="280" w:lineRule="exact"/>
        <w:jc w:val="both"/>
        <w:rPr>
          <w:rFonts w:ascii="Times New Roman" w:eastAsia="Calibri" w:hAnsi="Times New Roman" w:cs="Times New Roman"/>
          <w:szCs w:val="24"/>
        </w:rPr>
      </w:pPr>
      <w:r w:rsidRPr="00AB3F7E">
        <w:rPr>
          <w:rFonts w:ascii="Times New Roman" w:eastAsia="Calibri" w:hAnsi="Times New Roman" w:cs="Times New Roman"/>
          <w:szCs w:val="24"/>
        </w:rPr>
        <w:t xml:space="preserve">Identification of sectors S.125, S.126 and S.127 is based on the data from Register of Legal Entities on main activity, capital, assets, and number of employees. </w:t>
      </w:r>
    </w:p>
    <w:p w14:paraId="50077667" w14:textId="77777777" w:rsidR="00AB3F7E" w:rsidRPr="00AB3F7E" w:rsidRDefault="00AB3F7E" w:rsidP="00AB3F7E">
      <w:pPr>
        <w:spacing w:line="280" w:lineRule="exact"/>
        <w:jc w:val="both"/>
        <w:rPr>
          <w:rFonts w:ascii="Times New Roman" w:eastAsia="Calibri" w:hAnsi="Times New Roman" w:cs="Times New Roman"/>
          <w:szCs w:val="24"/>
        </w:rPr>
      </w:pPr>
      <w:r w:rsidRPr="00AB3F7E">
        <w:rPr>
          <w:rFonts w:ascii="Times New Roman" w:eastAsia="Calibri" w:hAnsi="Times New Roman" w:cs="Times New Roman"/>
          <w:szCs w:val="24"/>
        </w:rPr>
        <w:t xml:space="preserve">In quarterly financial accounts, sectors S.125, S.126 and S.127 are covered by samples (covering about 80% of total population and grossed up to benchmark from annual balance sheets (finalised at Q4+6 months). Quarterly survey is based on balance sheets, and timeliness of this data source is t+70. </w:t>
      </w:r>
    </w:p>
    <w:p w14:paraId="5D464982" w14:textId="4956326C" w:rsidR="00E700F4" w:rsidRPr="00675805" w:rsidRDefault="00AB3F7E" w:rsidP="00AB3F7E">
      <w:pPr>
        <w:spacing w:line="280" w:lineRule="exact"/>
        <w:jc w:val="both"/>
        <w:rPr>
          <w:rFonts w:ascii="Calibri" w:hAnsi="Calibri" w:cs="Arial"/>
          <w:iCs/>
          <w:sz w:val="24"/>
          <w:szCs w:val="24"/>
        </w:rPr>
      </w:pPr>
      <w:r w:rsidRPr="00AB3F7E">
        <w:rPr>
          <w:rFonts w:ascii="Times New Roman" w:eastAsia="Calibri" w:hAnsi="Times New Roman" w:cs="Times New Roman"/>
          <w:szCs w:val="24"/>
        </w:rPr>
        <w:t xml:space="preserve">Information about new entities and exit of units from OFI subsectors is obtained from the Register of Legal Entities. New entities are included into samples after 12 months at most. Exit of units is </w:t>
      </w:r>
      <w:proofErr w:type="gramStart"/>
      <w:r w:rsidRPr="00AB3F7E">
        <w:rPr>
          <w:rFonts w:ascii="Times New Roman" w:eastAsia="Calibri" w:hAnsi="Times New Roman" w:cs="Times New Roman"/>
          <w:szCs w:val="24"/>
        </w:rPr>
        <w:t>taken into account</w:t>
      </w:r>
      <w:proofErr w:type="gramEnd"/>
      <w:r w:rsidRPr="00AB3F7E">
        <w:rPr>
          <w:rFonts w:ascii="Times New Roman" w:eastAsia="Calibri" w:hAnsi="Times New Roman" w:cs="Times New Roman"/>
          <w:szCs w:val="24"/>
        </w:rPr>
        <w:t xml:space="preserve"> in the compilation of data for the current quarter.</w:t>
      </w:r>
    </w:p>
    <w:p w14:paraId="6C7ED664" w14:textId="77777777"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lang w:val="en-US"/>
        </w:rPr>
        <w:t>B.1.9 Non-consolidation/Consolidation at sectoral level</w:t>
      </w:r>
      <w:r w:rsidRPr="00675805">
        <w:rPr>
          <w:rFonts w:ascii="Calibri" w:hAnsi="Calibri" w:cs="Arial"/>
          <w:b/>
          <w:iCs/>
          <w:sz w:val="24"/>
          <w:szCs w:val="24"/>
        </w:rPr>
        <w:t>– As required under the ESA 2010 Transmission programme (Tables 6 and 7)</w:t>
      </w:r>
    </w:p>
    <w:p w14:paraId="1BEB9593" w14:textId="77777777" w:rsidR="00AB3F7E" w:rsidRPr="00AB3F7E" w:rsidRDefault="00AB3F7E" w:rsidP="00AB3F7E">
      <w:pPr>
        <w:spacing w:line="280" w:lineRule="exact"/>
        <w:jc w:val="both"/>
        <w:rPr>
          <w:rFonts w:ascii="Times New Roman" w:eastAsia="Calibri" w:hAnsi="Times New Roman" w:cs="Times New Roman"/>
          <w:szCs w:val="24"/>
        </w:rPr>
      </w:pPr>
      <w:r w:rsidRPr="00AB3F7E">
        <w:rPr>
          <w:rFonts w:ascii="Times New Roman" w:eastAsia="Calibri" w:hAnsi="Times New Roman" w:cs="Times New Roman"/>
          <w:szCs w:val="24"/>
        </w:rPr>
        <w:t>Tables 6 and 7 are fully compliant with the ESA 2010 Transmission programme. Non-consolidated and consolidated annual financial accounts data, starting from 1995, are transmitted to Eurostat. Most of the voluntary data, such as counterpart data, revaluation, and other changes in volume, are transmitted too.</w:t>
      </w:r>
    </w:p>
    <w:p w14:paraId="756F4BDD" w14:textId="37D5F0EF" w:rsidR="00E700F4" w:rsidRPr="00675805" w:rsidRDefault="00AB3F7E" w:rsidP="00AB3F7E">
      <w:pPr>
        <w:spacing w:line="280" w:lineRule="exact"/>
        <w:jc w:val="both"/>
        <w:rPr>
          <w:rFonts w:ascii="Calibri" w:hAnsi="Calibri" w:cs="Arial"/>
          <w:iCs/>
          <w:sz w:val="24"/>
          <w:szCs w:val="24"/>
        </w:rPr>
      </w:pPr>
      <w:r w:rsidRPr="00AB3F7E">
        <w:rPr>
          <w:rFonts w:ascii="Times New Roman" w:eastAsia="Calibri" w:hAnsi="Times New Roman" w:cs="Times New Roman"/>
          <w:szCs w:val="24"/>
        </w:rPr>
        <w:t>The QFA are compiled and disseminated on who-to-whom basis. It allows calculating consolidated data for each financial instrument and institutional sector.</w:t>
      </w:r>
    </w:p>
    <w:p w14:paraId="49BE5E63" w14:textId="77777777" w:rsidR="00E700F4" w:rsidRPr="00675805" w:rsidRDefault="00E700F4" w:rsidP="00E700F4">
      <w:pPr>
        <w:spacing w:line="280" w:lineRule="exact"/>
        <w:jc w:val="both"/>
        <w:rPr>
          <w:rFonts w:ascii="Calibri" w:hAnsi="Calibri" w:cs="Arial"/>
          <w:b/>
          <w:iCs/>
          <w:sz w:val="24"/>
          <w:szCs w:val="24"/>
        </w:rPr>
      </w:pPr>
      <w:r w:rsidRPr="00675805">
        <w:rPr>
          <w:rFonts w:ascii="Calibri" w:hAnsi="Calibri" w:cs="Arial"/>
          <w:b/>
          <w:iCs/>
          <w:sz w:val="24"/>
          <w:szCs w:val="24"/>
        </w:rPr>
        <w:t xml:space="preserve">B.1.10 – Specific issues for instruments covered by MIP indicators </w:t>
      </w:r>
    </w:p>
    <w:p w14:paraId="758102F5" w14:textId="77777777" w:rsidR="00AB3F7E" w:rsidRPr="00AB3F7E" w:rsidRDefault="00AB3F7E" w:rsidP="00AB3F7E">
      <w:pPr>
        <w:spacing w:line="280" w:lineRule="exact"/>
        <w:jc w:val="both"/>
        <w:rPr>
          <w:rFonts w:ascii="Times New Roman" w:eastAsia="Calibri" w:hAnsi="Times New Roman" w:cs="Times New Roman"/>
          <w:szCs w:val="24"/>
        </w:rPr>
      </w:pPr>
      <w:r w:rsidRPr="00AB3F7E">
        <w:rPr>
          <w:rFonts w:ascii="Times New Roman" w:eastAsia="Calibri" w:hAnsi="Times New Roman" w:cs="Times New Roman"/>
          <w:szCs w:val="24"/>
        </w:rPr>
        <w:t>There are no specific issues concerning financial instruments covered by the private sector debt. Data on inter-company loans are identified from the annual survey, based on the balance sheets of non-financial corporations. Inter-company loan transactions are derived as changes in positions.</w:t>
      </w:r>
    </w:p>
    <w:p w14:paraId="49A92AF1" w14:textId="47914B8F" w:rsidR="00AB3F7E" w:rsidRDefault="00AB3F7E" w:rsidP="00E700F4">
      <w:pPr>
        <w:spacing w:line="280" w:lineRule="exact"/>
        <w:jc w:val="both"/>
        <w:rPr>
          <w:rFonts w:ascii="Calibri" w:hAnsi="Calibri" w:cs="Arial"/>
          <w:b/>
          <w:iCs/>
          <w:sz w:val="24"/>
          <w:szCs w:val="24"/>
        </w:rPr>
      </w:pPr>
      <w:r w:rsidRPr="00AB3F7E">
        <w:rPr>
          <w:rFonts w:ascii="Times New Roman" w:eastAsia="Calibri" w:hAnsi="Times New Roman" w:cs="Times New Roman"/>
          <w:szCs w:val="24"/>
        </w:rPr>
        <w:t>There are no specific issues concerning financial sector liabilities.</w:t>
      </w:r>
    </w:p>
    <w:p w14:paraId="5D1D5F66" w14:textId="77777777" w:rsidR="00AB3F7E" w:rsidRDefault="00E700F4" w:rsidP="00AB3F7E">
      <w:pPr>
        <w:spacing w:line="280" w:lineRule="exact"/>
        <w:jc w:val="both"/>
        <w:rPr>
          <w:rFonts w:ascii="Calibri" w:hAnsi="Calibri" w:cs="Arial"/>
          <w:b/>
          <w:iCs/>
          <w:sz w:val="24"/>
          <w:szCs w:val="24"/>
        </w:rPr>
      </w:pPr>
      <w:r w:rsidRPr="00675805">
        <w:rPr>
          <w:rFonts w:ascii="Calibri" w:hAnsi="Calibri" w:cs="Arial"/>
          <w:b/>
          <w:iCs/>
          <w:sz w:val="24"/>
          <w:szCs w:val="24"/>
        </w:rPr>
        <w:t>B.1.11 Other major deviations not listed above</w:t>
      </w:r>
    </w:p>
    <w:p w14:paraId="4317582B" w14:textId="77D26298" w:rsidR="00AB3F7E" w:rsidRDefault="00AB3F7E" w:rsidP="00AB3F7E">
      <w:pPr>
        <w:spacing w:line="280" w:lineRule="exact"/>
        <w:jc w:val="both"/>
        <w:rPr>
          <w:rFonts w:eastAsia="Calibri"/>
          <w:bCs/>
          <w:i/>
        </w:rPr>
      </w:pPr>
      <w:r w:rsidRPr="00AB3F7E">
        <w:rPr>
          <w:rFonts w:eastAsia="Calibri"/>
        </w:rPr>
        <w:t xml:space="preserve">There are no other major deviations not listed above. </w:t>
      </w:r>
    </w:p>
    <w:p w14:paraId="00847A8A" w14:textId="44065C7F" w:rsidR="00E700F4" w:rsidRPr="00675805" w:rsidRDefault="00E700F4" w:rsidP="00E700F4">
      <w:pPr>
        <w:pStyle w:val="Heading3"/>
        <w:numPr>
          <w:ilvl w:val="0"/>
          <w:numId w:val="0"/>
        </w:numPr>
        <w:spacing w:line="280" w:lineRule="exact"/>
        <w:rPr>
          <w:rFonts w:ascii="Calibri" w:hAnsi="Calibri" w:cs="Arial"/>
          <w:b/>
          <w:i w:val="0"/>
          <w:lang w:val="it-IT"/>
        </w:rPr>
      </w:pPr>
      <w:r w:rsidRPr="00675805">
        <w:rPr>
          <w:rFonts w:ascii="Calibri" w:eastAsiaTheme="minorHAnsi" w:hAnsi="Calibri" w:cs="Arial"/>
          <w:b/>
          <w:bCs w:val="0"/>
          <w:i w:val="0"/>
          <w:lang w:val="it-IT"/>
        </w:rPr>
        <w:lastRenderedPageBreak/>
        <w:t>B.2 CoP8 Appropriate Statistical procedures/ PC8 Appropriate Statistical</w:t>
      </w:r>
      <w:r w:rsidRPr="00675805">
        <w:rPr>
          <w:rFonts w:ascii="Calibri" w:hAnsi="Calibri" w:cs="Arial"/>
          <w:b/>
          <w:i w:val="0"/>
          <w:lang w:val="it-IT"/>
        </w:rPr>
        <w:t xml:space="preserve"> procedures</w:t>
      </w:r>
      <w:r w:rsidR="00E61CDD" w:rsidRPr="00675805">
        <w:rPr>
          <w:rFonts w:ascii="Calibri" w:hAnsi="Calibri" w:cs="Arial"/>
          <w:b/>
          <w:i w:val="0"/>
          <w:lang w:val="it-IT"/>
        </w:rPr>
        <w:t xml:space="preserve"> </w:t>
      </w:r>
      <w:r w:rsidR="00E61CDD" w:rsidRPr="00675805">
        <w:rPr>
          <w:rFonts w:ascii="Calibri" w:hAnsi="Calibri" w:cs="Arial"/>
          <w:b/>
          <w:i w:val="0"/>
          <w:iCs/>
        </w:rPr>
        <w:t>(SIMS 10.6</w:t>
      </w:r>
      <w:r w:rsidR="009E6B4D" w:rsidRPr="00675805">
        <w:rPr>
          <w:rFonts w:ascii="Calibri" w:hAnsi="Calibri" w:cs="Arial"/>
          <w:b/>
          <w:i w:val="0"/>
          <w:iCs/>
        </w:rPr>
        <w:t xml:space="preserve"> and 18.5</w:t>
      </w:r>
      <w:r w:rsidR="00E61CDD" w:rsidRPr="00675805">
        <w:rPr>
          <w:rFonts w:ascii="Calibri" w:hAnsi="Calibri" w:cs="Arial"/>
          <w:b/>
          <w:i w:val="0"/>
          <w:iCs/>
        </w:rPr>
        <w:t>)</w:t>
      </w:r>
    </w:p>
    <w:p w14:paraId="755DAE36" w14:textId="39590027" w:rsidR="00E700F4" w:rsidRPr="00675805" w:rsidRDefault="00E700F4" w:rsidP="00E700F4">
      <w:pPr>
        <w:pStyle w:val="Heading3"/>
        <w:numPr>
          <w:ilvl w:val="0"/>
          <w:numId w:val="0"/>
        </w:numPr>
        <w:spacing w:line="280" w:lineRule="exact"/>
        <w:rPr>
          <w:rFonts w:ascii="Calibri" w:eastAsiaTheme="minorHAnsi" w:hAnsi="Calibri" w:cs="Arial"/>
          <w:b/>
          <w:bCs w:val="0"/>
          <w:i w:val="0"/>
        </w:rPr>
      </w:pPr>
      <w:r w:rsidRPr="00675805">
        <w:rPr>
          <w:rFonts w:ascii="Calibri" w:eastAsiaTheme="minorHAnsi" w:hAnsi="Calibri" w:cs="Arial"/>
          <w:b/>
          <w:bCs w:val="0"/>
          <w:i w:val="0"/>
        </w:rPr>
        <w:t>B.2.1 Data source map</w:t>
      </w:r>
      <w:r w:rsidR="00E61CDD" w:rsidRPr="00675805">
        <w:rPr>
          <w:rFonts w:ascii="Calibri" w:eastAsiaTheme="minorHAnsi" w:hAnsi="Calibri" w:cs="Arial"/>
          <w:b/>
          <w:bCs w:val="0"/>
          <w:i w:val="0"/>
        </w:rPr>
        <w:t xml:space="preserve"> </w:t>
      </w:r>
      <w:r w:rsidR="00E61CDD" w:rsidRPr="00675805">
        <w:rPr>
          <w:rFonts w:ascii="Calibri" w:hAnsi="Calibri" w:cs="Arial"/>
          <w:b/>
          <w:i w:val="0"/>
          <w:iCs/>
        </w:rPr>
        <w:t>(SIMS 18.1)</w:t>
      </w:r>
    </w:p>
    <w:p w14:paraId="2B1F4526" w14:textId="050DAFDE" w:rsidR="009D3402" w:rsidRPr="00675805" w:rsidRDefault="00AB3F7E" w:rsidP="009D3402">
      <w:pPr>
        <w:pStyle w:val="CMFBText"/>
        <w:rPr>
          <w:highlight w:val="yellow"/>
        </w:rPr>
      </w:pPr>
      <w:r w:rsidRPr="00AB3F7E">
        <w:t xml:space="preserve">The table </w:t>
      </w:r>
      <w:r w:rsidR="00BF0F85">
        <w:t xml:space="preserve">in Annex </w:t>
      </w:r>
      <w:r w:rsidRPr="00AB3F7E">
        <w:t>below describes the main data sources used in compilation of financial accounts.</w:t>
      </w:r>
    </w:p>
    <w:p w14:paraId="339701C5" w14:textId="6005ACC8" w:rsidR="00E700F4" w:rsidRPr="00675805" w:rsidRDefault="00E700F4" w:rsidP="00E700F4">
      <w:pPr>
        <w:pStyle w:val="Heading3"/>
        <w:numPr>
          <w:ilvl w:val="0"/>
          <w:numId w:val="0"/>
        </w:numPr>
        <w:spacing w:line="280" w:lineRule="exact"/>
        <w:rPr>
          <w:rFonts w:ascii="Calibri" w:hAnsi="Calibri" w:cs="Arial"/>
          <w:b/>
        </w:rPr>
      </w:pPr>
      <w:r w:rsidRPr="00675805">
        <w:rPr>
          <w:rFonts w:ascii="Calibri" w:eastAsiaTheme="minorHAnsi" w:hAnsi="Calibri" w:cs="Arial"/>
          <w:b/>
          <w:bCs w:val="0"/>
          <w:i w:val="0"/>
        </w:rPr>
        <w:t xml:space="preserve">B.2.2 Description of procedures and methods </w:t>
      </w:r>
      <w:r w:rsidR="00E61CDD" w:rsidRPr="00675805">
        <w:rPr>
          <w:rFonts w:ascii="Calibri" w:hAnsi="Calibri" w:cs="Arial"/>
          <w:b/>
          <w:i w:val="0"/>
          <w:iCs/>
        </w:rPr>
        <w:t>(SIMS 18.3)</w:t>
      </w:r>
    </w:p>
    <w:p w14:paraId="4DEC3D23" w14:textId="77777777" w:rsidR="00A00F7C" w:rsidRDefault="00A00F7C" w:rsidP="00A00F7C">
      <w:pPr>
        <w:pStyle w:val="CMFBText"/>
      </w:pPr>
      <w:r>
        <w:t>Annual financial accounts are compiled from quarterly financial accounts as the sum of four quarters. Financial accounts are compiled on who-to-whom basis, using various data sources: administrative data sources, financial statements of enterprises, statistical surveys. Financial accounts are compiled using an efficient IT system. The system ensures complete internal consistency of financial accounts data.</w:t>
      </w:r>
    </w:p>
    <w:p w14:paraId="7AF25029" w14:textId="77777777" w:rsidR="00A00F7C" w:rsidRDefault="00A00F7C" w:rsidP="00A00F7C">
      <w:pPr>
        <w:pStyle w:val="CMFBText"/>
      </w:pPr>
      <w:r>
        <w:t xml:space="preserve">Financial transactions are calculated as: </w:t>
      </w:r>
    </w:p>
    <w:p w14:paraId="3CFA3D0A" w14:textId="77777777" w:rsidR="00A00F7C" w:rsidRDefault="00A00F7C" w:rsidP="00A00F7C">
      <w:pPr>
        <w:pStyle w:val="CMFBText"/>
      </w:pPr>
      <w:r>
        <w:t xml:space="preserve">Closing stocks – Opening stocks – Revaluation – Other changes in volume </w:t>
      </w:r>
    </w:p>
    <w:p w14:paraId="6704841E" w14:textId="77777777" w:rsidR="00A00F7C" w:rsidRDefault="00A00F7C" w:rsidP="00A00F7C">
      <w:pPr>
        <w:pStyle w:val="CMFBText"/>
      </w:pPr>
      <w:r>
        <w:t xml:space="preserve">Each transaction is reflected twice by each of the institutional units involved – once on the asset side and once on the liability side for the same amount. The double entry system ensures consistency of the financial accounts data: </w:t>
      </w:r>
    </w:p>
    <w:p w14:paraId="334D6AC9" w14:textId="77777777" w:rsidR="00A00F7C" w:rsidRDefault="00A00F7C" w:rsidP="00A00F7C">
      <w:pPr>
        <w:pStyle w:val="CMFBText"/>
      </w:pPr>
      <w:r>
        <w:t>∑Transactions in assets = ∑Transactions in liabilities</w:t>
      </w:r>
    </w:p>
    <w:p w14:paraId="3C066C79" w14:textId="77777777" w:rsidR="00A00F7C" w:rsidRDefault="00A00F7C" w:rsidP="00A00F7C">
      <w:pPr>
        <w:pStyle w:val="CMFBText"/>
      </w:pPr>
      <w:r>
        <w:t xml:space="preserve">Financial accounts of non-financial corporations (S11) and household (S14) sectors are mostly compiled using indirect data sources. For some financial instruments (see data source map) data from statistical survey, based on the balance sheets of non-financial enterprises, are used. Missing data are estimated or derived from residual calculations. At present, there are no data sources available to distinguish the public non-financial corporation subsector. </w:t>
      </w:r>
    </w:p>
    <w:p w14:paraId="5D7C346C" w14:textId="77777777" w:rsidR="00A00F7C" w:rsidRDefault="00A00F7C" w:rsidP="00A00F7C">
      <w:pPr>
        <w:pStyle w:val="CMFBText"/>
      </w:pPr>
      <w:r>
        <w:t xml:space="preserve">Principal data sources for the financial corporation sector (S12) are MFI statistics, security issue/holding databases, insurance corporation statistics based on Solvency II, pension fund and investment fund statistics. For S125, S126 and S127 subsectors, additional data from statistical survey, based on the balance sheets are used. </w:t>
      </w:r>
    </w:p>
    <w:p w14:paraId="00F4049B" w14:textId="77777777" w:rsidR="00A00F7C" w:rsidRDefault="00A00F7C" w:rsidP="00A00F7C">
      <w:pPr>
        <w:pStyle w:val="CMFBText"/>
      </w:pPr>
      <w:r>
        <w:t xml:space="preserve">For production financial accounts of general government (S13) sector, the QFAGG data are used. </w:t>
      </w:r>
    </w:p>
    <w:p w14:paraId="2C615AF8" w14:textId="77777777" w:rsidR="00A00F7C" w:rsidRDefault="00A00F7C" w:rsidP="00A00F7C">
      <w:pPr>
        <w:pStyle w:val="CMFBText"/>
      </w:pPr>
      <w:r>
        <w:t xml:space="preserve">For households (S14) and </w:t>
      </w:r>
      <w:proofErr w:type="gramStart"/>
      <w:r>
        <w:t>non profit</w:t>
      </w:r>
      <w:proofErr w:type="gramEnd"/>
      <w:r>
        <w:t xml:space="preserve"> institutions serving households (S15; NPISH), no direct data sources are available and financial accounts are compiled from indirect data sources such as MFI statistics, securities holding statistics and balance of payments. Missing indicators are estimated or calculated as residual values. </w:t>
      </w:r>
    </w:p>
    <w:p w14:paraId="2DEB9976" w14:textId="77777777" w:rsidR="00A00F7C" w:rsidRDefault="00A00F7C" w:rsidP="00A00F7C">
      <w:pPr>
        <w:pStyle w:val="CMFBText"/>
      </w:pPr>
      <w:r>
        <w:t xml:space="preserve">For sector households and NPISH where data sources are not available, coverage gaps may occur. Therefore, households’ transactions and stocks with non-residents and between households are not fully covered, for example, loans between households are not covered. </w:t>
      </w:r>
    </w:p>
    <w:p w14:paraId="69AC8CC2" w14:textId="0A69EEE9" w:rsidR="009D3402" w:rsidRPr="00675805" w:rsidRDefault="00A00F7C" w:rsidP="00A00F7C">
      <w:pPr>
        <w:pStyle w:val="CMFBText"/>
        <w:rPr>
          <w:highlight w:val="yellow"/>
        </w:rPr>
      </w:pPr>
      <w:r>
        <w:t>Data on household portfolio investments held abroad with custodians in the euro area are supplemented from the third-party holding statistics. Data on households’ holdings of securities held abroad with custodians outside the euro area are underestimated. Such data shortage is negligible in volume.</w:t>
      </w:r>
    </w:p>
    <w:p w14:paraId="279E1B4A" w14:textId="6A85C765" w:rsidR="00E700F4" w:rsidRPr="00675805" w:rsidRDefault="00E700F4" w:rsidP="00E700F4">
      <w:pPr>
        <w:pStyle w:val="Heading3"/>
        <w:numPr>
          <w:ilvl w:val="0"/>
          <w:numId w:val="0"/>
        </w:numPr>
        <w:spacing w:line="280" w:lineRule="exact"/>
        <w:rPr>
          <w:rFonts w:ascii="Calibri" w:eastAsiaTheme="minorHAnsi" w:hAnsi="Calibri" w:cs="Arial"/>
          <w:b/>
          <w:bCs w:val="0"/>
          <w:i w:val="0"/>
        </w:rPr>
      </w:pPr>
      <w:r w:rsidRPr="00675805">
        <w:rPr>
          <w:rFonts w:ascii="Calibri" w:eastAsiaTheme="minorHAnsi" w:hAnsi="Calibri" w:cs="Arial"/>
          <w:b/>
          <w:bCs w:val="0"/>
          <w:i w:val="0"/>
        </w:rPr>
        <w:t>B.2.3 Estimation of missing data</w:t>
      </w:r>
      <w:r w:rsidR="009E6B4D" w:rsidRPr="00675805">
        <w:rPr>
          <w:rFonts w:ascii="Calibri" w:eastAsiaTheme="minorHAnsi" w:hAnsi="Calibri" w:cs="Arial"/>
          <w:b/>
          <w:bCs w:val="0"/>
          <w:i w:val="0"/>
        </w:rPr>
        <w:t xml:space="preserve"> </w:t>
      </w:r>
      <w:r w:rsidR="009E6B4D" w:rsidRPr="00675805">
        <w:rPr>
          <w:rFonts w:ascii="Calibri" w:hAnsi="Calibri" w:cs="Arial"/>
          <w:b/>
          <w:i w:val="0"/>
          <w:iCs/>
        </w:rPr>
        <w:t>(SIMS 18.6)</w:t>
      </w:r>
    </w:p>
    <w:p w14:paraId="6A06D53A" w14:textId="77777777" w:rsidR="00514F10" w:rsidRDefault="00514F10" w:rsidP="00514F10">
      <w:pPr>
        <w:pStyle w:val="CMFBText"/>
      </w:pPr>
      <w:r>
        <w:t>Various estimation methods are used, or the missing values are calculated as a residual value.</w:t>
      </w:r>
    </w:p>
    <w:p w14:paraId="232EFB7F" w14:textId="77777777" w:rsidR="00514F10" w:rsidRDefault="00514F10" w:rsidP="00514F10">
      <w:pPr>
        <w:pStyle w:val="CMFBText"/>
      </w:pPr>
      <w:r>
        <w:t>Only significant values are estimated. For less important data, annual data are repeated on quarterly basis. Estimates used in financial accounts are applied to the following:</w:t>
      </w:r>
    </w:p>
    <w:p w14:paraId="5C73006A" w14:textId="77777777" w:rsidR="00514F10" w:rsidRDefault="00514F10" w:rsidP="00514F10">
      <w:pPr>
        <w:pStyle w:val="CMFBText"/>
      </w:pPr>
      <w:r>
        <w:lastRenderedPageBreak/>
        <w:t>-</w:t>
      </w:r>
      <w:r>
        <w:tab/>
        <w:t>Cash holdings by non-financial corporations and households. The structure of transferable deposits is used to split currency between NFCs and households.</w:t>
      </w:r>
    </w:p>
    <w:p w14:paraId="42E3D513" w14:textId="77777777" w:rsidR="00514F10" w:rsidRDefault="00514F10" w:rsidP="00514F10">
      <w:pPr>
        <w:pStyle w:val="CMFBText"/>
      </w:pPr>
      <w:r>
        <w:t>-</w:t>
      </w:r>
      <w:r>
        <w:tab/>
        <w:t xml:space="preserve">Other equity held by non-financial corporations and households. For estimations, annual data on equity holder’s structure from the NFC survey are used. </w:t>
      </w:r>
    </w:p>
    <w:p w14:paraId="4562CA40" w14:textId="79D2EE85" w:rsidR="009D3402" w:rsidRPr="00675805" w:rsidRDefault="00514F10" w:rsidP="00514F10">
      <w:pPr>
        <w:pStyle w:val="CMFBText"/>
        <w:rPr>
          <w:highlight w:val="yellow"/>
        </w:rPr>
      </w:pPr>
      <w:r>
        <w:t>-</w:t>
      </w:r>
      <w:r>
        <w:tab/>
        <w:t xml:space="preserve">Insurance technical reserves held by all sectors. To estimate this data, annual data on the structure of premium written from the annual survey of ICs are used.  </w:t>
      </w:r>
    </w:p>
    <w:p w14:paraId="76821C6F" w14:textId="19C1D673" w:rsidR="00E700F4" w:rsidRPr="00675805" w:rsidRDefault="00E700F4" w:rsidP="00E700F4">
      <w:pPr>
        <w:pStyle w:val="Heading3"/>
        <w:numPr>
          <w:ilvl w:val="0"/>
          <w:numId w:val="0"/>
        </w:numPr>
        <w:spacing w:line="280" w:lineRule="exact"/>
        <w:rPr>
          <w:rFonts w:ascii="Calibri" w:hAnsi="Calibri" w:cs="Arial"/>
          <w:b/>
        </w:rPr>
      </w:pPr>
      <w:r w:rsidRPr="00675805">
        <w:rPr>
          <w:rFonts w:ascii="Calibri" w:eastAsiaTheme="minorHAnsi" w:hAnsi="Calibri" w:cs="Arial"/>
          <w:b/>
          <w:bCs w:val="0"/>
          <w:i w:val="0"/>
        </w:rPr>
        <w:t xml:space="preserve">B.2.4 Balancing procedure </w:t>
      </w:r>
      <w:r w:rsidR="009E6B4D" w:rsidRPr="00675805">
        <w:rPr>
          <w:rFonts w:ascii="Calibri" w:hAnsi="Calibri" w:cs="Arial"/>
          <w:b/>
          <w:i w:val="0"/>
          <w:iCs/>
        </w:rPr>
        <w:t>(SIMS 18.6)</w:t>
      </w:r>
    </w:p>
    <w:p w14:paraId="41E013F9" w14:textId="77777777" w:rsidR="00514F10" w:rsidRDefault="00514F10" w:rsidP="00514F10">
      <w:pPr>
        <w:pStyle w:val="CMFBText"/>
      </w:pPr>
      <w:r>
        <w:t>Horizontal balancing</w:t>
      </w:r>
    </w:p>
    <w:p w14:paraId="4C6B0276" w14:textId="77777777" w:rsidR="00514F10" w:rsidRDefault="00514F10" w:rsidP="00514F10">
      <w:pPr>
        <w:pStyle w:val="CMFBText"/>
      </w:pPr>
      <w:r>
        <w:t>The calculation of residuals and double entry system ensures horizontal consistency (see point B.2.2). Residual sectors could be only non-financial corporations or households (for respective financial instruments, see Data source map).</w:t>
      </w:r>
    </w:p>
    <w:p w14:paraId="404A3BE3" w14:textId="77777777" w:rsidR="00514F10" w:rsidRDefault="00514F10" w:rsidP="00514F10">
      <w:pPr>
        <w:pStyle w:val="CMFBText"/>
      </w:pPr>
      <w:r>
        <w:t>Vertical balancing</w:t>
      </w:r>
    </w:p>
    <w:p w14:paraId="79F5CD3E" w14:textId="2A891200" w:rsidR="009D3402" w:rsidRPr="00675805" w:rsidRDefault="00514F10" w:rsidP="00514F10">
      <w:pPr>
        <w:pStyle w:val="CMFBText"/>
        <w:rPr>
          <w:highlight w:val="yellow"/>
        </w:rPr>
      </w:pPr>
      <w:r>
        <w:t>As Lithuania does not compile quarterly non-financial accounts for all sectors, vertical balancing is done only annually. To achieve consistency between financial and non-financial accounts, some adjustments are made in the financial accounts. Usually, the main instruments that are adjusted are unlisted shares (F.512) and t</w:t>
      </w:r>
      <w:r w:rsidRPr="00514F10">
        <w:t xml:space="preserve">rade credits and advances </w:t>
      </w:r>
      <w:r>
        <w:t>(F.81). Sufficient consistency is achieved for the general government sector, for which quarterly discrepancy does not exceed 2% of the quarterly GDP.</w:t>
      </w:r>
    </w:p>
    <w:p w14:paraId="34957FA6" w14:textId="65E159CC" w:rsidR="00E700F4" w:rsidRPr="00675805" w:rsidRDefault="00E700F4" w:rsidP="00E700F4">
      <w:pPr>
        <w:pStyle w:val="Heading3"/>
        <w:numPr>
          <w:ilvl w:val="0"/>
          <w:numId w:val="0"/>
        </w:numPr>
        <w:spacing w:line="280" w:lineRule="exact"/>
        <w:rPr>
          <w:rFonts w:ascii="Calibri" w:hAnsi="Calibri" w:cs="Arial"/>
          <w:b/>
        </w:rPr>
      </w:pPr>
      <w:r w:rsidRPr="00675805">
        <w:rPr>
          <w:rFonts w:ascii="Calibri" w:eastAsiaTheme="minorHAnsi" w:hAnsi="Calibri" w:cs="Arial"/>
          <w:b/>
          <w:bCs w:val="0"/>
          <w:i w:val="0"/>
        </w:rPr>
        <w:t xml:space="preserve">B.2.5 Methods to align quarterly and annual </w:t>
      </w:r>
      <w:proofErr w:type="gramStart"/>
      <w:r w:rsidRPr="00675805">
        <w:rPr>
          <w:rFonts w:ascii="Calibri" w:eastAsiaTheme="minorHAnsi" w:hAnsi="Calibri" w:cs="Arial"/>
          <w:b/>
          <w:bCs w:val="0"/>
          <w:i w:val="0"/>
        </w:rPr>
        <w:t xml:space="preserve">data </w:t>
      </w:r>
      <w:r w:rsidR="009E6B4D" w:rsidRPr="00675805">
        <w:rPr>
          <w:rFonts w:ascii="Calibri" w:eastAsiaTheme="minorHAnsi" w:hAnsi="Calibri" w:cs="Arial"/>
          <w:b/>
          <w:bCs w:val="0"/>
          <w:i w:val="0"/>
        </w:rPr>
        <w:t xml:space="preserve"> </w:t>
      </w:r>
      <w:r w:rsidR="009E6B4D" w:rsidRPr="00675805">
        <w:rPr>
          <w:rFonts w:ascii="Calibri" w:hAnsi="Calibri" w:cs="Arial"/>
          <w:b/>
          <w:i w:val="0"/>
          <w:iCs/>
        </w:rPr>
        <w:t>(</w:t>
      </w:r>
      <w:proofErr w:type="gramEnd"/>
      <w:r w:rsidR="009E6B4D" w:rsidRPr="00675805">
        <w:rPr>
          <w:rFonts w:ascii="Calibri" w:hAnsi="Calibri" w:cs="Arial"/>
          <w:b/>
          <w:i w:val="0"/>
          <w:iCs/>
        </w:rPr>
        <w:t>SIMS 18.6)</w:t>
      </w:r>
    </w:p>
    <w:p w14:paraId="65CFB51D" w14:textId="06619C0F" w:rsidR="009D3402" w:rsidRPr="00675805" w:rsidRDefault="009E7226" w:rsidP="009D3402">
      <w:pPr>
        <w:pStyle w:val="CMFBText"/>
        <w:rPr>
          <w:highlight w:val="yellow"/>
        </w:rPr>
      </w:pPr>
      <w:r w:rsidRPr="009E7226">
        <w:t xml:space="preserve">Quarterly and annual financial accounts are fully consistent. Annual financial accounts are compiled from quarterly financial accounts as the sum of four quarters. </w:t>
      </w:r>
    </w:p>
    <w:p w14:paraId="7B6C9BC4" w14:textId="77777777" w:rsidR="00E700F4" w:rsidRPr="00675805" w:rsidRDefault="00E700F4" w:rsidP="00E700F4">
      <w:pPr>
        <w:pStyle w:val="Heading2"/>
        <w:tabs>
          <w:tab w:val="left" w:pos="284"/>
        </w:tabs>
        <w:spacing w:line="280" w:lineRule="exact"/>
        <w:rPr>
          <w:rFonts w:ascii="Calibri" w:hAnsi="Calibri" w:cs="Arial"/>
          <w:sz w:val="26"/>
          <w:szCs w:val="26"/>
        </w:rPr>
      </w:pPr>
      <w:r w:rsidRPr="00675805">
        <w:rPr>
          <w:rFonts w:ascii="Calibri" w:hAnsi="Calibri" w:cs="Arial"/>
          <w:sz w:val="26"/>
          <w:szCs w:val="26"/>
        </w:rPr>
        <w:t>STATISTICAL OUTPUT</w:t>
      </w:r>
    </w:p>
    <w:p w14:paraId="10A0972E" w14:textId="0CA737CF" w:rsidR="00E700F4" w:rsidRPr="00675805" w:rsidRDefault="00E700F4" w:rsidP="00E700F4">
      <w:pPr>
        <w:pStyle w:val="Heading3"/>
        <w:spacing w:line="280" w:lineRule="exact"/>
        <w:ind w:left="426" w:hanging="426"/>
        <w:rPr>
          <w:rFonts w:ascii="Calibri" w:hAnsi="Calibri" w:cs="Arial"/>
          <w:b/>
          <w:iCs/>
        </w:rPr>
      </w:pPr>
      <w:r w:rsidRPr="00675805">
        <w:rPr>
          <w:rFonts w:ascii="Calibri" w:hAnsi="Calibri" w:cs="Arial"/>
          <w:b/>
        </w:rPr>
        <w:t>CoP11 Relevance</w:t>
      </w:r>
      <w:r w:rsidRPr="00675805">
        <w:rPr>
          <w:rFonts w:ascii="Calibri" w:hAnsi="Calibri" w:cs="Arial"/>
          <w:b/>
          <w:iCs/>
        </w:rPr>
        <w:t>/</w:t>
      </w:r>
      <w:r w:rsidRPr="00675805">
        <w:rPr>
          <w:rFonts w:ascii="Calibri" w:hAnsi="Calibri" w:cs="Arial"/>
          <w:b/>
        </w:rPr>
        <w:t xml:space="preserve"> PC11 Relevance</w:t>
      </w:r>
      <w:r w:rsidR="009E6B4D" w:rsidRPr="00675805">
        <w:rPr>
          <w:rFonts w:ascii="Calibri" w:hAnsi="Calibri" w:cs="Arial"/>
          <w:b/>
        </w:rPr>
        <w:t xml:space="preserve"> </w:t>
      </w:r>
      <w:r w:rsidR="009E6B4D" w:rsidRPr="00675805">
        <w:rPr>
          <w:rFonts w:ascii="Calibri" w:hAnsi="Calibri" w:cs="Arial"/>
          <w:b/>
          <w:i w:val="0"/>
          <w:iCs/>
        </w:rPr>
        <w:t>(SIMS 12.)</w:t>
      </w:r>
    </w:p>
    <w:p w14:paraId="69708E45" w14:textId="77777777" w:rsidR="009E7226" w:rsidRDefault="009E7226" w:rsidP="009E7226">
      <w:pPr>
        <w:pStyle w:val="CMFBText"/>
      </w:pPr>
      <w:r>
        <w:t xml:space="preserve">At the international level, financial accounts data are used to produce a part of the “scoreboard” of the macroeconomic imbalances procedure (MIP), and to support the assessment of vulnerabilities and interconnection for financial stability purposes by the European Systemic Risk Board (ESRB, see its “risk dashboard”). For the euro area, financial accounts statistics support the </w:t>
      </w:r>
      <w:proofErr w:type="spellStart"/>
      <w:r>
        <w:t>Eurosystem</w:t>
      </w:r>
      <w:proofErr w:type="spellEnd"/>
      <w:r>
        <w:t xml:space="preserve"> in its tasks to define and implement the single monetary policy. The QFA data are regularly transmitted to the ECB, the OECD, the BIS, and according to SDDS Plus requirements, the QFA data are published on the National summary data page.</w:t>
      </w:r>
    </w:p>
    <w:p w14:paraId="1E0EC9D4" w14:textId="77777777" w:rsidR="009E7226" w:rsidRDefault="009E7226" w:rsidP="009E7226">
      <w:pPr>
        <w:pStyle w:val="CMFBText"/>
      </w:pPr>
      <w:r>
        <w:t>At the national level, annual financial accounts data are published within 9 months after the reference period. Preliminary annual data are published at 95 days after the end of the year.</w:t>
      </w:r>
    </w:p>
    <w:p w14:paraId="38619EE9" w14:textId="77777777" w:rsidR="009E7226" w:rsidRDefault="009E7226" w:rsidP="009E7226">
      <w:pPr>
        <w:pStyle w:val="CMFBText"/>
      </w:pPr>
      <w:r>
        <w:t xml:space="preserve">The QFA data are published 95 calendar days after the reference period. The publication is supplemented with a short statistical release. </w:t>
      </w:r>
    </w:p>
    <w:p w14:paraId="6C640175" w14:textId="13923AEE" w:rsidR="009D3402" w:rsidRPr="00675805" w:rsidRDefault="009E7226" w:rsidP="009E7226">
      <w:pPr>
        <w:pStyle w:val="CMFBText"/>
        <w:rPr>
          <w:highlight w:val="yellow"/>
        </w:rPr>
      </w:pPr>
      <w:r>
        <w:t xml:space="preserve">Financial accounts data are mainly used by the State and municipal authorities and agencies, international organisations, the media, research and business communities and students, whose needs are satisfied without breaching the confidentiality principle, to carry out analysis and research work.  </w:t>
      </w:r>
    </w:p>
    <w:p w14:paraId="17360D6C" w14:textId="77777777" w:rsidR="00E700F4" w:rsidRPr="00675805" w:rsidRDefault="00E700F4" w:rsidP="00E700F4">
      <w:pPr>
        <w:pStyle w:val="Heading3"/>
        <w:spacing w:line="280" w:lineRule="exact"/>
        <w:ind w:left="426" w:hanging="426"/>
        <w:rPr>
          <w:rFonts w:ascii="Calibri" w:hAnsi="Calibri" w:cs="Arial"/>
          <w:b/>
        </w:rPr>
      </w:pPr>
      <w:r w:rsidRPr="00675805">
        <w:rPr>
          <w:rFonts w:ascii="Calibri" w:hAnsi="Calibri" w:cs="Arial"/>
          <w:b/>
        </w:rPr>
        <w:lastRenderedPageBreak/>
        <w:t xml:space="preserve"> CoP12 Accuracy and reliability/ PC12 Accuracy and reliability (including stability)</w:t>
      </w:r>
    </w:p>
    <w:p w14:paraId="0FAD9DA9" w14:textId="3359972A"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C.2.1. Accuracy and reliability</w:t>
      </w:r>
      <w:r w:rsidR="009E6B4D" w:rsidRPr="00675805">
        <w:rPr>
          <w:rFonts w:ascii="Calibri" w:hAnsi="Calibri" w:cs="Arial"/>
          <w:b/>
          <w:i/>
          <w:iCs/>
          <w:sz w:val="24"/>
          <w:szCs w:val="24"/>
        </w:rPr>
        <w:t xml:space="preserve"> (SIMS 13.1, 13.2, </w:t>
      </w:r>
      <w:proofErr w:type="gramStart"/>
      <w:r w:rsidR="009E6B4D" w:rsidRPr="00675805">
        <w:rPr>
          <w:rFonts w:ascii="Calibri" w:hAnsi="Calibri" w:cs="Arial"/>
          <w:b/>
          <w:i/>
          <w:iCs/>
          <w:sz w:val="24"/>
          <w:szCs w:val="24"/>
        </w:rPr>
        <w:t>13.3  and</w:t>
      </w:r>
      <w:proofErr w:type="gramEnd"/>
      <w:r w:rsidR="009E6B4D" w:rsidRPr="00675805">
        <w:rPr>
          <w:rFonts w:ascii="Calibri" w:hAnsi="Calibri" w:cs="Arial"/>
          <w:b/>
          <w:i/>
          <w:iCs/>
          <w:sz w:val="24"/>
          <w:szCs w:val="24"/>
        </w:rPr>
        <w:t xml:space="preserve"> 17.2)</w:t>
      </w:r>
    </w:p>
    <w:p w14:paraId="5C8EFBD9" w14:textId="77777777" w:rsidR="009E7226" w:rsidRDefault="009E7226" w:rsidP="009E7226">
      <w:pPr>
        <w:pStyle w:val="CMFBText"/>
      </w:pPr>
      <w:r>
        <w:t>The accuracy and reliability of financial accounts depend on the quality of data sources. Validation</w:t>
      </w:r>
    </w:p>
    <w:p w14:paraId="74609CF4" w14:textId="77777777" w:rsidR="009E7226" w:rsidRDefault="009E7226" w:rsidP="009E7226">
      <w:pPr>
        <w:pStyle w:val="CMFBText"/>
      </w:pPr>
      <w:r>
        <w:t>checks of data sources are performed regularly. Consequently, the overall accuracy of primary data is rather high. There are various checks introduced in the financial accounts compilation IT system. In addition, data validation checks are performed before sending the financial accounts data to the ECB and Eurostat.</w:t>
      </w:r>
    </w:p>
    <w:p w14:paraId="397236C6" w14:textId="77777777" w:rsidR="009E7226" w:rsidRDefault="009E7226" w:rsidP="009E7226">
      <w:pPr>
        <w:pStyle w:val="CMFBText"/>
      </w:pPr>
      <w:r>
        <w:t>Each data transmission to the ECB and Eurostat includes a metadata file with an explanation of major events and revisions.</w:t>
      </w:r>
    </w:p>
    <w:p w14:paraId="5398E33C" w14:textId="25104E76" w:rsidR="009D3402" w:rsidRPr="00675805" w:rsidRDefault="009E7226" w:rsidP="009E7226">
      <w:pPr>
        <w:pStyle w:val="CMFBText"/>
        <w:rPr>
          <w:highlight w:val="yellow"/>
        </w:rPr>
      </w:pPr>
      <w:r>
        <w:t xml:space="preserve">Data quality control and validation is performed by Eurostat and the ECB before publication of the data. </w:t>
      </w:r>
    </w:p>
    <w:p w14:paraId="54CC87E0" w14:textId="77777777" w:rsidR="00E700F4" w:rsidRPr="00675805" w:rsidRDefault="00E700F4" w:rsidP="00E700F4">
      <w:pPr>
        <w:spacing w:line="280" w:lineRule="exact"/>
        <w:jc w:val="both"/>
        <w:rPr>
          <w:rFonts w:ascii="Calibri" w:hAnsi="Calibri" w:cs="Arial"/>
          <w:iCs/>
          <w:sz w:val="24"/>
          <w:szCs w:val="24"/>
        </w:rPr>
      </w:pPr>
    </w:p>
    <w:p w14:paraId="45859024" w14:textId="36CE7DBE"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C.2.2. Internal consistency</w:t>
      </w:r>
      <w:r w:rsidR="009E6B4D" w:rsidRPr="00675805">
        <w:rPr>
          <w:rFonts w:ascii="Calibri" w:hAnsi="Calibri" w:cs="Arial"/>
          <w:b/>
          <w:i/>
          <w:iCs/>
          <w:sz w:val="24"/>
          <w:szCs w:val="24"/>
        </w:rPr>
        <w:t xml:space="preserve"> (SIMS 15.4)</w:t>
      </w:r>
    </w:p>
    <w:p w14:paraId="072C51C3" w14:textId="77777777" w:rsidR="00A757A4" w:rsidRDefault="00A757A4" w:rsidP="00A757A4">
      <w:pPr>
        <w:pStyle w:val="CMFBText"/>
      </w:pPr>
      <w:r>
        <w:t xml:space="preserve">Financial accounts are compiled on who-to-whom basis. Each transaction is reflected twice by each of the institutional units involved – once on the asset side and once on the liability side for the same amount. The double entry system ensures consistency of the financial accounts data: </w:t>
      </w:r>
    </w:p>
    <w:p w14:paraId="4A49647B" w14:textId="77777777" w:rsidR="00A757A4" w:rsidRDefault="00A757A4" w:rsidP="00A757A4">
      <w:pPr>
        <w:pStyle w:val="CMFBText"/>
      </w:pPr>
      <w:r>
        <w:t>∑Transactions in assets = ∑Transactions in liabilities</w:t>
      </w:r>
    </w:p>
    <w:p w14:paraId="7CA096D3" w14:textId="77777777" w:rsidR="00A757A4" w:rsidRDefault="00A757A4" w:rsidP="00A757A4">
      <w:pPr>
        <w:pStyle w:val="CMFBText"/>
      </w:pPr>
      <w:r>
        <w:t>The consistency between stocks, transactions, revaluations, and other changes in volume are checked as well.</w:t>
      </w:r>
    </w:p>
    <w:p w14:paraId="2B5246D8" w14:textId="2255C852" w:rsidR="009D3402" w:rsidRPr="00675805" w:rsidRDefault="00A757A4" w:rsidP="00A757A4">
      <w:pPr>
        <w:pStyle w:val="CMFBText"/>
        <w:rPr>
          <w:highlight w:val="yellow"/>
        </w:rPr>
      </w:pPr>
      <w:r>
        <w:t>Internal consistency checks are additionally made before transmitting data to Eurostat and the ECB.</w:t>
      </w:r>
    </w:p>
    <w:p w14:paraId="6E9CE8D4" w14:textId="77777777" w:rsidR="00E700F4" w:rsidRPr="00675805" w:rsidRDefault="00E700F4" w:rsidP="00E700F4">
      <w:pPr>
        <w:pStyle w:val="Heading3"/>
        <w:spacing w:line="280" w:lineRule="exact"/>
        <w:ind w:left="426" w:hanging="426"/>
        <w:rPr>
          <w:rFonts w:ascii="Calibri" w:hAnsi="Calibri" w:cs="Arial"/>
          <w:b/>
        </w:rPr>
      </w:pPr>
      <w:r w:rsidRPr="00675805">
        <w:rPr>
          <w:rFonts w:ascii="Calibri" w:hAnsi="Calibri" w:cs="Arial"/>
          <w:b/>
        </w:rPr>
        <w:t>CoP13 Timeliness and punctuality/ PC13 Timeliness (including punctuality)</w:t>
      </w:r>
    </w:p>
    <w:p w14:paraId="149D0847" w14:textId="27EB5584"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C.3.1 National requirements</w:t>
      </w:r>
      <w:r w:rsidR="009E6B4D" w:rsidRPr="00675805">
        <w:rPr>
          <w:rFonts w:ascii="Calibri" w:hAnsi="Calibri" w:cs="Arial"/>
          <w:b/>
          <w:i/>
          <w:iCs/>
          <w:sz w:val="24"/>
          <w:szCs w:val="24"/>
        </w:rPr>
        <w:t xml:space="preserve"> (SIMS </w:t>
      </w:r>
      <w:r w:rsidR="009E6B4D" w:rsidRPr="00675805">
        <w:rPr>
          <w:rFonts w:ascii="Calibri" w:hAnsi="Calibri" w:cs="Arial"/>
          <w:b/>
          <w:i/>
          <w:iCs/>
        </w:rPr>
        <w:t>1</w:t>
      </w:r>
      <w:r w:rsidR="009E6B4D" w:rsidRPr="00675805">
        <w:rPr>
          <w:rFonts w:ascii="Calibri" w:hAnsi="Calibri" w:cs="Arial"/>
          <w:b/>
          <w:i/>
          <w:iCs/>
          <w:lang w:val="hu-HU"/>
        </w:rPr>
        <w:t>4</w:t>
      </w:r>
      <w:r w:rsidR="009E6B4D" w:rsidRPr="00675805">
        <w:rPr>
          <w:rFonts w:ascii="Calibri" w:hAnsi="Calibri" w:cs="Arial"/>
          <w:b/>
          <w:i/>
          <w:iCs/>
          <w:sz w:val="24"/>
          <w:szCs w:val="24"/>
        </w:rPr>
        <w:t>.</w:t>
      </w:r>
      <w:r w:rsidR="009E6B4D" w:rsidRPr="00675805">
        <w:rPr>
          <w:rFonts w:ascii="Calibri" w:hAnsi="Calibri" w:cs="Arial"/>
          <w:b/>
          <w:i/>
          <w:iCs/>
          <w:lang w:val="hu-HU"/>
        </w:rPr>
        <w:t>1</w:t>
      </w:r>
      <w:r w:rsidR="009E6B4D" w:rsidRPr="00675805">
        <w:rPr>
          <w:rFonts w:ascii="Calibri" w:hAnsi="Calibri" w:cs="Arial"/>
          <w:b/>
          <w:i/>
          <w:iCs/>
          <w:sz w:val="24"/>
          <w:szCs w:val="24"/>
        </w:rPr>
        <w:t>)</w:t>
      </w:r>
    </w:p>
    <w:p w14:paraId="7583B8B2" w14:textId="098504E5" w:rsidR="001212F1" w:rsidRDefault="00E3290F" w:rsidP="001212F1">
      <w:pPr>
        <w:pStyle w:val="CMFBText"/>
      </w:pPr>
      <w:r>
        <w:t xml:space="preserve">Annual and quarterly financial accounts data are published by LB. The QFA data are published at t+95 days after the reference quarter. The AFA data are published 9 months after the reference year. Preliminary annual data are published at 95 days after the end of the year. </w:t>
      </w:r>
      <w:r w:rsidR="001212F1">
        <w:t>Non-financial corporations,</w:t>
      </w:r>
      <w:r w:rsidR="001212F1" w:rsidRPr="001212F1">
        <w:t xml:space="preserve"> </w:t>
      </w:r>
      <w:r w:rsidR="001212F1">
        <w:t xml:space="preserve">General government and </w:t>
      </w:r>
      <w:r w:rsidR="001212F1" w:rsidRPr="001212F1">
        <w:t>Household debt indicators are also published</w:t>
      </w:r>
      <w:r w:rsidR="001212F1">
        <w:t>.</w:t>
      </w:r>
    </w:p>
    <w:p w14:paraId="5008A2DF" w14:textId="77777777" w:rsidR="001212F1" w:rsidRDefault="00E3290F" w:rsidP="00E3290F">
      <w:pPr>
        <w:pStyle w:val="CMFBText"/>
      </w:pPr>
      <w:r>
        <w:t xml:space="preserve">The quarterly financial accounts of the general government sector are published by SDA at t+93 days after the reference quarter. </w:t>
      </w:r>
    </w:p>
    <w:p w14:paraId="75B26B56" w14:textId="62FCDE48"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 xml:space="preserve">C.3.2 International </w:t>
      </w:r>
      <w:proofErr w:type="gramStart"/>
      <w:r w:rsidRPr="00675805">
        <w:rPr>
          <w:rFonts w:ascii="Calibri" w:hAnsi="Calibri" w:cs="Arial"/>
          <w:b/>
          <w:i/>
          <w:iCs/>
          <w:sz w:val="24"/>
          <w:szCs w:val="24"/>
        </w:rPr>
        <w:t xml:space="preserve">requirements </w:t>
      </w:r>
      <w:r w:rsidR="009E6B4D" w:rsidRPr="00675805">
        <w:rPr>
          <w:rFonts w:ascii="Calibri" w:hAnsi="Calibri" w:cs="Arial"/>
          <w:b/>
          <w:i/>
          <w:iCs/>
          <w:sz w:val="24"/>
          <w:szCs w:val="24"/>
        </w:rPr>
        <w:t xml:space="preserve"> (</w:t>
      </w:r>
      <w:proofErr w:type="gramEnd"/>
      <w:r w:rsidR="009E6B4D" w:rsidRPr="00675805">
        <w:rPr>
          <w:rFonts w:ascii="Calibri" w:hAnsi="Calibri" w:cs="Arial"/>
          <w:b/>
          <w:i/>
          <w:iCs/>
          <w:sz w:val="24"/>
          <w:szCs w:val="24"/>
        </w:rPr>
        <w:t xml:space="preserve">SIMS </w:t>
      </w:r>
      <w:r w:rsidR="009E6B4D" w:rsidRPr="00675805">
        <w:rPr>
          <w:rFonts w:ascii="Calibri" w:hAnsi="Calibri" w:cs="Arial"/>
          <w:b/>
          <w:i/>
          <w:iCs/>
        </w:rPr>
        <w:t>1</w:t>
      </w:r>
      <w:r w:rsidR="009E6B4D" w:rsidRPr="00675805">
        <w:rPr>
          <w:rFonts w:ascii="Calibri" w:hAnsi="Calibri" w:cs="Arial"/>
          <w:b/>
          <w:i/>
          <w:iCs/>
          <w:lang w:val="hu-HU"/>
        </w:rPr>
        <w:t>4</w:t>
      </w:r>
      <w:r w:rsidR="009E6B4D" w:rsidRPr="00675805">
        <w:rPr>
          <w:rFonts w:ascii="Calibri" w:hAnsi="Calibri" w:cs="Arial"/>
          <w:b/>
          <w:i/>
          <w:iCs/>
          <w:sz w:val="24"/>
          <w:szCs w:val="24"/>
        </w:rPr>
        <w:t>.</w:t>
      </w:r>
      <w:r w:rsidR="009E6B4D" w:rsidRPr="00675805">
        <w:rPr>
          <w:rFonts w:ascii="Calibri" w:hAnsi="Calibri" w:cs="Arial"/>
          <w:b/>
          <w:i/>
          <w:iCs/>
          <w:lang w:val="hu-HU"/>
        </w:rPr>
        <w:t>1</w:t>
      </w:r>
      <w:r w:rsidR="009E6B4D" w:rsidRPr="00675805">
        <w:rPr>
          <w:rFonts w:ascii="Calibri" w:hAnsi="Calibri" w:cs="Arial"/>
          <w:b/>
          <w:i/>
          <w:iCs/>
          <w:sz w:val="24"/>
          <w:szCs w:val="24"/>
        </w:rPr>
        <w:t>)</w:t>
      </w:r>
    </w:p>
    <w:p w14:paraId="57A6784D" w14:textId="77777777" w:rsidR="001212F1" w:rsidRDefault="001212F1" w:rsidP="001212F1">
      <w:pPr>
        <w:pStyle w:val="CMFBText"/>
      </w:pPr>
      <w:r w:rsidRPr="001212F1">
        <w:t>ESA 2010 transmission programme requires reporting annual data at</w:t>
      </w:r>
      <w:r>
        <w:t xml:space="preserve"> t+4 and</w:t>
      </w:r>
      <w:r w:rsidRPr="001212F1">
        <w:t xml:space="preserve"> t+9 months. The ECB requirements for quarterly financial accounts data are t+85 days (for supplementary data) and t+97 days (for national data). ESA 2010 transmission programme requires reporting QFAGG data at t+85 days. </w:t>
      </w:r>
    </w:p>
    <w:p w14:paraId="3A42C62D" w14:textId="52B728D6" w:rsidR="00E700F4" w:rsidRPr="00675805" w:rsidRDefault="00E700F4" w:rsidP="001212F1">
      <w:pPr>
        <w:pStyle w:val="CMFBText"/>
        <w:rPr>
          <w:rFonts w:ascii="Calibri" w:hAnsi="Calibri" w:cs="Arial"/>
          <w:b/>
        </w:rPr>
      </w:pPr>
      <w:r w:rsidRPr="00675805">
        <w:rPr>
          <w:rFonts w:ascii="Calibri" w:hAnsi="Calibri" w:cs="Arial"/>
          <w:b/>
        </w:rPr>
        <w:t>CoP14 Coherence and comparability/ PC14 Consistency and comparability</w:t>
      </w:r>
    </w:p>
    <w:p w14:paraId="1AC01AC1" w14:textId="76C7060B"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C.4.1 External consistency</w:t>
      </w:r>
      <w:r w:rsidR="009E6B4D" w:rsidRPr="00675805">
        <w:rPr>
          <w:rFonts w:ascii="Calibri" w:hAnsi="Calibri" w:cs="Arial"/>
          <w:b/>
          <w:i/>
          <w:iCs/>
          <w:sz w:val="24"/>
          <w:szCs w:val="24"/>
        </w:rPr>
        <w:t xml:space="preserve"> (SIMS </w:t>
      </w:r>
      <w:r w:rsidR="009E6B4D" w:rsidRPr="00675805">
        <w:rPr>
          <w:rFonts w:ascii="Calibri" w:hAnsi="Calibri" w:cs="Arial"/>
          <w:b/>
          <w:i/>
          <w:iCs/>
        </w:rPr>
        <w:t>1</w:t>
      </w:r>
      <w:r w:rsidR="009E6B4D" w:rsidRPr="00675805">
        <w:rPr>
          <w:rFonts w:ascii="Calibri" w:hAnsi="Calibri" w:cs="Arial"/>
          <w:b/>
          <w:i/>
          <w:iCs/>
          <w:lang w:val="hu-HU"/>
        </w:rPr>
        <w:t>5</w:t>
      </w:r>
      <w:r w:rsidR="009E6B4D" w:rsidRPr="00675805">
        <w:rPr>
          <w:rFonts w:ascii="Calibri" w:hAnsi="Calibri" w:cs="Arial"/>
          <w:b/>
          <w:i/>
          <w:iCs/>
          <w:sz w:val="24"/>
          <w:szCs w:val="24"/>
        </w:rPr>
        <w:t>.</w:t>
      </w:r>
      <w:r w:rsidR="009E6B4D" w:rsidRPr="00675805">
        <w:rPr>
          <w:rFonts w:ascii="Calibri" w:hAnsi="Calibri" w:cs="Arial"/>
          <w:b/>
          <w:i/>
          <w:iCs/>
          <w:lang w:val="hu-HU"/>
        </w:rPr>
        <w:t>3</w:t>
      </w:r>
      <w:r w:rsidR="009E6B4D" w:rsidRPr="00675805">
        <w:rPr>
          <w:rFonts w:ascii="Calibri" w:hAnsi="Calibri" w:cs="Arial"/>
          <w:b/>
          <w:i/>
          <w:iCs/>
          <w:sz w:val="24"/>
          <w:szCs w:val="24"/>
        </w:rPr>
        <w:t>)</w:t>
      </w:r>
    </w:p>
    <w:p w14:paraId="3173BDC6" w14:textId="77777777" w:rsidR="00A6030C" w:rsidRDefault="00A6030C" w:rsidP="00A6030C">
      <w:pPr>
        <w:pStyle w:val="CMFBText"/>
      </w:pPr>
      <w:r>
        <w:t xml:space="preserve">Quarterly and annual financial accounts data are consistent with other statistics domains such as BSI, IC, SHS, </w:t>
      </w:r>
      <w:proofErr w:type="spellStart"/>
      <w:r>
        <w:t>BoP</w:t>
      </w:r>
      <w:proofErr w:type="spellEnd"/>
      <w:r>
        <w:t xml:space="preserve">.  Minor inconsistencies may arise due to data vintages and data source preference. </w:t>
      </w:r>
    </w:p>
    <w:p w14:paraId="1FCE7133" w14:textId="321C77BB" w:rsidR="00E700F4" w:rsidRDefault="00A6030C" w:rsidP="00E700F4">
      <w:pPr>
        <w:spacing w:line="280" w:lineRule="exact"/>
        <w:jc w:val="both"/>
        <w:rPr>
          <w:rFonts w:ascii="Times New Roman" w:eastAsia="Calibri" w:hAnsi="Times New Roman" w:cs="Times New Roman"/>
          <w:szCs w:val="24"/>
        </w:rPr>
      </w:pPr>
      <w:r w:rsidRPr="00A6030C">
        <w:rPr>
          <w:rFonts w:ascii="Times New Roman" w:eastAsia="Calibri" w:hAnsi="Times New Roman" w:cs="Times New Roman"/>
          <w:szCs w:val="24"/>
        </w:rPr>
        <w:t>As Lithuania does not compile quarterly non-financial accounts for all sectors, vertical balancing is done only annually. To achieve consistency between financial and non-financial accounts, some adjustments are made in the financial accounts. Usually, the main instruments that are adjusted are unlisted shares (F.512) and trade credits and advances (F.81). Sufficient consistency is achieved for the general government sector, for which quarterly discrepancy does not exceed 2% of the quarterly GDP.</w:t>
      </w:r>
    </w:p>
    <w:p w14:paraId="76E714B4" w14:textId="77777777" w:rsidR="00A6030C" w:rsidRPr="00A6030C" w:rsidRDefault="00A6030C" w:rsidP="00A6030C">
      <w:pPr>
        <w:spacing w:after="0" w:line="276" w:lineRule="auto"/>
        <w:jc w:val="both"/>
        <w:rPr>
          <w:rFonts w:ascii="Times New Roman" w:eastAsia="Calibri" w:hAnsi="Times New Roman" w:cs="Times New Roman"/>
        </w:rPr>
      </w:pPr>
      <w:r w:rsidRPr="00A6030C">
        <w:rPr>
          <w:rFonts w:ascii="Times New Roman" w:eastAsia="Calibri" w:hAnsi="Times New Roman" w:cs="Times New Roman"/>
        </w:rPr>
        <w:lastRenderedPageBreak/>
        <w:t>Target for maximum difference of net lending/net borrowing:</w:t>
      </w:r>
    </w:p>
    <w:tbl>
      <w:tblPr>
        <w:tblStyle w:val="TableGrid"/>
        <w:tblW w:w="9209" w:type="dxa"/>
        <w:tblLook w:val="04A0" w:firstRow="1" w:lastRow="0" w:firstColumn="1" w:lastColumn="0" w:noHBand="0" w:noVBand="1"/>
      </w:tblPr>
      <w:tblGrid>
        <w:gridCol w:w="1329"/>
        <w:gridCol w:w="1499"/>
        <w:gridCol w:w="1420"/>
        <w:gridCol w:w="1843"/>
        <w:gridCol w:w="1701"/>
        <w:gridCol w:w="1417"/>
      </w:tblGrid>
      <w:tr w:rsidR="00A6030C" w:rsidRPr="00A6030C" w14:paraId="1C127F51" w14:textId="77777777" w:rsidTr="00BE05AB">
        <w:tc>
          <w:tcPr>
            <w:tcW w:w="1329" w:type="dxa"/>
            <w:vMerge w:val="restart"/>
            <w:vAlign w:val="bottom"/>
          </w:tcPr>
          <w:p w14:paraId="1A124204" w14:textId="77777777" w:rsidR="00A6030C" w:rsidRPr="00A6030C" w:rsidRDefault="00A6030C" w:rsidP="00A6030C">
            <w:pPr>
              <w:spacing w:line="276" w:lineRule="auto"/>
              <w:rPr>
                <w:rFonts w:ascii="Times New Roman" w:hAnsi="Times New Roman"/>
              </w:rPr>
            </w:pPr>
            <w:r w:rsidRPr="00A6030C">
              <w:rPr>
                <w:rFonts w:ascii="Times New Roman" w:hAnsi="Times New Roman"/>
              </w:rPr>
              <w:t>Adjustments to improve vertical consistency</w:t>
            </w:r>
          </w:p>
        </w:tc>
        <w:tc>
          <w:tcPr>
            <w:tcW w:w="6463" w:type="dxa"/>
            <w:gridSpan w:val="4"/>
          </w:tcPr>
          <w:p w14:paraId="497B5A69" w14:textId="77777777" w:rsidR="00A6030C" w:rsidRPr="00A6030C" w:rsidRDefault="00A6030C" w:rsidP="00A6030C">
            <w:pPr>
              <w:spacing w:line="276" w:lineRule="auto"/>
              <w:rPr>
                <w:rFonts w:ascii="Times New Roman" w:hAnsi="Times New Roman"/>
              </w:rPr>
            </w:pPr>
            <w:r w:rsidRPr="00A6030C">
              <w:rPr>
                <w:rFonts w:ascii="Times New Roman" w:hAnsi="Times New Roman"/>
              </w:rPr>
              <w:t>Target for maximum difference of net lending/net borrowing between financial and non-financial accounts (4-quarter sums / annual data).</w:t>
            </w:r>
          </w:p>
        </w:tc>
        <w:tc>
          <w:tcPr>
            <w:tcW w:w="1417" w:type="dxa"/>
            <w:vMerge w:val="restart"/>
            <w:vAlign w:val="bottom"/>
          </w:tcPr>
          <w:p w14:paraId="1C484883" w14:textId="77777777" w:rsidR="00A6030C" w:rsidRPr="00A6030C" w:rsidRDefault="00A6030C" w:rsidP="00A6030C">
            <w:pPr>
              <w:spacing w:line="276" w:lineRule="auto"/>
              <w:jc w:val="both"/>
              <w:rPr>
                <w:rFonts w:ascii="Times New Roman" w:hAnsi="Times New Roman"/>
              </w:rPr>
            </w:pPr>
            <w:r w:rsidRPr="00A6030C">
              <w:rPr>
                <w:rFonts w:ascii="Times New Roman" w:hAnsi="Times New Roman"/>
              </w:rPr>
              <w:t>Recon-ciliation every quarter</w:t>
            </w:r>
          </w:p>
        </w:tc>
      </w:tr>
      <w:tr w:rsidR="00A6030C" w:rsidRPr="00A6030C" w14:paraId="6962F27E" w14:textId="77777777" w:rsidTr="00BE05AB">
        <w:tc>
          <w:tcPr>
            <w:tcW w:w="1329" w:type="dxa"/>
            <w:vMerge/>
          </w:tcPr>
          <w:p w14:paraId="0CAB02F9" w14:textId="77777777" w:rsidR="00A6030C" w:rsidRPr="00A6030C" w:rsidRDefault="00A6030C" w:rsidP="00A6030C">
            <w:pPr>
              <w:spacing w:line="276" w:lineRule="auto"/>
              <w:jc w:val="both"/>
              <w:rPr>
                <w:rFonts w:ascii="Times New Roman" w:hAnsi="Times New Roman"/>
              </w:rPr>
            </w:pPr>
          </w:p>
        </w:tc>
        <w:tc>
          <w:tcPr>
            <w:tcW w:w="1499" w:type="dxa"/>
          </w:tcPr>
          <w:p w14:paraId="179DB4F2" w14:textId="77777777" w:rsidR="00A6030C" w:rsidRPr="00A6030C" w:rsidRDefault="00A6030C" w:rsidP="00A6030C">
            <w:pPr>
              <w:spacing w:line="276" w:lineRule="auto"/>
              <w:rPr>
                <w:rFonts w:ascii="Times New Roman" w:hAnsi="Times New Roman"/>
              </w:rPr>
            </w:pPr>
            <w:r w:rsidRPr="00A6030C">
              <w:rPr>
                <w:rFonts w:ascii="Times New Roman" w:hAnsi="Times New Roman"/>
              </w:rPr>
              <w:t>Non-financial corporations S.11</w:t>
            </w:r>
          </w:p>
        </w:tc>
        <w:tc>
          <w:tcPr>
            <w:tcW w:w="1420" w:type="dxa"/>
          </w:tcPr>
          <w:p w14:paraId="18335B05" w14:textId="77777777" w:rsidR="00A6030C" w:rsidRPr="00A6030C" w:rsidRDefault="00A6030C" w:rsidP="00A6030C">
            <w:pPr>
              <w:spacing w:line="276" w:lineRule="auto"/>
              <w:jc w:val="both"/>
              <w:rPr>
                <w:rFonts w:ascii="Times New Roman" w:hAnsi="Times New Roman"/>
              </w:rPr>
            </w:pPr>
            <w:r w:rsidRPr="00A6030C">
              <w:rPr>
                <w:rFonts w:ascii="Times New Roman" w:hAnsi="Times New Roman"/>
              </w:rPr>
              <w:t>Financial corporations S.12</w:t>
            </w:r>
          </w:p>
        </w:tc>
        <w:tc>
          <w:tcPr>
            <w:tcW w:w="1843" w:type="dxa"/>
          </w:tcPr>
          <w:p w14:paraId="05377DA7" w14:textId="77777777" w:rsidR="00A6030C" w:rsidRPr="00A6030C" w:rsidRDefault="00A6030C" w:rsidP="00A6030C">
            <w:pPr>
              <w:spacing w:line="276" w:lineRule="auto"/>
              <w:rPr>
                <w:rFonts w:ascii="Times New Roman" w:hAnsi="Times New Roman"/>
              </w:rPr>
            </w:pPr>
            <w:r w:rsidRPr="00A6030C">
              <w:rPr>
                <w:rFonts w:ascii="Times New Roman" w:hAnsi="Times New Roman"/>
              </w:rPr>
              <w:t>Households including NPISHs S.1M</w:t>
            </w:r>
          </w:p>
        </w:tc>
        <w:tc>
          <w:tcPr>
            <w:tcW w:w="1701" w:type="dxa"/>
            <w:vAlign w:val="bottom"/>
          </w:tcPr>
          <w:p w14:paraId="3CDC10F0" w14:textId="77777777" w:rsidR="00A6030C" w:rsidRPr="00A6030C" w:rsidRDefault="00A6030C" w:rsidP="00A6030C">
            <w:pPr>
              <w:spacing w:line="276" w:lineRule="auto"/>
              <w:jc w:val="both"/>
              <w:rPr>
                <w:rFonts w:ascii="Times New Roman" w:hAnsi="Times New Roman"/>
              </w:rPr>
            </w:pPr>
            <w:r w:rsidRPr="00A6030C">
              <w:rPr>
                <w:rFonts w:ascii="Times New Roman" w:hAnsi="Times New Roman"/>
              </w:rPr>
              <w:t>Rest of the world S.2</w:t>
            </w:r>
          </w:p>
        </w:tc>
        <w:tc>
          <w:tcPr>
            <w:tcW w:w="1417" w:type="dxa"/>
            <w:vMerge/>
          </w:tcPr>
          <w:p w14:paraId="6182938A" w14:textId="77777777" w:rsidR="00A6030C" w:rsidRPr="00A6030C" w:rsidRDefault="00A6030C" w:rsidP="00A6030C">
            <w:pPr>
              <w:spacing w:line="276" w:lineRule="auto"/>
              <w:jc w:val="both"/>
              <w:rPr>
                <w:rFonts w:ascii="Times New Roman" w:hAnsi="Times New Roman"/>
              </w:rPr>
            </w:pPr>
          </w:p>
        </w:tc>
      </w:tr>
      <w:tr w:rsidR="00A6030C" w:rsidRPr="00A6030C" w14:paraId="08BA3201" w14:textId="77777777" w:rsidTr="00BE05AB">
        <w:tc>
          <w:tcPr>
            <w:tcW w:w="1329" w:type="dxa"/>
          </w:tcPr>
          <w:p w14:paraId="13FDB20E" w14:textId="317C32B0" w:rsidR="00A6030C" w:rsidRPr="00A6030C" w:rsidRDefault="00A6030C" w:rsidP="00A6030C">
            <w:pPr>
              <w:spacing w:line="276" w:lineRule="auto"/>
              <w:jc w:val="both"/>
              <w:rPr>
                <w:rFonts w:ascii="Times New Roman" w:hAnsi="Times New Roman"/>
              </w:rPr>
            </w:pPr>
            <w:r w:rsidRPr="00A6030C">
              <w:rPr>
                <w:rFonts w:ascii="Times New Roman" w:hAnsi="Times New Roman"/>
              </w:rPr>
              <w:t>F.512</w:t>
            </w:r>
            <w:r>
              <w:rPr>
                <w:rFonts w:ascii="Times New Roman" w:hAnsi="Times New Roman"/>
              </w:rPr>
              <w:t>;</w:t>
            </w:r>
            <w:r>
              <w:t xml:space="preserve"> </w:t>
            </w:r>
            <w:r w:rsidRPr="00A6030C">
              <w:rPr>
                <w:rFonts w:ascii="Times New Roman" w:hAnsi="Times New Roman"/>
              </w:rPr>
              <w:t>F.81</w:t>
            </w:r>
          </w:p>
        </w:tc>
        <w:tc>
          <w:tcPr>
            <w:tcW w:w="1499" w:type="dxa"/>
          </w:tcPr>
          <w:p w14:paraId="06A4743E" w14:textId="2267D0D3" w:rsidR="00A6030C" w:rsidRPr="00A6030C" w:rsidRDefault="00A6030C" w:rsidP="00A6030C">
            <w:pPr>
              <w:spacing w:line="276" w:lineRule="auto"/>
              <w:rPr>
                <w:rFonts w:ascii="Times New Roman" w:hAnsi="Times New Roman"/>
              </w:rPr>
            </w:pPr>
            <w:r w:rsidRPr="00A6030C">
              <w:rPr>
                <w:rFonts w:ascii="Times New Roman" w:hAnsi="Times New Roman"/>
              </w:rPr>
              <w:t>2% of GDP</w:t>
            </w:r>
            <w:r w:rsidRPr="00A6030C">
              <w:rPr>
                <w:rFonts w:ascii="Times New Roman" w:hAnsi="Times New Roman"/>
                <w:vertAlign w:val="superscript"/>
              </w:rPr>
              <w:t>)</w:t>
            </w:r>
          </w:p>
        </w:tc>
        <w:tc>
          <w:tcPr>
            <w:tcW w:w="1420" w:type="dxa"/>
          </w:tcPr>
          <w:p w14:paraId="6E0C27FE" w14:textId="673BB438" w:rsidR="00A6030C" w:rsidRPr="00A6030C" w:rsidRDefault="00A6030C" w:rsidP="00A6030C">
            <w:pPr>
              <w:spacing w:line="276" w:lineRule="auto"/>
              <w:jc w:val="both"/>
              <w:rPr>
                <w:rFonts w:ascii="Times New Roman" w:hAnsi="Times New Roman"/>
              </w:rPr>
            </w:pPr>
            <w:r w:rsidRPr="00A6030C">
              <w:rPr>
                <w:rFonts w:ascii="Times New Roman" w:hAnsi="Times New Roman"/>
              </w:rPr>
              <w:t xml:space="preserve">2% of GDP </w:t>
            </w:r>
          </w:p>
        </w:tc>
        <w:tc>
          <w:tcPr>
            <w:tcW w:w="1843" w:type="dxa"/>
          </w:tcPr>
          <w:p w14:paraId="63672153" w14:textId="079B4D0D" w:rsidR="00A6030C" w:rsidRPr="00A6030C" w:rsidRDefault="00A6030C" w:rsidP="00A6030C">
            <w:pPr>
              <w:spacing w:line="276" w:lineRule="auto"/>
              <w:rPr>
                <w:rFonts w:ascii="Times New Roman" w:hAnsi="Times New Roman"/>
              </w:rPr>
            </w:pPr>
            <w:r w:rsidRPr="00A6030C">
              <w:rPr>
                <w:rFonts w:ascii="Times New Roman" w:hAnsi="Times New Roman"/>
              </w:rPr>
              <w:t xml:space="preserve">2% of GDP </w:t>
            </w:r>
          </w:p>
        </w:tc>
        <w:tc>
          <w:tcPr>
            <w:tcW w:w="1701" w:type="dxa"/>
          </w:tcPr>
          <w:p w14:paraId="06765648" w14:textId="65C8E866" w:rsidR="00A6030C" w:rsidRPr="00A6030C" w:rsidRDefault="00A6030C" w:rsidP="00A6030C">
            <w:pPr>
              <w:spacing w:line="276" w:lineRule="auto"/>
              <w:jc w:val="both"/>
              <w:rPr>
                <w:rFonts w:ascii="Times New Roman" w:hAnsi="Times New Roman"/>
              </w:rPr>
            </w:pPr>
            <w:r w:rsidRPr="00A6030C">
              <w:rPr>
                <w:rFonts w:ascii="Times New Roman" w:hAnsi="Times New Roman"/>
              </w:rPr>
              <w:t xml:space="preserve">= NEOs in Bop </w:t>
            </w:r>
            <w:r w:rsidRPr="00A6030C">
              <w:rPr>
                <w:rFonts w:ascii="Times New Roman" w:hAnsi="Times New Roman"/>
                <w:vertAlign w:val="superscript"/>
              </w:rPr>
              <w:t>1)</w:t>
            </w:r>
          </w:p>
        </w:tc>
        <w:tc>
          <w:tcPr>
            <w:tcW w:w="1417" w:type="dxa"/>
          </w:tcPr>
          <w:p w14:paraId="04D8B591" w14:textId="77777777" w:rsidR="00A6030C" w:rsidRPr="00A6030C" w:rsidRDefault="00A6030C" w:rsidP="00A6030C">
            <w:pPr>
              <w:spacing w:line="276" w:lineRule="auto"/>
              <w:jc w:val="both"/>
              <w:rPr>
                <w:rFonts w:ascii="Times New Roman" w:hAnsi="Times New Roman"/>
              </w:rPr>
            </w:pPr>
            <w:r w:rsidRPr="00A6030C">
              <w:rPr>
                <w:rFonts w:ascii="Times New Roman" w:hAnsi="Times New Roman"/>
              </w:rPr>
              <w:t>No</w:t>
            </w:r>
          </w:p>
        </w:tc>
      </w:tr>
    </w:tbl>
    <w:p w14:paraId="74601556" w14:textId="7A7C0233" w:rsidR="00A6030C" w:rsidRPr="00A6030C" w:rsidRDefault="00A6030C" w:rsidP="00A6030C">
      <w:pPr>
        <w:spacing w:after="0" w:line="276" w:lineRule="auto"/>
        <w:jc w:val="both"/>
        <w:rPr>
          <w:rFonts w:ascii="Times New Roman" w:eastAsia="Calibri" w:hAnsi="Times New Roman" w:cs="Times New Roman"/>
        </w:rPr>
      </w:pPr>
      <w:r>
        <w:rPr>
          <w:rFonts w:ascii="Calibri" w:eastAsia="Calibri" w:hAnsi="Calibri" w:cs="Calibri"/>
          <w:color w:val="000000"/>
          <w:sz w:val="18"/>
          <w:szCs w:val="18"/>
        </w:rPr>
        <w:t>1</w:t>
      </w:r>
      <w:r w:rsidRPr="00A6030C">
        <w:rPr>
          <w:rFonts w:ascii="Calibri" w:eastAsia="Calibri" w:hAnsi="Calibri" w:cs="Calibri"/>
          <w:color w:val="000000"/>
          <w:sz w:val="18"/>
          <w:szCs w:val="18"/>
        </w:rPr>
        <w:t>) The rest of the world (S.2) is consistent with the balance of payments (</w:t>
      </w:r>
      <w:proofErr w:type="spellStart"/>
      <w:r w:rsidRPr="00A6030C">
        <w:rPr>
          <w:rFonts w:ascii="Calibri" w:eastAsia="Calibri" w:hAnsi="Calibri" w:cs="Calibri"/>
          <w:color w:val="000000"/>
          <w:sz w:val="18"/>
          <w:szCs w:val="18"/>
        </w:rPr>
        <w:t>BoP</w:t>
      </w:r>
      <w:proofErr w:type="spellEnd"/>
      <w:r w:rsidRPr="00A6030C">
        <w:rPr>
          <w:rFonts w:ascii="Calibri" w:eastAsia="Calibri" w:hAnsi="Calibri" w:cs="Calibri"/>
          <w:color w:val="000000"/>
          <w:sz w:val="18"/>
          <w:szCs w:val="18"/>
        </w:rPr>
        <w:t xml:space="preserve">); as a result, the vertical discrepancy for S.2 is equal to the net errors and omissions (NEOs) in </w:t>
      </w:r>
      <w:proofErr w:type="spellStart"/>
      <w:r w:rsidRPr="00A6030C">
        <w:rPr>
          <w:rFonts w:ascii="Calibri" w:eastAsia="Calibri" w:hAnsi="Calibri" w:cs="Calibri"/>
          <w:color w:val="000000"/>
          <w:sz w:val="18"/>
          <w:szCs w:val="18"/>
        </w:rPr>
        <w:t>BoP</w:t>
      </w:r>
      <w:proofErr w:type="spellEnd"/>
    </w:p>
    <w:p w14:paraId="53C7E6E2" w14:textId="77777777" w:rsidR="00A6030C" w:rsidRPr="00675805" w:rsidRDefault="00A6030C" w:rsidP="00E700F4">
      <w:pPr>
        <w:spacing w:line="280" w:lineRule="exact"/>
        <w:jc w:val="both"/>
        <w:rPr>
          <w:rFonts w:ascii="Calibri" w:hAnsi="Calibri" w:cs="Arial"/>
          <w:iCs/>
          <w:sz w:val="24"/>
          <w:szCs w:val="24"/>
        </w:rPr>
      </w:pPr>
    </w:p>
    <w:p w14:paraId="4DD97E1B" w14:textId="0711D3E1"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C.4.2 “Time” and back data consistency</w:t>
      </w:r>
      <w:r w:rsidR="009E6B4D" w:rsidRPr="00675805">
        <w:rPr>
          <w:rFonts w:ascii="Calibri" w:hAnsi="Calibri" w:cs="Arial"/>
          <w:b/>
          <w:i/>
          <w:iCs/>
          <w:sz w:val="24"/>
          <w:szCs w:val="24"/>
        </w:rPr>
        <w:t xml:space="preserve"> (SIMS 15.2)</w:t>
      </w:r>
    </w:p>
    <w:p w14:paraId="0502161B" w14:textId="672CE9AB" w:rsidR="009D3402" w:rsidRPr="00675805" w:rsidRDefault="008126F6" w:rsidP="009D3402">
      <w:pPr>
        <w:pStyle w:val="CMFBText"/>
        <w:rPr>
          <w:highlight w:val="yellow"/>
        </w:rPr>
      </w:pPr>
      <w:r w:rsidRPr="008126F6">
        <w:t>Annual and quarterly financial accounts, based on ESA 2010, are available from 1995 and there are no breaks in the time series. The QFAGG are available from Q4 1998 for stocks and from Q1 1999 for transactions and there are no breaks in the time series.</w:t>
      </w:r>
    </w:p>
    <w:p w14:paraId="4F04F08C" w14:textId="77777777" w:rsidR="00E700F4" w:rsidRPr="00675805" w:rsidRDefault="00E700F4" w:rsidP="00E700F4">
      <w:pPr>
        <w:spacing w:line="280" w:lineRule="exact"/>
        <w:jc w:val="both"/>
        <w:rPr>
          <w:rFonts w:ascii="Calibri" w:hAnsi="Calibri" w:cs="Arial"/>
          <w:iCs/>
          <w:sz w:val="24"/>
          <w:szCs w:val="24"/>
        </w:rPr>
      </w:pPr>
    </w:p>
    <w:p w14:paraId="0B8D0022" w14:textId="67AB6F0F"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C.4.3 Consistency across frequencies</w:t>
      </w:r>
      <w:r w:rsidR="009E6B4D" w:rsidRPr="00675805">
        <w:rPr>
          <w:rFonts w:ascii="Calibri" w:hAnsi="Calibri" w:cs="Arial"/>
          <w:b/>
          <w:i/>
          <w:iCs/>
          <w:sz w:val="24"/>
          <w:szCs w:val="24"/>
        </w:rPr>
        <w:t xml:space="preserve"> (SIMS 15.2)</w:t>
      </w:r>
    </w:p>
    <w:p w14:paraId="483327DE" w14:textId="77777777" w:rsidR="008126F6" w:rsidRDefault="008126F6" w:rsidP="008126F6">
      <w:pPr>
        <w:pStyle w:val="CMFBText"/>
      </w:pPr>
      <w:r w:rsidRPr="008126F6">
        <w:t xml:space="preserve">Quarterly and annual financial accounts are fully consistent. Annual financial accounts are compiled from quarterly financial accounts as the sum of four quarters. </w:t>
      </w:r>
    </w:p>
    <w:p w14:paraId="35F40EBA" w14:textId="109F3EA6" w:rsidR="00E700F4" w:rsidRPr="00675805" w:rsidRDefault="00E700F4" w:rsidP="008126F6">
      <w:pPr>
        <w:pStyle w:val="CMFBText"/>
        <w:rPr>
          <w:rFonts w:ascii="Calibri" w:hAnsi="Calibri" w:cs="Arial"/>
          <w:b/>
        </w:rPr>
      </w:pPr>
      <w:r w:rsidRPr="00675805">
        <w:rPr>
          <w:rFonts w:ascii="Calibri" w:hAnsi="Calibri" w:cs="Arial"/>
          <w:b/>
        </w:rPr>
        <w:t>CoP15 Accessibility and Clarity/ CoP15 Accessibility and Clarity</w:t>
      </w:r>
    </w:p>
    <w:p w14:paraId="6EE5D853" w14:textId="3C0D73E1"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C.5.1 Data</w:t>
      </w:r>
      <w:r w:rsidR="009E6B4D" w:rsidRPr="00675805">
        <w:rPr>
          <w:rFonts w:ascii="Calibri" w:hAnsi="Calibri" w:cs="Arial"/>
          <w:b/>
          <w:i/>
          <w:iCs/>
          <w:sz w:val="24"/>
          <w:szCs w:val="24"/>
        </w:rPr>
        <w:t xml:space="preserve"> (SIMS </w:t>
      </w:r>
      <w:r w:rsidR="009D3402" w:rsidRPr="00675805">
        <w:rPr>
          <w:rFonts w:ascii="Calibri" w:hAnsi="Calibri" w:cs="Arial"/>
          <w:b/>
          <w:i/>
          <w:iCs/>
          <w:sz w:val="24"/>
          <w:szCs w:val="24"/>
        </w:rPr>
        <w:t>8.3 and 10</w:t>
      </w:r>
      <w:r w:rsidR="009E6B4D" w:rsidRPr="00675805">
        <w:rPr>
          <w:rFonts w:ascii="Calibri" w:hAnsi="Calibri" w:cs="Arial"/>
          <w:b/>
          <w:i/>
          <w:iCs/>
          <w:sz w:val="24"/>
          <w:szCs w:val="24"/>
        </w:rPr>
        <w:t>)</w:t>
      </w:r>
    </w:p>
    <w:p w14:paraId="70BC4844" w14:textId="77777777" w:rsidR="00A2653B" w:rsidRPr="00A2653B" w:rsidRDefault="00A2653B" w:rsidP="00A2653B">
      <w:pPr>
        <w:spacing w:after="0" w:line="276" w:lineRule="auto"/>
        <w:jc w:val="both"/>
        <w:rPr>
          <w:rFonts w:ascii="Times New Roman" w:eastAsia="Calibri" w:hAnsi="Times New Roman" w:cs="Times New Roman"/>
        </w:rPr>
      </w:pPr>
      <w:r w:rsidRPr="00A2653B">
        <w:rPr>
          <w:rFonts w:ascii="Times New Roman" w:eastAsia="Calibri" w:hAnsi="Times New Roman" w:cs="Times New Roman"/>
        </w:rPr>
        <w:t>Annual financial accounts are published on the website of the Bank of Lithuania:</w:t>
      </w:r>
    </w:p>
    <w:p w14:paraId="022D4055" w14:textId="77777777" w:rsidR="00A2653B" w:rsidRPr="00A2653B" w:rsidRDefault="00A2653B" w:rsidP="00A2653B">
      <w:pPr>
        <w:spacing w:after="0" w:line="276" w:lineRule="auto"/>
        <w:jc w:val="both"/>
        <w:rPr>
          <w:rFonts w:ascii="Times New Roman" w:eastAsia="Calibri" w:hAnsi="Times New Roman" w:cs="Times New Roman"/>
        </w:rPr>
      </w:pPr>
      <w:hyperlink r:id="rId15" w:anchor="group-3339" w:history="1">
        <w:r w:rsidRPr="00A2653B">
          <w:rPr>
            <w:rFonts w:ascii="Times New Roman" w:eastAsia="Calibri" w:hAnsi="Times New Roman" w:cs="Times New Roman"/>
            <w:color w:val="0000FF"/>
            <w:u w:val="single"/>
          </w:rPr>
          <w:t>Statistics in brief</w:t>
        </w:r>
      </w:hyperlink>
    </w:p>
    <w:p w14:paraId="1D09B873" w14:textId="77777777" w:rsidR="00A2653B" w:rsidRPr="00A2653B" w:rsidRDefault="00A2653B" w:rsidP="00A2653B">
      <w:pPr>
        <w:spacing w:after="0" w:line="276" w:lineRule="auto"/>
        <w:jc w:val="both"/>
        <w:rPr>
          <w:rFonts w:ascii="Times New Roman" w:eastAsia="Calibri" w:hAnsi="Times New Roman" w:cs="Times New Roman"/>
        </w:rPr>
      </w:pPr>
      <w:r w:rsidRPr="00A2653B">
        <w:rPr>
          <w:rFonts w:ascii="Times New Roman" w:eastAsia="Calibri" w:hAnsi="Times New Roman" w:cs="Times New Roman"/>
        </w:rPr>
        <w:t>Quarterly financial accounts are published on the website of the Bank of Lithuania:</w:t>
      </w:r>
    </w:p>
    <w:p w14:paraId="18F5D6C5" w14:textId="77777777" w:rsidR="00A2653B" w:rsidRPr="00A2653B" w:rsidRDefault="00A2653B" w:rsidP="00A2653B">
      <w:pPr>
        <w:spacing w:after="0" w:line="276" w:lineRule="auto"/>
        <w:jc w:val="both"/>
        <w:rPr>
          <w:rFonts w:ascii="Times New Roman" w:eastAsia="Calibri" w:hAnsi="Times New Roman" w:cs="Times New Roman"/>
          <w:color w:val="0000FF"/>
          <w:u w:val="single"/>
        </w:rPr>
      </w:pPr>
      <w:r w:rsidRPr="00A2653B">
        <w:rPr>
          <w:rFonts w:ascii="Times New Roman" w:eastAsia="Calibri" w:hAnsi="Times New Roman" w:cs="Times New Roman"/>
        </w:rPr>
        <w:fldChar w:fldCharType="begin"/>
      </w:r>
      <w:r w:rsidRPr="00A2653B">
        <w:rPr>
          <w:rFonts w:ascii="Times New Roman" w:eastAsia="Calibri" w:hAnsi="Times New Roman" w:cs="Times New Roman"/>
        </w:rPr>
        <w:instrText xml:space="preserve"> HYPERLINK "https://www.lb.lt/en/financial-accounts-statistics" </w:instrText>
      </w:r>
      <w:r w:rsidRPr="00A2653B">
        <w:rPr>
          <w:rFonts w:ascii="Times New Roman" w:eastAsia="Calibri" w:hAnsi="Times New Roman" w:cs="Times New Roman"/>
        </w:rPr>
      </w:r>
      <w:r w:rsidRPr="00A2653B">
        <w:rPr>
          <w:rFonts w:ascii="Times New Roman" w:eastAsia="Calibri" w:hAnsi="Times New Roman" w:cs="Times New Roman"/>
        </w:rPr>
        <w:fldChar w:fldCharType="separate"/>
      </w:r>
      <w:r w:rsidRPr="00A2653B">
        <w:rPr>
          <w:rFonts w:ascii="Times New Roman" w:eastAsia="Calibri" w:hAnsi="Times New Roman" w:cs="Times New Roman"/>
          <w:color w:val="0000FF"/>
          <w:u w:val="single"/>
        </w:rPr>
        <w:t>Financial accounts statistics</w:t>
      </w:r>
    </w:p>
    <w:p w14:paraId="073555BE" w14:textId="5892D982" w:rsidR="00A2653B" w:rsidRPr="00A2653B" w:rsidRDefault="00A2653B" w:rsidP="00A2653B">
      <w:pPr>
        <w:spacing w:after="0" w:line="276" w:lineRule="auto"/>
        <w:jc w:val="both"/>
        <w:rPr>
          <w:rFonts w:ascii="Times New Roman" w:eastAsia="Calibri" w:hAnsi="Times New Roman" w:cs="Times New Roman"/>
        </w:rPr>
      </w:pPr>
      <w:r w:rsidRPr="00A2653B">
        <w:rPr>
          <w:rFonts w:ascii="Times New Roman" w:eastAsia="Calibri" w:hAnsi="Times New Roman" w:cs="Times New Roman"/>
        </w:rPr>
        <w:fldChar w:fldCharType="end"/>
      </w:r>
      <w:r w:rsidRPr="00A2653B">
        <w:rPr>
          <w:rFonts w:ascii="Times New Roman" w:eastAsia="Calibri" w:hAnsi="Times New Roman" w:cs="Times New Roman"/>
        </w:rPr>
        <w:t xml:space="preserve">Quarterly financial accounts of general government are published on the </w:t>
      </w:r>
      <w:hyperlink r:id="rId16" w:anchor="/" w:history="1">
        <w:r w:rsidRPr="00A2653B">
          <w:rPr>
            <w:rFonts w:ascii="Times New Roman" w:eastAsia="Calibri" w:hAnsi="Times New Roman" w:cs="Times New Roman"/>
            <w:color w:val="0000FF"/>
            <w:u w:val="single"/>
          </w:rPr>
          <w:t>Official Statistics Portal</w:t>
        </w:r>
      </w:hyperlink>
      <w:r w:rsidRPr="00A2653B">
        <w:rPr>
          <w:rFonts w:ascii="Times New Roman" w:eastAsia="Calibri" w:hAnsi="Times New Roman" w:cs="Times New Roman"/>
        </w:rPr>
        <w:t>.</w:t>
      </w:r>
    </w:p>
    <w:p w14:paraId="2A3CF685" w14:textId="24272148" w:rsidR="00A2653B" w:rsidRPr="00A2653B" w:rsidRDefault="00A2653B" w:rsidP="00A2653B">
      <w:pPr>
        <w:spacing w:after="0" w:line="276" w:lineRule="auto"/>
        <w:jc w:val="both"/>
        <w:rPr>
          <w:rFonts w:ascii="Times New Roman" w:eastAsia="Calibri" w:hAnsi="Times New Roman" w:cs="Times New Roman"/>
        </w:rPr>
      </w:pPr>
      <w:r w:rsidRPr="00A2653B">
        <w:rPr>
          <w:rFonts w:ascii="Times New Roman" w:eastAsia="Calibri" w:hAnsi="Times New Roman" w:cs="Times New Roman"/>
        </w:rPr>
        <w:t>Financial accounts data are available on the websites of the ECB, Eurostat and the OECD as well.</w:t>
      </w:r>
    </w:p>
    <w:p w14:paraId="7FCA1392" w14:textId="77777777" w:rsidR="00A2653B" w:rsidRPr="00A2653B" w:rsidRDefault="00A2653B" w:rsidP="00A2653B">
      <w:pPr>
        <w:spacing w:after="0" w:line="276" w:lineRule="auto"/>
        <w:jc w:val="both"/>
        <w:rPr>
          <w:rFonts w:ascii="Times New Roman" w:eastAsia="Calibri" w:hAnsi="Times New Roman" w:cs="Times New Roman"/>
          <w:color w:val="0000FF"/>
          <w:u w:val="single"/>
          <w:lang w:val="pl-PL"/>
        </w:rPr>
      </w:pPr>
      <w:r w:rsidRPr="00A2653B">
        <w:rPr>
          <w:rFonts w:ascii="Times New Roman" w:eastAsia="Calibri" w:hAnsi="Times New Roman" w:cs="Times New Roman"/>
          <w:lang w:val="pl-PL"/>
        </w:rPr>
        <w:t xml:space="preserve">ECB: </w:t>
      </w:r>
      <w:r>
        <w:fldChar w:fldCharType="begin"/>
      </w:r>
      <w:r>
        <w:instrText>HYPERLINK "https://data.ecb.europa.eu/data/data-categories" \l "financial-accounts"</w:instrText>
      </w:r>
      <w:r>
        <w:fldChar w:fldCharType="separate"/>
      </w:r>
      <w:r w:rsidRPr="00A2653B">
        <w:rPr>
          <w:rFonts w:ascii="Times New Roman" w:eastAsia="Calibri" w:hAnsi="Times New Roman" w:cs="Times New Roman"/>
          <w:color w:val="0000FF"/>
          <w:u w:val="single"/>
          <w:lang w:val="pl-PL"/>
        </w:rPr>
        <w:t>https://data.ecb.europa.eu/data/data-categories#financial-accounts</w:t>
      </w:r>
      <w:r>
        <w:fldChar w:fldCharType="end"/>
      </w:r>
    </w:p>
    <w:p w14:paraId="065DBE48" w14:textId="77777777" w:rsidR="00A2653B" w:rsidRPr="00A2653B" w:rsidRDefault="00A2653B" w:rsidP="00A2653B">
      <w:pPr>
        <w:spacing w:after="0" w:line="276" w:lineRule="auto"/>
        <w:jc w:val="both"/>
        <w:rPr>
          <w:rFonts w:ascii="Times New Roman" w:eastAsia="Calibri" w:hAnsi="Times New Roman" w:cs="Times New Roman"/>
          <w:color w:val="0000FF"/>
          <w:u w:val="single"/>
          <w:lang w:val="pl-PL"/>
        </w:rPr>
      </w:pPr>
      <w:r w:rsidRPr="00A2653B">
        <w:rPr>
          <w:rFonts w:ascii="Times New Roman" w:eastAsia="Calibri" w:hAnsi="Times New Roman" w:cs="Times New Roman"/>
          <w:lang w:val="pl-PL"/>
        </w:rPr>
        <w:t xml:space="preserve">Eurostat: </w:t>
      </w:r>
      <w:hyperlink r:id="rId17" w:history="1">
        <w:r w:rsidRPr="00A2653B">
          <w:rPr>
            <w:rFonts w:ascii="Times New Roman" w:eastAsia="Calibri" w:hAnsi="Times New Roman" w:cs="Times New Roman"/>
            <w:color w:val="0000FF"/>
            <w:u w:val="single"/>
            <w:lang w:val="pl-PL"/>
          </w:rPr>
          <w:t>http://ec.europa.eu/eurostat/data/database</w:t>
        </w:r>
      </w:hyperlink>
    </w:p>
    <w:p w14:paraId="17429661" w14:textId="5559758B" w:rsidR="009D3402" w:rsidRDefault="00A2653B" w:rsidP="00A2653B">
      <w:pPr>
        <w:pStyle w:val="CMFBText"/>
        <w:spacing w:before="0"/>
        <w:rPr>
          <w:rFonts w:ascii="Calibri" w:hAnsi="Calibri"/>
          <w:color w:val="0000FF"/>
          <w:szCs w:val="22"/>
          <w:u w:val="single"/>
        </w:rPr>
      </w:pPr>
      <w:r w:rsidRPr="00A2653B">
        <w:rPr>
          <w:szCs w:val="22"/>
        </w:rPr>
        <w:t>OECD</w:t>
      </w:r>
      <w:r w:rsidRPr="00A2653B">
        <w:rPr>
          <w:rFonts w:ascii="Calibri" w:hAnsi="Calibri"/>
          <w:szCs w:val="22"/>
        </w:rPr>
        <w:t xml:space="preserve">: </w:t>
      </w:r>
      <w:hyperlink r:id="rId18" w:history="1">
        <w:r w:rsidRPr="00A2653B">
          <w:rPr>
            <w:rFonts w:ascii="Calibri" w:hAnsi="Calibri"/>
            <w:color w:val="0000FF"/>
            <w:szCs w:val="22"/>
            <w:u w:val="single"/>
          </w:rPr>
          <w:t>http://stats.oecd.org/</w:t>
        </w:r>
      </w:hyperlink>
    </w:p>
    <w:p w14:paraId="36729656" w14:textId="77777777" w:rsidR="00A2653B" w:rsidRDefault="00A2653B" w:rsidP="00E700F4">
      <w:pPr>
        <w:spacing w:line="280" w:lineRule="exact"/>
        <w:jc w:val="both"/>
        <w:rPr>
          <w:rFonts w:ascii="Calibri" w:hAnsi="Calibri" w:cs="Arial"/>
          <w:b/>
          <w:i/>
          <w:iCs/>
          <w:sz w:val="24"/>
          <w:szCs w:val="24"/>
        </w:rPr>
      </w:pPr>
    </w:p>
    <w:p w14:paraId="610C3ECE" w14:textId="5AC44407"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C.5.2 Metadata</w:t>
      </w:r>
      <w:r w:rsidR="009D3402" w:rsidRPr="00675805">
        <w:rPr>
          <w:rFonts w:ascii="Calibri" w:hAnsi="Calibri" w:cs="Arial"/>
          <w:b/>
          <w:i/>
          <w:iCs/>
          <w:sz w:val="24"/>
          <w:szCs w:val="24"/>
        </w:rPr>
        <w:t xml:space="preserve"> (SIMS 10.6)</w:t>
      </w:r>
    </w:p>
    <w:p w14:paraId="63B0B28E" w14:textId="77777777" w:rsidR="001C0D2E" w:rsidRPr="001C0D2E" w:rsidRDefault="001C0D2E" w:rsidP="001C0D2E">
      <w:pPr>
        <w:spacing w:before="120" w:after="120" w:line="240" w:lineRule="auto"/>
        <w:jc w:val="both"/>
        <w:rPr>
          <w:rFonts w:ascii="Times New Roman" w:eastAsia="Calibri" w:hAnsi="Times New Roman" w:cs="Times New Roman"/>
          <w:szCs w:val="24"/>
        </w:rPr>
      </w:pPr>
      <w:r w:rsidRPr="001C0D2E">
        <w:rPr>
          <w:rFonts w:ascii="Times New Roman" w:eastAsia="Calibri" w:hAnsi="Times New Roman" w:cs="Times New Roman"/>
          <w:szCs w:val="24"/>
        </w:rPr>
        <w:t xml:space="preserve">Metadata on annual and quarterly financial accounts are available and published on the website of LB: </w:t>
      </w:r>
      <w:hyperlink r:id="rId19" w:history="1">
        <w:r w:rsidRPr="001C0D2E">
          <w:rPr>
            <w:rFonts w:ascii="Times New Roman" w:eastAsia="Calibri" w:hAnsi="Times New Roman" w:cs="Times New Roman"/>
            <w:color w:val="0000FF"/>
            <w:szCs w:val="24"/>
            <w:u w:val="single"/>
          </w:rPr>
          <w:t>Metadata</w:t>
        </w:r>
      </w:hyperlink>
      <w:r w:rsidRPr="001C0D2E">
        <w:rPr>
          <w:rFonts w:ascii="Times New Roman" w:eastAsia="Calibri" w:hAnsi="Times New Roman" w:cs="Times New Roman"/>
          <w:szCs w:val="24"/>
        </w:rPr>
        <w:t xml:space="preserve">. </w:t>
      </w:r>
    </w:p>
    <w:p w14:paraId="6F729201" w14:textId="77777777" w:rsidR="001C0D2E" w:rsidRPr="001C0D2E" w:rsidRDefault="001C0D2E" w:rsidP="001C0D2E">
      <w:pPr>
        <w:spacing w:before="120" w:after="120" w:line="240" w:lineRule="auto"/>
        <w:jc w:val="both"/>
        <w:rPr>
          <w:rFonts w:ascii="Times New Roman" w:eastAsia="Calibri" w:hAnsi="Times New Roman" w:cs="Times New Roman"/>
          <w:color w:val="0000FF"/>
          <w:szCs w:val="24"/>
          <w:u w:val="single"/>
        </w:rPr>
      </w:pPr>
      <w:r w:rsidRPr="001C0D2E">
        <w:rPr>
          <w:rFonts w:ascii="Times New Roman" w:eastAsia="Calibri" w:hAnsi="Times New Roman" w:cs="Times New Roman"/>
          <w:szCs w:val="24"/>
        </w:rPr>
        <w:t xml:space="preserve">Metadata on quarterly general government accounts are available and published on the Official Statistics Portal: </w:t>
      </w:r>
      <w:hyperlink r:id="rId20" w:history="1">
        <w:r w:rsidRPr="001C0D2E">
          <w:rPr>
            <w:rFonts w:ascii="Times New Roman" w:eastAsia="Calibri" w:hAnsi="Times New Roman" w:cs="Times New Roman"/>
            <w:color w:val="0000FF"/>
            <w:szCs w:val="24"/>
            <w:u w:val="single"/>
          </w:rPr>
          <w:t>QFAGG</w:t>
        </w:r>
      </w:hyperlink>
      <w:r w:rsidRPr="001C0D2E">
        <w:rPr>
          <w:rFonts w:ascii="Times New Roman" w:eastAsia="Calibri" w:hAnsi="Times New Roman" w:cs="Times New Roman"/>
          <w:color w:val="0000FF"/>
          <w:szCs w:val="24"/>
          <w:u w:val="single"/>
        </w:rPr>
        <w:t>.</w:t>
      </w:r>
    </w:p>
    <w:p w14:paraId="0DF2419D" w14:textId="1080CF45" w:rsidR="00E700F4" w:rsidRPr="00675805" w:rsidRDefault="00E700F4" w:rsidP="00E700F4">
      <w:pPr>
        <w:spacing w:line="280" w:lineRule="exact"/>
        <w:jc w:val="both"/>
        <w:rPr>
          <w:rFonts w:ascii="Calibri" w:hAnsi="Calibri" w:cs="Arial"/>
          <w:b/>
          <w:i/>
          <w:iCs/>
          <w:sz w:val="24"/>
          <w:szCs w:val="24"/>
        </w:rPr>
      </w:pPr>
      <w:r w:rsidRPr="00675805">
        <w:rPr>
          <w:rFonts w:ascii="Calibri" w:hAnsi="Calibri" w:cs="Arial"/>
          <w:b/>
          <w:i/>
          <w:iCs/>
          <w:sz w:val="24"/>
          <w:szCs w:val="24"/>
        </w:rPr>
        <w:t>C.5.3 Contact</w:t>
      </w:r>
      <w:r w:rsidR="009D3402" w:rsidRPr="00675805">
        <w:rPr>
          <w:rFonts w:ascii="Calibri" w:hAnsi="Calibri" w:cs="Arial"/>
          <w:b/>
          <w:i/>
          <w:iCs/>
          <w:sz w:val="24"/>
          <w:szCs w:val="24"/>
        </w:rPr>
        <w:t xml:space="preserve"> (SIMS 1)</w:t>
      </w:r>
    </w:p>
    <w:p w14:paraId="6130E0E9" w14:textId="77777777" w:rsidR="001C0D2E" w:rsidRPr="001C0D2E" w:rsidRDefault="001C0D2E" w:rsidP="001C0D2E">
      <w:pPr>
        <w:spacing w:before="120" w:after="0" w:line="276" w:lineRule="auto"/>
        <w:jc w:val="both"/>
        <w:rPr>
          <w:rFonts w:ascii="Times New Roman" w:eastAsia="Calibri" w:hAnsi="Times New Roman" w:cs="Times New Roman"/>
          <w:szCs w:val="24"/>
        </w:rPr>
      </w:pPr>
      <w:r w:rsidRPr="001C0D2E">
        <w:rPr>
          <w:rFonts w:ascii="Times New Roman" w:eastAsia="Calibri" w:hAnsi="Times New Roman" w:cs="Times New Roman"/>
          <w:szCs w:val="24"/>
        </w:rPr>
        <w:t>Contact person for annual and quarterly financial accounts:</w:t>
      </w:r>
    </w:p>
    <w:p w14:paraId="2B31253C" w14:textId="77777777" w:rsidR="001C0D2E" w:rsidRPr="001C0D2E" w:rsidRDefault="001C0D2E" w:rsidP="001C0D2E">
      <w:pPr>
        <w:spacing w:after="0" w:line="276" w:lineRule="auto"/>
        <w:jc w:val="both"/>
        <w:rPr>
          <w:rFonts w:ascii="Times New Roman" w:eastAsia="Calibri" w:hAnsi="Times New Roman" w:cs="Times New Roman"/>
          <w:color w:val="0000FF"/>
          <w:szCs w:val="24"/>
          <w:u w:val="single"/>
        </w:rPr>
      </w:pPr>
      <w:r w:rsidRPr="001C0D2E">
        <w:rPr>
          <w:rFonts w:ascii="Times New Roman" w:eastAsia="Calibri" w:hAnsi="Times New Roman" w:cs="Times New Roman"/>
          <w:szCs w:val="24"/>
        </w:rPr>
        <w:t xml:space="preserve">Diana Liberiene; email: </w:t>
      </w:r>
      <w:hyperlink r:id="rId21" w:history="1">
        <w:r w:rsidRPr="001C0D2E">
          <w:rPr>
            <w:rFonts w:ascii="Times New Roman" w:eastAsia="Calibri" w:hAnsi="Times New Roman" w:cs="Times New Roman"/>
            <w:color w:val="0000FF"/>
            <w:szCs w:val="24"/>
            <w:u w:val="single"/>
          </w:rPr>
          <w:t>dliberiene@lb.lt</w:t>
        </w:r>
      </w:hyperlink>
    </w:p>
    <w:p w14:paraId="176E396E" w14:textId="77777777" w:rsidR="001C0D2E" w:rsidRPr="001C0D2E" w:rsidRDefault="001C0D2E" w:rsidP="001C0D2E">
      <w:pPr>
        <w:spacing w:after="0" w:line="276" w:lineRule="auto"/>
        <w:jc w:val="both"/>
        <w:rPr>
          <w:rFonts w:ascii="Times New Roman" w:eastAsia="Calibri" w:hAnsi="Times New Roman" w:cs="Times New Roman"/>
          <w:szCs w:val="24"/>
        </w:rPr>
      </w:pPr>
      <w:r w:rsidRPr="001C0D2E">
        <w:rPr>
          <w:rFonts w:ascii="Times New Roman" w:eastAsia="Calibri" w:hAnsi="Times New Roman" w:cs="Times New Roman"/>
          <w:iCs/>
          <w:szCs w:val="24"/>
        </w:rPr>
        <w:t>Bank of Lithuania</w:t>
      </w:r>
    </w:p>
    <w:p w14:paraId="5BC881E5" w14:textId="77777777" w:rsidR="001C0D2E" w:rsidRPr="001C0D2E" w:rsidRDefault="001C0D2E" w:rsidP="001C0D2E">
      <w:pPr>
        <w:spacing w:before="120" w:after="0" w:line="276" w:lineRule="auto"/>
        <w:jc w:val="both"/>
        <w:rPr>
          <w:rFonts w:ascii="Times New Roman" w:eastAsia="Calibri" w:hAnsi="Times New Roman" w:cs="Times New Roman"/>
          <w:szCs w:val="24"/>
        </w:rPr>
      </w:pPr>
      <w:r w:rsidRPr="001C0D2E">
        <w:rPr>
          <w:rFonts w:ascii="Times New Roman" w:eastAsia="Calibri" w:hAnsi="Times New Roman" w:cs="Times New Roman"/>
          <w:szCs w:val="24"/>
        </w:rPr>
        <w:t>Contact person for quarterly financial accounts of the general government:</w:t>
      </w:r>
    </w:p>
    <w:p w14:paraId="362C1D03" w14:textId="77777777" w:rsidR="001C0D2E" w:rsidRPr="001C0D2E" w:rsidRDefault="001C0D2E" w:rsidP="001C0D2E">
      <w:pPr>
        <w:spacing w:after="0" w:line="276" w:lineRule="auto"/>
        <w:jc w:val="both"/>
        <w:rPr>
          <w:rFonts w:ascii="Times New Roman" w:eastAsia="Calibri" w:hAnsi="Times New Roman" w:cs="Times New Roman"/>
          <w:szCs w:val="24"/>
        </w:rPr>
      </w:pPr>
      <w:r w:rsidRPr="001C0D2E">
        <w:rPr>
          <w:rFonts w:ascii="Times New Roman" w:eastAsia="Calibri" w:hAnsi="Times New Roman" w:cs="Times New Roman"/>
          <w:szCs w:val="24"/>
        </w:rPr>
        <w:t xml:space="preserve">Mantas </w:t>
      </w:r>
      <w:proofErr w:type="spellStart"/>
      <w:r w:rsidRPr="001C0D2E">
        <w:rPr>
          <w:rFonts w:ascii="Times New Roman" w:eastAsia="Calibri" w:hAnsi="Times New Roman" w:cs="Times New Roman"/>
          <w:szCs w:val="24"/>
        </w:rPr>
        <w:t>Malcius</w:t>
      </w:r>
      <w:proofErr w:type="spellEnd"/>
      <w:r w:rsidRPr="001C0D2E">
        <w:rPr>
          <w:rFonts w:ascii="Times New Roman" w:eastAsia="Calibri" w:hAnsi="Times New Roman" w:cs="Times New Roman"/>
          <w:szCs w:val="24"/>
        </w:rPr>
        <w:t xml:space="preserve">; email: </w:t>
      </w:r>
      <w:hyperlink r:id="rId22" w:history="1">
        <w:r w:rsidRPr="001C0D2E">
          <w:rPr>
            <w:rFonts w:ascii="Times New Roman" w:eastAsia="Calibri" w:hAnsi="Times New Roman" w:cs="Times New Roman"/>
            <w:color w:val="0000FF"/>
            <w:szCs w:val="24"/>
            <w:u w:val="single"/>
          </w:rPr>
          <w:t>mantas.malcius@stat.gov.lt</w:t>
        </w:r>
      </w:hyperlink>
      <w:r w:rsidRPr="001C0D2E">
        <w:rPr>
          <w:rFonts w:ascii="Times New Roman" w:eastAsia="Calibri" w:hAnsi="Times New Roman" w:cs="Times New Roman"/>
          <w:szCs w:val="24"/>
        </w:rPr>
        <w:t xml:space="preserve"> </w:t>
      </w:r>
    </w:p>
    <w:p w14:paraId="30598E31" w14:textId="28C94D6A" w:rsidR="009D3402" w:rsidRPr="00675805" w:rsidRDefault="001C0D2E" w:rsidP="009D3402">
      <w:pPr>
        <w:pStyle w:val="CMFBText"/>
        <w:rPr>
          <w:highlight w:val="yellow"/>
        </w:rPr>
      </w:pPr>
      <w:r w:rsidRPr="001C0D2E">
        <w:t xml:space="preserve">State Data Agency </w:t>
      </w:r>
    </w:p>
    <w:p w14:paraId="3FE8C028" w14:textId="77777777" w:rsidR="009D3402" w:rsidRPr="00675805" w:rsidRDefault="009D3402" w:rsidP="00E700F4">
      <w:pPr>
        <w:spacing w:line="280" w:lineRule="exact"/>
        <w:jc w:val="both"/>
        <w:rPr>
          <w:rFonts w:ascii="Calibri" w:hAnsi="Calibri" w:cs="Arial"/>
          <w:iCs/>
        </w:rPr>
        <w:sectPr w:rsidR="009D3402" w:rsidRPr="00675805" w:rsidSect="003614D7">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pgNumType w:start="0"/>
          <w:cols w:space="708"/>
          <w:titlePg/>
          <w:docGrid w:linePitch="360"/>
        </w:sectPr>
      </w:pPr>
    </w:p>
    <w:p w14:paraId="1E04D287" w14:textId="0075E7BE" w:rsidR="0009294D" w:rsidRPr="0009294D" w:rsidRDefault="006E0F9C" w:rsidP="0009294D">
      <w:pPr>
        <w:keepNext/>
        <w:suppressAutoHyphens/>
        <w:spacing w:before="480" w:after="240" w:line="240" w:lineRule="auto"/>
        <w:jc w:val="both"/>
        <w:outlineLvl w:val="1"/>
        <w:rPr>
          <w:rFonts w:ascii="Times New Roman" w:eastAsia="Times New Roman" w:hAnsi="Times New Roman" w:cs="Times New Roman"/>
          <w:b/>
          <w:bCs/>
          <w:iCs/>
          <w:sz w:val="28"/>
          <w:szCs w:val="28"/>
        </w:rPr>
      </w:pPr>
      <w:r w:rsidRPr="00675805">
        <w:rPr>
          <w:rFonts w:ascii="Times New Roman" w:hAnsi="Times New Roman" w:cs="Times New Roman"/>
          <w:sz w:val="21"/>
          <w:szCs w:val="21"/>
        </w:rPr>
        <w:lastRenderedPageBreak/>
        <w:t>Annex to B2.1 CoP8 Appropriate Statistical procedures:</w:t>
      </w:r>
      <w:r>
        <w:rPr>
          <w:rFonts w:ascii="Times New Roman" w:hAnsi="Times New Roman" w:cs="Times New Roman"/>
          <w:sz w:val="21"/>
          <w:szCs w:val="21"/>
        </w:rPr>
        <w:t xml:space="preserve"> </w:t>
      </w:r>
      <w:r w:rsidRPr="00675805">
        <w:t>Data source map for financial accounts</w:t>
      </w:r>
    </w:p>
    <w:tbl>
      <w:tblPr>
        <w:tblW w:w="16003" w:type="dxa"/>
        <w:jc w:val="center"/>
        <w:tblLayout w:type="fixed"/>
        <w:tblLook w:val="04A0" w:firstRow="1" w:lastRow="0" w:firstColumn="1" w:lastColumn="0" w:noHBand="0" w:noVBand="1"/>
      </w:tblPr>
      <w:tblGrid>
        <w:gridCol w:w="630"/>
        <w:gridCol w:w="1627"/>
        <w:gridCol w:w="497"/>
        <w:gridCol w:w="92"/>
        <w:gridCol w:w="544"/>
        <w:gridCol w:w="220"/>
        <w:gridCol w:w="279"/>
        <w:gridCol w:w="496"/>
        <w:gridCol w:w="219"/>
        <w:gridCol w:w="499"/>
        <w:gridCol w:w="611"/>
        <w:gridCol w:w="654"/>
        <w:gridCol w:w="576"/>
        <w:gridCol w:w="576"/>
        <w:gridCol w:w="576"/>
        <w:gridCol w:w="576"/>
        <w:gridCol w:w="432"/>
        <w:gridCol w:w="576"/>
        <w:gridCol w:w="576"/>
        <w:gridCol w:w="432"/>
        <w:gridCol w:w="652"/>
        <w:gridCol w:w="576"/>
        <w:gridCol w:w="576"/>
        <w:gridCol w:w="720"/>
        <w:gridCol w:w="2791"/>
      </w:tblGrid>
      <w:tr w:rsidR="0009294D" w:rsidRPr="0009294D" w14:paraId="2D349ED4" w14:textId="77777777" w:rsidTr="0009294D">
        <w:trPr>
          <w:trHeight w:val="20"/>
          <w:jc w:val="center"/>
        </w:trPr>
        <w:tc>
          <w:tcPr>
            <w:tcW w:w="16003" w:type="dxa"/>
            <w:gridSpan w:val="25"/>
            <w:tcBorders>
              <w:top w:val="nil"/>
              <w:left w:val="nil"/>
              <w:bottom w:val="nil"/>
              <w:right w:val="nil"/>
            </w:tcBorders>
            <w:shd w:val="clear" w:color="auto" w:fill="auto"/>
            <w:noWrap/>
            <w:vAlign w:val="center"/>
          </w:tcPr>
          <w:p w14:paraId="3A0D59A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4FF8B7D2" w14:textId="77777777" w:rsidTr="0009294D">
        <w:trPr>
          <w:trHeight w:val="20"/>
          <w:jc w:val="center"/>
        </w:trPr>
        <w:tc>
          <w:tcPr>
            <w:tcW w:w="16003" w:type="dxa"/>
            <w:gridSpan w:val="25"/>
            <w:tcBorders>
              <w:top w:val="nil"/>
              <w:left w:val="nil"/>
              <w:bottom w:val="nil"/>
              <w:right w:val="nil"/>
            </w:tcBorders>
            <w:shd w:val="clear" w:color="auto" w:fill="auto"/>
            <w:noWrap/>
            <w:vAlign w:val="center"/>
          </w:tcPr>
          <w:p w14:paraId="56BDF1F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011078C9" w14:textId="77777777" w:rsidTr="0009294D">
        <w:trPr>
          <w:trHeight w:val="20"/>
          <w:jc w:val="center"/>
        </w:trPr>
        <w:tc>
          <w:tcPr>
            <w:tcW w:w="16003" w:type="dxa"/>
            <w:gridSpan w:val="25"/>
            <w:tcBorders>
              <w:top w:val="nil"/>
              <w:left w:val="nil"/>
              <w:bottom w:val="nil"/>
              <w:right w:val="nil"/>
            </w:tcBorders>
            <w:shd w:val="clear" w:color="auto" w:fill="auto"/>
            <w:noWrap/>
            <w:vAlign w:val="center"/>
          </w:tcPr>
          <w:p w14:paraId="13B0CF6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5A076B54" w14:textId="77777777" w:rsidTr="0009294D">
        <w:trPr>
          <w:trHeight w:val="20"/>
          <w:jc w:val="center"/>
        </w:trPr>
        <w:tc>
          <w:tcPr>
            <w:tcW w:w="16003" w:type="dxa"/>
            <w:gridSpan w:val="25"/>
            <w:tcBorders>
              <w:top w:val="nil"/>
              <w:left w:val="nil"/>
              <w:bottom w:val="nil"/>
              <w:right w:val="nil"/>
            </w:tcBorders>
            <w:shd w:val="clear" w:color="auto" w:fill="auto"/>
            <w:noWrap/>
            <w:vAlign w:val="center"/>
          </w:tcPr>
          <w:p w14:paraId="6FF6618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39D29BD5" w14:textId="77777777" w:rsidTr="0009294D">
        <w:trPr>
          <w:trHeight w:val="20"/>
          <w:jc w:val="center"/>
        </w:trPr>
        <w:tc>
          <w:tcPr>
            <w:tcW w:w="16003" w:type="dxa"/>
            <w:gridSpan w:val="25"/>
            <w:tcBorders>
              <w:top w:val="nil"/>
              <w:left w:val="nil"/>
              <w:bottom w:val="nil"/>
              <w:right w:val="nil"/>
            </w:tcBorders>
            <w:shd w:val="clear" w:color="auto" w:fill="auto"/>
            <w:noWrap/>
            <w:vAlign w:val="center"/>
            <w:hideMark/>
          </w:tcPr>
          <w:p w14:paraId="69AD563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27FCB309" w14:textId="77777777" w:rsidTr="0009294D">
        <w:trPr>
          <w:trHeight w:val="20"/>
          <w:jc w:val="center"/>
        </w:trPr>
        <w:tc>
          <w:tcPr>
            <w:tcW w:w="16003" w:type="dxa"/>
            <w:gridSpan w:val="25"/>
            <w:tcBorders>
              <w:top w:val="nil"/>
              <w:left w:val="nil"/>
              <w:bottom w:val="nil"/>
              <w:right w:val="nil"/>
            </w:tcBorders>
            <w:shd w:val="clear" w:color="auto" w:fill="auto"/>
            <w:noWrap/>
            <w:vAlign w:val="center"/>
            <w:hideMark/>
          </w:tcPr>
          <w:p w14:paraId="5FB1184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08AF4BA6" w14:textId="77777777" w:rsidTr="0009294D">
        <w:trPr>
          <w:trHeight w:val="20"/>
          <w:jc w:val="center"/>
        </w:trPr>
        <w:tc>
          <w:tcPr>
            <w:tcW w:w="16003" w:type="dxa"/>
            <w:gridSpan w:val="25"/>
            <w:tcBorders>
              <w:top w:val="nil"/>
              <w:left w:val="nil"/>
              <w:bottom w:val="nil"/>
              <w:right w:val="nil"/>
            </w:tcBorders>
            <w:shd w:val="clear" w:color="auto" w:fill="auto"/>
            <w:noWrap/>
            <w:vAlign w:val="center"/>
            <w:hideMark/>
          </w:tcPr>
          <w:p w14:paraId="246D1AF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b/>
                <w:bCs/>
                <w:color w:val="000000"/>
                <w:sz w:val="12"/>
                <w:szCs w:val="12"/>
                <w:lang w:eastAsia="en-GB"/>
              </w:rPr>
              <w:t xml:space="preserve">Map of main data sources </w:t>
            </w:r>
          </w:p>
        </w:tc>
      </w:tr>
      <w:tr w:rsidR="0009294D" w:rsidRPr="0009294D" w14:paraId="5D175811" w14:textId="77777777" w:rsidTr="0009294D">
        <w:trPr>
          <w:trHeight w:val="71"/>
          <w:jc w:val="center"/>
        </w:trPr>
        <w:tc>
          <w:tcPr>
            <w:tcW w:w="630" w:type="dxa"/>
            <w:tcBorders>
              <w:top w:val="nil"/>
              <w:left w:val="nil"/>
              <w:bottom w:val="nil"/>
              <w:right w:val="nil"/>
            </w:tcBorders>
            <w:shd w:val="clear" w:color="auto" w:fill="auto"/>
            <w:noWrap/>
            <w:vAlign w:val="center"/>
            <w:hideMark/>
          </w:tcPr>
          <w:p w14:paraId="47F5C65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1627" w:type="dxa"/>
            <w:tcBorders>
              <w:top w:val="nil"/>
              <w:left w:val="nil"/>
              <w:bottom w:val="nil"/>
              <w:right w:val="nil"/>
            </w:tcBorders>
            <w:shd w:val="clear" w:color="auto" w:fill="auto"/>
            <w:noWrap/>
            <w:vAlign w:val="center"/>
            <w:hideMark/>
          </w:tcPr>
          <w:p w14:paraId="3AC6E9C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Country:</w:t>
            </w:r>
          </w:p>
        </w:tc>
        <w:tc>
          <w:tcPr>
            <w:tcW w:w="212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88834DF" w14:textId="1C689F14"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Pr>
                <w:rFonts w:ascii="Times New Roman" w:eastAsia="Times New Roman" w:hAnsi="Times New Roman" w:cs="Times New Roman"/>
                <w:b/>
                <w:bCs/>
                <w:color w:val="000000"/>
                <w:sz w:val="12"/>
                <w:szCs w:val="12"/>
                <w:lang w:eastAsia="en-GB"/>
              </w:rPr>
              <w:t>Lithuania</w:t>
            </w:r>
            <w:r w:rsidRPr="0009294D">
              <w:rPr>
                <w:rFonts w:ascii="Times New Roman" w:eastAsia="Times New Roman" w:hAnsi="Times New Roman" w:cs="Times New Roman"/>
                <w:b/>
                <w:bCs/>
                <w:color w:val="000000"/>
                <w:sz w:val="12"/>
                <w:szCs w:val="12"/>
                <w:lang w:eastAsia="en-GB"/>
              </w:rPr>
              <w:t> </w:t>
            </w:r>
          </w:p>
        </w:tc>
        <w:tc>
          <w:tcPr>
            <w:tcW w:w="11618" w:type="dxa"/>
            <w:gridSpan w:val="17"/>
            <w:tcBorders>
              <w:top w:val="nil"/>
              <w:left w:val="nil"/>
              <w:bottom w:val="nil"/>
              <w:right w:val="nil"/>
            </w:tcBorders>
            <w:shd w:val="clear" w:color="auto" w:fill="auto"/>
            <w:vAlign w:val="center"/>
            <w:hideMark/>
          </w:tcPr>
          <w:p w14:paraId="1C61557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117698E6" w14:textId="77777777" w:rsidTr="00047C58">
        <w:trPr>
          <w:trHeight w:val="20"/>
          <w:jc w:val="center"/>
        </w:trPr>
        <w:tc>
          <w:tcPr>
            <w:tcW w:w="630" w:type="dxa"/>
            <w:tcBorders>
              <w:top w:val="nil"/>
              <w:left w:val="nil"/>
              <w:bottom w:val="nil"/>
              <w:right w:val="nil"/>
            </w:tcBorders>
            <w:shd w:val="clear" w:color="auto" w:fill="auto"/>
            <w:noWrap/>
            <w:vAlign w:val="center"/>
            <w:hideMark/>
          </w:tcPr>
          <w:p w14:paraId="639A6EB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1627" w:type="dxa"/>
            <w:tcBorders>
              <w:top w:val="nil"/>
              <w:left w:val="nil"/>
              <w:bottom w:val="nil"/>
              <w:right w:val="nil"/>
            </w:tcBorders>
            <w:shd w:val="clear" w:color="auto" w:fill="auto"/>
            <w:noWrap/>
            <w:vAlign w:val="center"/>
            <w:hideMark/>
          </w:tcPr>
          <w:p w14:paraId="3696944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Name of institution:</w:t>
            </w:r>
          </w:p>
        </w:tc>
        <w:tc>
          <w:tcPr>
            <w:tcW w:w="1353" w:type="dxa"/>
            <w:gridSpan w:val="4"/>
            <w:tcBorders>
              <w:top w:val="single" w:sz="4" w:space="0" w:color="auto"/>
              <w:left w:val="single" w:sz="4" w:space="0" w:color="auto"/>
              <w:bottom w:val="single" w:sz="4" w:space="0" w:color="auto"/>
              <w:right w:val="nil"/>
            </w:tcBorders>
            <w:shd w:val="clear" w:color="auto" w:fill="auto"/>
            <w:vAlign w:val="center"/>
            <w:hideMark/>
          </w:tcPr>
          <w:p w14:paraId="6E6A0EE5" w14:textId="5A48DCCD"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Pr>
                <w:rFonts w:ascii="Times New Roman" w:eastAsia="Times New Roman" w:hAnsi="Times New Roman" w:cs="Times New Roman"/>
                <w:b/>
                <w:bCs/>
                <w:color w:val="000000"/>
                <w:sz w:val="12"/>
                <w:szCs w:val="12"/>
                <w:lang w:eastAsia="en-GB"/>
              </w:rPr>
              <w:t>Bank of Lithuania</w:t>
            </w:r>
          </w:p>
        </w:tc>
        <w:tc>
          <w:tcPr>
            <w:tcW w:w="775" w:type="dxa"/>
            <w:gridSpan w:val="2"/>
            <w:tcBorders>
              <w:top w:val="single" w:sz="4" w:space="0" w:color="auto"/>
              <w:left w:val="nil"/>
              <w:bottom w:val="single" w:sz="4" w:space="0" w:color="auto"/>
              <w:right w:val="single" w:sz="4" w:space="0" w:color="auto"/>
            </w:tcBorders>
            <w:shd w:val="clear" w:color="auto" w:fill="auto"/>
            <w:hideMark/>
          </w:tcPr>
          <w:p w14:paraId="75CA473F"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p>
        </w:tc>
        <w:tc>
          <w:tcPr>
            <w:tcW w:w="11618" w:type="dxa"/>
            <w:gridSpan w:val="17"/>
            <w:tcBorders>
              <w:top w:val="nil"/>
              <w:left w:val="nil"/>
              <w:bottom w:val="nil"/>
              <w:right w:val="nil"/>
            </w:tcBorders>
            <w:shd w:val="clear" w:color="auto" w:fill="auto"/>
            <w:vAlign w:val="center"/>
            <w:hideMark/>
          </w:tcPr>
          <w:p w14:paraId="6C1C36F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38F659B7" w14:textId="77777777" w:rsidTr="0009294D">
        <w:trPr>
          <w:trHeight w:val="20"/>
          <w:jc w:val="center"/>
        </w:trPr>
        <w:tc>
          <w:tcPr>
            <w:tcW w:w="630" w:type="dxa"/>
            <w:tcBorders>
              <w:top w:val="nil"/>
              <w:left w:val="nil"/>
              <w:bottom w:val="nil"/>
              <w:right w:val="nil"/>
            </w:tcBorders>
            <w:shd w:val="clear" w:color="auto" w:fill="auto"/>
            <w:noWrap/>
            <w:vAlign w:val="center"/>
            <w:hideMark/>
          </w:tcPr>
          <w:p w14:paraId="0DD4755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1627" w:type="dxa"/>
            <w:tcBorders>
              <w:top w:val="nil"/>
              <w:left w:val="nil"/>
              <w:bottom w:val="nil"/>
              <w:right w:val="nil"/>
            </w:tcBorders>
            <w:shd w:val="clear" w:color="auto" w:fill="auto"/>
            <w:noWrap/>
            <w:vAlign w:val="center"/>
            <w:hideMark/>
          </w:tcPr>
          <w:p w14:paraId="2AA55C0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Year:</w:t>
            </w:r>
          </w:p>
        </w:tc>
        <w:tc>
          <w:tcPr>
            <w:tcW w:w="497" w:type="dxa"/>
            <w:tcBorders>
              <w:top w:val="nil"/>
              <w:left w:val="single" w:sz="4" w:space="0" w:color="auto"/>
              <w:bottom w:val="single" w:sz="4" w:space="0" w:color="auto"/>
              <w:right w:val="nil"/>
            </w:tcBorders>
            <w:shd w:val="clear" w:color="auto" w:fill="auto"/>
            <w:noWrap/>
            <w:vAlign w:val="center"/>
            <w:hideMark/>
          </w:tcPr>
          <w:p w14:paraId="24C8237B"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p>
        </w:tc>
        <w:tc>
          <w:tcPr>
            <w:tcW w:w="856" w:type="dxa"/>
            <w:gridSpan w:val="3"/>
            <w:tcBorders>
              <w:top w:val="nil"/>
              <w:left w:val="nil"/>
              <w:bottom w:val="single" w:sz="4" w:space="0" w:color="auto"/>
              <w:right w:val="nil"/>
            </w:tcBorders>
            <w:shd w:val="clear" w:color="auto" w:fill="auto"/>
            <w:vAlign w:val="center"/>
            <w:hideMark/>
          </w:tcPr>
          <w:p w14:paraId="2D05DC3C" w14:textId="1083FF12"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sidRPr="0009294D">
              <w:rPr>
                <w:rFonts w:ascii="Times New Roman" w:eastAsia="Times New Roman" w:hAnsi="Times New Roman" w:cs="Times New Roman"/>
                <w:b/>
                <w:bCs/>
                <w:color w:val="000000"/>
                <w:sz w:val="12"/>
                <w:szCs w:val="12"/>
                <w:lang w:eastAsia="en-GB"/>
              </w:rPr>
              <w:t> 202</w:t>
            </w:r>
            <w:r w:rsidR="00FD30B9">
              <w:rPr>
                <w:rFonts w:ascii="Times New Roman" w:eastAsia="Times New Roman" w:hAnsi="Times New Roman" w:cs="Times New Roman"/>
                <w:b/>
                <w:bCs/>
                <w:color w:val="000000"/>
                <w:sz w:val="12"/>
                <w:szCs w:val="12"/>
                <w:lang w:eastAsia="en-GB"/>
              </w:rPr>
              <w:t>5</w:t>
            </w:r>
          </w:p>
        </w:tc>
        <w:tc>
          <w:tcPr>
            <w:tcW w:w="775" w:type="dxa"/>
            <w:gridSpan w:val="2"/>
            <w:tcBorders>
              <w:top w:val="nil"/>
              <w:left w:val="nil"/>
              <w:bottom w:val="single" w:sz="4" w:space="0" w:color="auto"/>
              <w:right w:val="single" w:sz="4" w:space="0" w:color="auto"/>
            </w:tcBorders>
            <w:shd w:val="clear" w:color="auto" w:fill="auto"/>
            <w:vAlign w:val="center"/>
            <w:hideMark/>
          </w:tcPr>
          <w:p w14:paraId="54DEA643"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sidRPr="0009294D">
              <w:rPr>
                <w:rFonts w:ascii="Times New Roman" w:eastAsia="Times New Roman" w:hAnsi="Times New Roman" w:cs="Times New Roman"/>
                <w:b/>
                <w:bCs/>
                <w:color w:val="000000"/>
                <w:sz w:val="12"/>
                <w:szCs w:val="12"/>
                <w:lang w:eastAsia="en-GB"/>
              </w:rPr>
              <w:t> </w:t>
            </w:r>
          </w:p>
        </w:tc>
        <w:tc>
          <w:tcPr>
            <w:tcW w:w="11618" w:type="dxa"/>
            <w:gridSpan w:val="17"/>
            <w:tcBorders>
              <w:top w:val="nil"/>
              <w:left w:val="nil"/>
              <w:bottom w:val="nil"/>
              <w:right w:val="nil"/>
            </w:tcBorders>
            <w:shd w:val="clear" w:color="auto" w:fill="auto"/>
            <w:vAlign w:val="center"/>
            <w:hideMark/>
          </w:tcPr>
          <w:p w14:paraId="7C9D489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6C5001DA" w14:textId="77777777" w:rsidTr="0009294D">
        <w:trPr>
          <w:trHeight w:val="20"/>
          <w:jc w:val="center"/>
        </w:trPr>
        <w:tc>
          <w:tcPr>
            <w:tcW w:w="630" w:type="dxa"/>
            <w:tcBorders>
              <w:top w:val="nil"/>
              <w:left w:val="nil"/>
              <w:bottom w:val="nil"/>
              <w:right w:val="nil"/>
            </w:tcBorders>
            <w:shd w:val="clear" w:color="auto" w:fill="auto"/>
            <w:noWrap/>
            <w:vAlign w:val="center"/>
            <w:hideMark/>
          </w:tcPr>
          <w:p w14:paraId="5DDC965F"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bookmarkStart w:id="5" w:name="_Hlk202876596"/>
          </w:p>
        </w:tc>
        <w:tc>
          <w:tcPr>
            <w:tcW w:w="1627" w:type="dxa"/>
            <w:tcBorders>
              <w:top w:val="nil"/>
              <w:left w:val="nil"/>
              <w:bottom w:val="nil"/>
              <w:right w:val="nil"/>
            </w:tcBorders>
            <w:shd w:val="clear" w:color="auto" w:fill="auto"/>
            <w:noWrap/>
            <w:vAlign w:val="center"/>
            <w:hideMark/>
          </w:tcPr>
          <w:p w14:paraId="7281B2FE"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p>
        </w:tc>
        <w:tc>
          <w:tcPr>
            <w:tcW w:w="5263" w:type="dxa"/>
            <w:gridSpan w:val="12"/>
            <w:tcBorders>
              <w:top w:val="nil"/>
              <w:left w:val="nil"/>
              <w:bottom w:val="single" w:sz="4" w:space="0" w:color="auto"/>
              <w:right w:val="nil"/>
            </w:tcBorders>
            <w:shd w:val="clear" w:color="auto" w:fill="auto"/>
            <w:vAlign w:val="center"/>
            <w:hideMark/>
          </w:tcPr>
          <w:p w14:paraId="74BCBD78"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r w:rsidRPr="0009294D">
              <w:rPr>
                <w:rFonts w:ascii="Times New Roman" w:eastAsia="Times New Roman" w:hAnsi="Times New Roman" w:cs="Times New Roman"/>
                <w:sz w:val="12"/>
                <w:szCs w:val="12"/>
                <w:lang w:eastAsia="en-GB"/>
              </w:rPr>
              <w:t>Assets</w:t>
            </w:r>
          </w:p>
        </w:tc>
        <w:tc>
          <w:tcPr>
            <w:tcW w:w="4972" w:type="dxa"/>
            <w:gridSpan w:val="9"/>
            <w:tcBorders>
              <w:top w:val="nil"/>
              <w:left w:val="nil"/>
              <w:bottom w:val="single" w:sz="4" w:space="0" w:color="auto"/>
              <w:right w:val="nil"/>
            </w:tcBorders>
            <w:shd w:val="clear" w:color="auto" w:fill="auto"/>
            <w:vAlign w:val="center"/>
          </w:tcPr>
          <w:p w14:paraId="07BDA6E6"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r w:rsidRPr="0009294D">
              <w:rPr>
                <w:rFonts w:ascii="Times New Roman" w:eastAsia="Times New Roman" w:hAnsi="Times New Roman" w:cs="Times New Roman"/>
                <w:sz w:val="12"/>
                <w:szCs w:val="12"/>
                <w:lang w:eastAsia="en-GB"/>
              </w:rPr>
              <w:t>Liabilities</w:t>
            </w:r>
          </w:p>
        </w:tc>
        <w:tc>
          <w:tcPr>
            <w:tcW w:w="3511" w:type="dxa"/>
            <w:gridSpan w:val="2"/>
            <w:tcBorders>
              <w:top w:val="nil"/>
              <w:left w:val="nil"/>
              <w:bottom w:val="nil"/>
              <w:right w:val="nil"/>
            </w:tcBorders>
            <w:shd w:val="clear" w:color="auto" w:fill="auto"/>
            <w:noWrap/>
            <w:vAlign w:val="center"/>
            <w:hideMark/>
          </w:tcPr>
          <w:p w14:paraId="11B8743D"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p>
        </w:tc>
      </w:tr>
      <w:tr w:rsidR="0009294D" w:rsidRPr="0009294D" w14:paraId="037309AA" w14:textId="77777777" w:rsidTr="00BE05AB">
        <w:trPr>
          <w:trHeight w:val="20"/>
          <w:jc w:val="center"/>
        </w:trPr>
        <w:tc>
          <w:tcPr>
            <w:tcW w:w="630" w:type="dxa"/>
            <w:tcBorders>
              <w:top w:val="nil"/>
              <w:left w:val="nil"/>
              <w:bottom w:val="nil"/>
              <w:right w:val="nil"/>
            </w:tcBorders>
            <w:shd w:val="clear" w:color="000000" w:fill="FFFFFF"/>
            <w:noWrap/>
            <w:vAlign w:val="center"/>
            <w:hideMark/>
          </w:tcPr>
          <w:p w14:paraId="54640327"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sidRPr="0009294D">
              <w:rPr>
                <w:rFonts w:ascii="Times New Roman" w:eastAsia="Times New Roman" w:hAnsi="Times New Roman" w:cs="Times New Roman"/>
                <w:b/>
                <w:bCs/>
                <w:color w:val="000000"/>
                <w:sz w:val="12"/>
                <w:szCs w:val="12"/>
                <w:lang w:eastAsia="en-GB"/>
              </w:rPr>
              <w:t> </w:t>
            </w:r>
          </w:p>
        </w:tc>
        <w:tc>
          <w:tcPr>
            <w:tcW w:w="1627" w:type="dxa"/>
            <w:tcBorders>
              <w:top w:val="nil"/>
              <w:left w:val="nil"/>
              <w:bottom w:val="nil"/>
              <w:right w:val="nil"/>
            </w:tcBorders>
            <w:shd w:val="clear" w:color="000000" w:fill="FFFFFF"/>
            <w:noWrap/>
            <w:vAlign w:val="center"/>
            <w:hideMark/>
          </w:tcPr>
          <w:p w14:paraId="1BD9CBDB"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sidRPr="0009294D">
              <w:rPr>
                <w:rFonts w:ascii="Times New Roman" w:eastAsia="Times New Roman" w:hAnsi="Times New Roman" w:cs="Times New Roman"/>
                <w:b/>
                <w:bCs/>
                <w:color w:val="000000"/>
                <w:sz w:val="12"/>
                <w:szCs w:val="12"/>
                <w:lang w:eastAsia="en-GB"/>
              </w:rPr>
              <w:t> </w:t>
            </w:r>
          </w:p>
        </w:tc>
        <w:tc>
          <w:tcPr>
            <w:tcW w:w="589" w:type="dxa"/>
            <w:gridSpan w:val="2"/>
            <w:tcBorders>
              <w:top w:val="nil"/>
              <w:left w:val="single" w:sz="4" w:space="0" w:color="auto"/>
              <w:bottom w:val="nil"/>
              <w:right w:val="nil"/>
            </w:tcBorders>
            <w:shd w:val="clear" w:color="000000" w:fill="D9D9D9"/>
            <w:noWrap/>
            <w:vAlign w:val="center"/>
            <w:hideMark/>
          </w:tcPr>
          <w:p w14:paraId="0D6E5E7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S11</w:t>
            </w:r>
          </w:p>
        </w:tc>
        <w:tc>
          <w:tcPr>
            <w:tcW w:w="544" w:type="dxa"/>
            <w:tcBorders>
              <w:top w:val="nil"/>
              <w:left w:val="nil"/>
              <w:bottom w:val="nil"/>
              <w:right w:val="nil"/>
            </w:tcBorders>
            <w:shd w:val="clear" w:color="000000" w:fill="D9D9D9"/>
            <w:noWrap/>
            <w:vAlign w:val="center"/>
            <w:hideMark/>
          </w:tcPr>
          <w:p w14:paraId="5E2B914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S12K</w:t>
            </w:r>
          </w:p>
        </w:tc>
        <w:tc>
          <w:tcPr>
            <w:tcW w:w="499" w:type="dxa"/>
            <w:gridSpan w:val="2"/>
            <w:tcBorders>
              <w:top w:val="nil"/>
              <w:left w:val="nil"/>
              <w:bottom w:val="nil"/>
              <w:right w:val="nil"/>
            </w:tcBorders>
            <w:shd w:val="clear" w:color="000000" w:fill="D9D9D9"/>
            <w:noWrap/>
            <w:vAlign w:val="center"/>
            <w:hideMark/>
          </w:tcPr>
          <w:p w14:paraId="4871A05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S124</w:t>
            </w:r>
          </w:p>
        </w:tc>
        <w:tc>
          <w:tcPr>
            <w:tcW w:w="715" w:type="dxa"/>
            <w:gridSpan w:val="2"/>
            <w:tcBorders>
              <w:top w:val="nil"/>
              <w:left w:val="nil"/>
              <w:bottom w:val="nil"/>
              <w:right w:val="nil"/>
            </w:tcBorders>
            <w:shd w:val="clear" w:color="000000" w:fill="D9D9D9"/>
            <w:noWrap/>
            <w:vAlign w:val="center"/>
            <w:hideMark/>
          </w:tcPr>
          <w:p w14:paraId="4A212F5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S12O</w:t>
            </w:r>
          </w:p>
        </w:tc>
        <w:tc>
          <w:tcPr>
            <w:tcW w:w="499" w:type="dxa"/>
            <w:tcBorders>
              <w:top w:val="nil"/>
              <w:left w:val="nil"/>
              <w:bottom w:val="nil"/>
              <w:right w:val="nil"/>
            </w:tcBorders>
            <w:shd w:val="clear" w:color="000000" w:fill="D9D9D9"/>
            <w:noWrap/>
            <w:vAlign w:val="center"/>
            <w:hideMark/>
          </w:tcPr>
          <w:p w14:paraId="7622724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S128</w:t>
            </w:r>
          </w:p>
        </w:tc>
        <w:tc>
          <w:tcPr>
            <w:tcW w:w="611" w:type="dxa"/>
            <w:tcBorders>
              <w:top w:val="nil"/>
              <w:left w:val="nil"/>
              <w:bottom w:val="nil"/>
              <w:right w:val="nil"/>
            </w:tcBorders>
            <w:shd w:val="clear" w:color="000000" w:fill="D9D9D9"/>
            <w:noWrap/>
            <w:vAlign w:val="center"/>
            <w:hideMark/>
          </w:tcPr>
          <w:p w14:paraId="2287CF5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S129</w:t>
            </w:r>
          </w:p>
        </w:tc>
        <w:tc>
          <w:tcPr>
            <w:tcW w:w="654" w:type="dxa"/>
            <w:tcBorders>
              <w:top w:val="nil"/>
              <w:left w:val="nil"/>
              <w:bottom w:val="nil"/>
              <w:right w:val="nil"/>
            </w:tcBorders>
            <w:shd w:val="clear" w:color="000000" w:fill="D9D9D9"/>
            <w:noWrap/>
            <w:vAlign w:val="center"/>
            <w:hideMark/>
          </w:tcPr>
          <w:p w14:paraId="4F28F3B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S13</w:t>
            </w:r>
          </w:p>
        </w:tc>
        <w:tc>
          <w:tcPr>
            <w:tcW w:w="576" w:type="dxa"/>
            <w:tcBorders>
              <w:top w:val="nil"/>
              <w:left w:val="nil"/>
              <w:bottom w:val="nil"/>
              <w:right w:val="nil"/>
            </w:tcBorders>
            <w:shd w:val="clear" w:color="000000" w:fill="D9D9D9"/>
            <w:noWrap/>
            <w:vAlign w:val="center"/>
            <w:hideMark/>
          </w:tcPr>
          <w:p w14:paraId="711ADAD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S14+</w:t>
            </w:r>
          </w:p>
          <w:p w14:paraId="2E4B6E9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S15</w:t>
            </w:r>
          </w:p>
        </w:tc>
        <w:tc>
          <w:tcPr>
            <w:tcW w:w="576" w:type="dxa"/>
            <w:tcBorders>
              <w:top w:val="nil"/>
              <w:left w:val="nil"/>
              <w:bottom w:val="nil"/>
              <w:right w:val="nil"/>
            </w:tcBorders>
            <w:shd w:val="clear" w:color="000000" w:fill="D9D9D9"/>
            <w:noWrap/>
            <w:vAlign w:val="center"/>
            <w:hideMark/>
          </w:tcPr>
          <w:p w14:paraId="1EDF292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S2</w:t>
            </w:r>
          </w:p>
        </w:tc>
        <w:tc>
          <w:tcPr>
            <w:tcW w:w="576" w:type="dxa"/>
            <w:tcBorders>
              <w:top w:val="nil"/>
              <w:left w:val="single" w:sz="4" w:space="0" w:color="auto"/>
              <w:bottom w:val="nil"/>
              <w:right w:val="nil"/>
            </w:tcBorders>
            <w:shd w:val="clear" w:color="000000" w:fill="D9D9D9"/>
            <w:noWrap/>
            <w:vAlign w:val="center"/>
            <w:hideMark/>
          </w:tcPr>
          <w:p w14:paraId="723B2FE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S11</w:t>
            </w:r>
          </w:p>
        </w:tc>
        <w:tc>
          <w:tcPr>
            <w:tcW w:w="576" w:type="dxa"/>
            <w:tcBorders>
              <w:top w:val="nil"/>
              <w:left w:val="nil"/>
              <w:bottom w:val="nil"/>
              <w:right w:val="nil"/>
            </w:tcBorders>
            <w:shd w:val="clear" w:color="000000" w:fill="D9D9D9"/>
            <w:noWrap/>
            <w:vAlign w:val="center"/>
            <w:hideMark/>
          </w:tcPr>
          <w:p w14:paraId="63AAD17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S12K</w:t>
            </w:r>
          </w:p>
        </w:tc>
        <w:tc>
          <w:tcPr>
            <w:tcW w:w="432" w:type="dxa"/>
            <w:tcBorders>
              <w:top w:val="nil"/>
              <w:left w:val="nil"/>
              <w:bottom w:val="nil"/>
              <w:right w:val="nil"/>
            </w:tcBorders>
            <w:shd w:val="clear" w:color="000000" w:fill="D9D9D9"/>
            <w:noWrap/>
            <w:vAlign w:val="center"/>
            <w:hideMark/>
          </w:tcPr>
          <w:p w14:paraId="2B31D25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S124</w:t>
            </w:r>
          </w:p>
        </w:tc>
        <w:tc>
          <w:tcPr>
            <w:tcW w:w="576" w:type="dxa"/>
            <w:tcBorders>
              <w:top w:val="nil"/>
              <w:left w:val="nil"/>
              <w:bottom w:val="nil"/>
              <w:right w:val="nil"/>
            </w:tcBorders>
            <w:shd w:val="clear" w:color="000000" w:fill="D9D9D9"/>
            <w:noWrap/>
            <w:vAlign w:val="center"/>
            <w:hideMark/>
          </w:tcPr>
          <w:p w14:paraId="31600C5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S12O</w:t>
            </w:r>
          </w:p>
        </w:tc>
        <w:tc>
          <w:tcPr>
            <w:tcW w:w="576" w:type="dxa"/>
            <w:tcBorders>
              <w:top w:val="nil"/>
              <w:left w:val="nil"/>
              <w:bottom w:val="nil"/>
              <w:right w:val="nil"/>
            </w:tcBorders>
            <w:shd w:val="clear" w:color="000000" w:fill="D9D9D9"/>
            <w:noWrap/>
            <w:vAlign w:val="center"/>
            <w:hideMark/>
          </w:tcPr>
          <w:p w14:paraId="4CC6DF5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S128</w:t>
            </w:r>
          </w:p>
        </w:tc>
        <w:tc>
          <w:tcPr>
            <w:tcW w:w="432" w:type="dxa"/>
            <w:tcBorders>
              <w:top w:val="nil"/>
              <w:left w:val="nil"/>
              <w:bottom w:val="nil"/>
              <w:right w:val="nil"/>
            </w:tcBorders>
            <w:shd w:val="clear" w:color="000000" w:fill="D9D9D9"/>
            <w:noWrap/>
            <w:vAlign w:val="center"/>
            <w:hideMark/>
          </w:tcPr>
          <w:p w14:paraId="0472F61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S129</w:t>
            </w:r>
          </w:p>
        </w:tc>
        <w:tc>
          <w:tcPr>
            <w:tcW w:w="652" w:type="dxa"/>
            <w:tcBorders>
              <w:top w:val="nil"/>
              <w:left w:val="nil"/>
              <w:bottom w:val="nil"/>
              <w:right w:val="nil"/>
            </w:tcBorders>
            <w:shd w:val="clear" w:color="000000" w:fill="D9D9D9"/>
            <w:noWrap/>
            <w:vAlign w:val="center"/>
            <w:hideMark/>
          </w:tcPr>
          <w:p w14:paraId="49583A0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S13</w:t>
            </w:r>
          </w:p>
        </w:tc>
        <w:tc>
          <w:tcPr>
            <w:tcW w:w="576" w:type="dxa"/>
            <w:tcBorders>
              <w:top w:val="nil"/>
              <w:left w:val="nil"/>
              <w:bottom w:val="nil"/>
              <w:right w:val="nil"/>
            </w:tcBorders>
            <w:shd w:val="clear" w:color="000000" w:fill="D9D9D9"/>
            <w:noWrap/>
            <w:vAlign w:val="center"/>
            <w:hideMark/>
          </w:tcPr>
          <w:p w14:paraId="58B8198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S14+</w:t>
            </w:r>
          </w:p>
          <w:p w14:paraId="29B8463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S15</w:t>
            </w:r>
          </w:p>
        </w:tc>
        <w:tc>
          <w:tcPr>
            <w:tcW w:w="576" w:type="dxa"/>
            <w:tcBorders>
              <w:top w:val="single" w:sz="4" w:space="0" w:color="auto"/>
              <w:left w:val="nil"/>
              <w:bottom w:val="nil"/>
              <w:right w:val="single" w:sz="4" w:space="0" w:color="auto"/>
            </w:tcBorders>
            <w:shd w:val="clear" w:color="000000" w:fill="D9D9D9"/>
            <w:noWrap/>
            <w:vAlign w:val="center"/>
            <w:hideMark/>
          </w:tcPr>
          <w:p w14:paraId="1D6A23E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S2</w:t>
            </w:r>
          </w:p>
        </w:tc>
        <w:tc>
          <w:tcPr>
            <w:tcW w:w="3511" w:type="dxa"/>
            <w:gridSpan w:val="2"/>
            <w:tcBorders>
              <w:top w:val="nil"/>
              <w:left w:val="nil"/>
              <w:bottom w:val="nil"/>
              <w:right w:val="nil"/>
            </w:tcBorders>
            <w:shd w:val="clear" w:color="auto" w:fill="auto"/>
            <w:noWrap/>
            <w:vAlign w:val="center"/>
            <w:hideMark/>
          </w:tcPr>
          <w:p w14:paraId="0BEFA3F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u w:val="single"/>
                <w:lang w:eastAsia="en-GB"/>
              </w:rPr>
              <w:t>Key for data sources and calculation/estimations</w:t>
            </w:r>
            <w:r w:rsidRPr="0009294D">
              <w:rPr>
                <w:rFonts w:ascii="Times New Roman" w:eastAsia="Times New Roman" w:hAnsi="Times New Roman" w:cs="Times New Roman"/>
                <w:color w:val="000000"/>
                <w:sz w:val="12"/>
                <w:szCs w:val="12"/>
                <w:lang w:eastAsia="en-GB"/>
              </w:rPr>
              <w:t>:</w:t>
            </w:r>
          </w:p>
        </w:tc>
      </w:tr>
      <w:tr w:rsidR="0009294D" w:rsidRPr="0009294D" w14:paraId="17E9C3D0" w14:textId="77777777" w:rsidTr="00BE05AB">
        <w:trPr>
          <w:trHeight w:val="20"/>
          <w:jc w:val="center"/>
        </w:trPr>
        <w:tc>
          <w:tcPr>
            <w:tcW w:w="630" w:type="dxa"/>
            <w:tcBorders>
              <w:top w:val="nil"/>
              <w:left w:val="nil"/>
              <w:bottom w:val="single" w:sz="4" w:space="0" w:color="auto"/>
              <w:right w:val="nil"/>
            </w:tcBorders>
            <w:shd w:val="clear" w:color="000000" w:fill="FFFFFF"/>
            <w:noWrap/>
            <w:vAlign w:val="center"/>
            <w:hideMark/>
          </w:tcPr>
          <w:p w14:paraId="6F466FAF"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sidRPr="0009294D">
              <w:rPr>
                <w:rFonts w:ascii="Times New Roman" w:eastAsia="Times New Roman" w:hAnsi="Times New Roman" w:cs="Times New Roman"/>
                <w:b/>
                <w:bCs/>
                <w:color w:val="000000"/>
                <w:sz w:val="12"/>
                <w:szCs w:val="12"/>
                <w:lang w:eastAsia="en-GB"/>
              </w:rPr>
              <w:t> </w:t>
            </w:r>
          </w:p>
        </w:tc>
        <w:tc>
          <w:tcPr>
            <w:tcW w:w="1627" w:type="dxa"/>
            <w:tcBorders>
              <w:top w:val="nil"/>
              <w:left w:val="nil"/>
              <w:bottom w:val="nil"/>
              <w:right w:val="nil"/>
            </w:tcBorders>
            <w:shd w:val="clear" w:color="000000" w:fill="FFFFFF"/>
            <w:noWrap/>
            <w:vAlign w:val="center"/>
            <w:hideMark/>
          </w:tcPr>
          <w:p w14:paraId="7C377DDD"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sidRPr="0009294D">
              <w:rPr>
                <w:rFonts w:ascii="Times New Roman" w:eastAsia="Times New Roman" w:hAnsi="Times New Roman" w:cs="Times New Roman"/>
                <w:b/>
                <w:bCs/>
                <w:color w:val="000000"/>
                <w:sz w:val="12"/>
                <w:szCs w:val="12"/>
                <w:lang w:eastAsia="en-GB"/>
              </w:rPr>
              <w:t> </w:t>
            </w:r>
          </w:p>
        </w:tc>
        <w:tc>
          <w:tcPr>
            <w:tcW w:w="589" w:type="dxa"/>
            <w:gridSpan w:val="2"/>
            <w:tcBorders>
              <w:top w:val="nil"/>
              <w:left w:val="single" w:sz="4" w:space="0" w:color="auto"/>
              <w:bottom w:val="single" w:sz="4" w:space="0" w:color="auto"/>
              <w:right w:val="nil"/>
            </w:tcBorders>
            <w:shd w:val="clear" w:color="000000" w:fill="D9D9D9"/>
            <w:noWrap/>
            <w:vAlign w:val="center"/>
            <w:hideMark/>
          </w:tcPr>
          <w:p w14:paraId="77E479B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NFCs</w:t>
            </w:r>
          </w:p>
        </w:tc>
        <w:tc>
          <w:tcPr>
            <w:tcW w:w="544" w:type="dxa"/>
            <w:tcBorders>
              <w:top w:val="nil"/>
              <w:left w:val="nil"/>
              <w:bottom w:val="single" w:sz="4" w:space="0" w:color="auto"/>
              <w:right w:val="nil"/>
            </w:tcBorders>
            <w:shd w:val="clear" w:color="000000" w:fill="D9D9D9"/>
            <w:noWrap/>
            <w:vAlign w:val="center"/>
            <w:hideMark/>
          </w:tcPr>
          <w:p w14:paraId="131DAFF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MFIs</w:t>
            </w:r>
          </w:p>
        </w:tc>
        <w:tc>
          <w:tcPr>
            <w:tcW w:w="499" w:type="dxa"/>
            <w:gridSpan w:val="2"/>
            <w:tcBorders>
              <w:top w:val="nil"/>
              <w:left w:val="nil"/>
              <w:bottom w:val="single" w:sz="4" w:space="0" w:color="auto"/>
              <w:right w:val="nil"/>
            </w:tcBorders>
            <w:shd w:val="clear" w:color="000000" w:fill="D9D9D9"/>
            <w:noWrap/>
            <w:vAlign w:val="center"/>
            <w:hideMark/>
          </w:tcPr>
          <w:p w14:paraId="74F3FB1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IFs</w:t>
            </w:r>
          </w:p>
        </w:tc>
        <w:tc>
          <w:tcPr>
            <w:tcW w:w="715" w:type="dxa"/>
            <w:gridSpan w:val="2"/>
            <w:tcBorders>
              <w:top w:val="nil"/>
              <w:left w:val="nil"/>
              <w:bottom w:val="single" w:sz="4" w:space="0" w:color="auto"/>
              <w:right w:val="nil"/>
            </w:tcBorders>
            <w:shd w:val="clear" w:color="000000" w:fill="D9D9D9"/>
            <w:noWrap/>
            <w:vAlign w:val="center"/>
            <w:hideMark/>
          </w:tcPr>
          <w:p w14:paraId="4EF42D7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OFIs</w:t>
            </w:r>
          </w:p>
        </w:tc>
        <w:tc>
          <w:tcPr>
            <w:tcW w:w="499" w:type="dxa"/>
            <w:tcBorders>
              <w:top w:val="nil"/>
              <w:left w:val="nil"/>
              <w:bottom w:val="single" w:sz="4" w:space="0" w:color="auto"/>
              <w:right w:val="nil"/>
            </w:tcBorders>
            <w:shd w:val="clear" w:color="000000" w:fill="D9D9D9"/>
            <w:noWrap/>
            <w:vAlign w:val="center"/>
            <w:hideMark/>
          </w:tcPr>
          <w:p w14:paraId="0882251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bottom w:val="single" w:sz="4" w:space="0" w:color="auto"/>
              <w:right w:val="nil"/>
            </w:tcBorders>
            <w:shd w:val="clear" w:color="000000" w:fill="D9D9D9"/>
            <w:noWrap/>
            <w:vAlign w:val="center"/>
            <w:hideMark/>
          </w:tcPr>
          <w:p w14:paraId="03D6004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single" w:sz="4" w:space="0" w:color="auto"/>
              <w:right w:val="nil"/>
            </w:tcBorders>
            <w:shd w:val="clear" w:color="000000" w:fill="D9D9D9"/>
            <w:noWrap/>
            <w:vAlign w:val="center"/>
            <w:hideMark/>
          </w:tcPr>
          <w:p w14:paraId="43D4A51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Gov</w:t>
            </w:r>
          </w:p>
        </w:tc>
        <w:tc>
          <w:tcPr>
            <w:tcW w:w="576" w:type="dxa"/>
            <w:tcBorders>
              <w:top w:val="nil"/>
              <w:left w:val="nil"/>
              <w:bottom w:val="single" w:sz="4" w:space="0" w:color="auto"/>
              <w:right w:val="nil"/>
            </w:tcBorders>
            <w:shd w:val="clear" w:color="000000" w:fill="D9D9D9"/>
            <w:noWrap/>
            <w:vAlign w:val="center"/>
            <w:hideMark/>
          </w:tcPr>
          <w:p w14:paraId="4FCE374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HH+</w:t>
            </w:r>
          </w:p>
          <w:p w14:paraId="352B630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NPISH</w:t>
            </w:r>
          </w:p>
        </w:tc>
        <w:tc>
          <w:tcPr>
            <w:tcW w:w="576" w:type="dxa"/>
            <w:tcBorders>
              <w:top w:val="nil"/>
              <w:left w:val="nil"/>
              <w:bottom w:val="single" w:sz="4" w:space="0" w:color="auto"/>
              <w:right w:val="single" w:sz="4" w:space="0" w:color="auto"/>
            </w:tcBorders>
            <w:shd w:val="clear" w:color="000000" w:fill="D9D9D9"/>
            <w:noWrap/>
            <w:vAlign w:val="center"/>
            <w:hideMark/>
          </w:tcPr>
          <w:p w14:paraId="5C83D5C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RoW</w:t>
            </w:r>
            <w:proofErr w:type="spellEnd"/>
          </w:p>
        </w:tc>
        <w:tc>
          <w:tcPr>
            <w:tcW w:w="576" w:type="dxa"/>
            <w:tcBorders>
              <w:top w:val="nil"/>
              <w:left w:val="nil"/>
              <w:bottom w:val="single" w:sz="4" w:space="0" w:color="auto"/>
              <w:right w:val="nil"/>
            </w:tcBorders>
            <w:shd w:val="clear" w:color="000000" w:fill="D9D9D9"/>
            <w:noWrap/>
            <w:vAlign w:val="center"/>
            <w:hideMark/>
          </w:tcPr>
          <w:p w14:paraId="48ACBD8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NFCs</w:t>
            </w:r>
          </w:p>
        </w:tc>
        <w:tc>
          <w:tcPr>
            <w:tcW w:w="576" w:type="dxa"/>
            <w:tcBorders>
              <w:top w:val="nil"/>
              <w:left w:val="nil"/>
              <w:bottom w:val="single" w:sz="4" w:space="0" w:color="auto"/>
              <w:right w:val="nil"/>
            </w:tcBorders>
            <w:shd w:val="clear" w:color="000000" w:fill="D9D9D9"/>
            <w:noWrap/>
            <w:vAlign w:val="center"/>
            <w:hideMark/>
          </w:tcPr>
          <w:p w14:paraId="25F0EC5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MFIs</w:t>
            </w:r>
          </w:p>
        </w:tc>
        <w:tc>
          <w:tcPr>
            <w:tcW w:w="432" w:type="dxa"/>
            <w:tcBorders>
              <w:top w:val="nil"/>
              <w:left w:val="nil"/>
              <w:bottom w:val="single" w:sz="4" w:space="0" w:color="auto"/>
              <w:right w:val="nil"/>
            </w:tcBorders>
            <w:shd w:val="clear" w:color="000000" w:fill="D9D9D9"/>
            <w:noWrap/>
            <w:vAlign w:val="center"/>
            <w:hideMark/>
          </w:tcPr>
          <w:p w14:paraId="26A8AEB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IFs</w:t>
            </w:r>
          </w:p>
        </w:tc>
        <w:tc>
          <w:tcPr>
            <w:tcW w:w="576" w:type="dxa"/>
            <w:tcBorders>
              <w:top w:val="nil"/>
              <w:left w:val="nil"/>
              <w:bottom w:val="single" w:sz="4" w:space="0" w:color="auto"/>
              <w:right w:val="nil"/>
            </w:tcBorders>
            <w:shd w:val="clear" w:color="000000" w:fill="D9D9D9"/>
            <w:noWrap/>
            <w:vAlign w:val="center"/>
            <w:hideMark/>
          </w:tcPr>
          <w:p w14:paraId="304255E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OFIs</w:t>
            </w:r>
          </w:p>
        </w:tc>
        <w:tc>
          <w:tcPr>
            <w:tcW w:w="576" w:type="dxa"/>
            <w:tcBorders>
              <w:top w:val="nil"/>
              <w:left w:val="nil"/>
              <w:bottom w:val="single" w:sz="4" w:space="0" w:color="auto"/>
              <w:right w:val="nil"/>
            </w:tcBorders>
            <w:shd w:val="clear" w:color="000000" w:fill="D9D9D9"/>
            <w:noWrap/>
            <w:vAlign w:val="center"/>
            <w:hideMark/>
          </w:tcPr>
          <w:p w14:paraId="7BE7439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bottom w:val="single" w:sz="4" w:space="0" w:color="auto"/>
              <w:right w:val="nil"/>
            </w:tcBorders>
            <w:shd w:val="clear" w:color="000000" w:fill="D9D9D9"/>
            <w:noWrap/>
            <w:vAlign w:val="center"/>
            <w:hideMark/>
          </w:tcPr>
          <w:p w14:paraId="721886D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2" w:type="dxa"/>
            <w:tcBorders>
              <w:top w:val="nil"/>
              <w:left w:val="nil"/>
              <w:bottom w:val="single" w:sz="4" w:space="0" w:color="auto"/>
              <w:right w:val="nil"/>
            </w:tcBorders>
            <w:shd w:val="clear" w:color="000000" w:fill="D9D9D9"/>
            <w:noWrap/>
            <w:vAlign w:val="center"/>
            <w:hideMark/>
          </w:tcPr>
          <w:p w14:paraId="31F9CC8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Gov</w:t>
            </w:r>
          </w:p>
        </w:tc>
        <w:tc>
          <w:tcPr>
            <w:tcW w:w="576" w:type="dxa"/>
            <w:tcBorders>
              <w:top w:val="nil"/>
              <w:left w:val="nil"/>
              <w:bottom w:val="single" w:sz="4" w:space="0" w:color="auto"/>
              <w:right w:val="nil"/>
            </w:tcBorders>
            <w:shd w:val="clear" w:color="000000" w:fill="D9D9D9"/>
            <w:noWrap/>
            <w:vAlign w:val="center"/>
            <w:hideMark/>
          </w:tcPr>
          <w:p w14:paraId="572862E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HH+</w:t>
            </w:r>
          </w:p>
          <w:p w14:paraId="4368496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NPISHs</w:t>
            </w:r>
          </w:p>
        </w:tc>
        <w:tc>
          <w:tcPr>
            <w:tcW w:w="576" w:type="dxa"/>
            <w:tcBorders>
              <w:top w:val="nil"/>
              <w:left w:val="nil"/>
              <w:bottom w:val="single" w:sz="4" w:space="0" w:color="auto"/>
              <w:right w:val="single" w:sz="4" w:space="0" w:color="auto"/>
            </w:tcBorders>
            <w:shd w:val="clear" w:color="000000" w:fill="D9D9D9"/>
            <w:noWrap/>
            <w:vAlign w:val="center"/>
            <w:hideMark/>
          </w:tcPr>
          <w:p w14:paraId="12D4174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RoW</w:t>
            </w:r>
            <w:proofErr w:type="spellEnd"/>
          </w:p>
        </w:tc>
        <w:tc>
          <w:tcPr>
            <w:tcW w:w="720" w:type="dxa"/>
            <w:tcBorders>
              <w:top w:val="nil"/>
              <w:left w:val="nil"/>
              <w:bottom w:val="nil"/>
              <w:right w:val="nil"/>
            </w:tcBorders>
            <w:shd w:val="clear" w:color="auto" w:fill="auto"/>
            <w:noWrap/>
            <w:vAlign w:val="center"/>
            <w:hideMark/>
          </w:tcPr>
          <w:p w14:paraId="6D8E077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2791" w:type="dxa"/>
            <w:tcBorders>
              <w:top w:val="nil"/>
              <w:left w:val="nil"/>
              <w:bottom w:val="nil"/>
              <w:right w:val="nil"/>
            </w:tcBorders>
            <w:shd w:val="clear" w:color="auto" w:fill="auto"/>
            <w:noWrap/>
            <w:vAlign w:val="center"/>
            <w:hideMark/>
          </w:tcPr>
          <w:p w14:paraId="7CC11FB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Annual survey based on balance sheets of non-financial corporations</w:t>
            </w:r>
          </w:p>
        </w:tc>
      </w:tr>
      <w:tr w:rsidR="0009294D" w:rsidRPr="0009294D" w14:paraId="5C4F2048"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7E09B56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F11</w:t>
            </w:r>
          </w:p>
        </w:tc>
        <w:tc>
          <w:tcPr>
            <w:tcW w:w="1627" w:type="dxa"/>
            <w:tcBorders>
              <w:top w:val="single" w:sz="4" w:space="0" w:color="auto"/>
              <w:left w:val="nil"/>
              <w:bottom w:val="nil"/>
              <w:right w:val="nil"/>
            </w:tcBorders>
            <w:shd w:val="clear" w:color="000000" w:fill="D9D9D9"/>
            <w:vAlign w:val="center"/>
            <w:hideMark/>
          </w:tcPr>
          <w:p w14:paraId="5582705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Monetary gold </w:t>
            </w:r>
          </w:p>
        </w:tc>
        <w:tc>
          <w:tcPr>
            <w:tcW w:w="589" w:type="dxa"/>
            <w:gridSpan w:val="2"/>
            <w:tcBorders>
              <w:top w:val="single" w:sz="4" w:space="0" w:color="auto"/>
              <w:left w:val="single" w:sz="4" w:space="0" w:color="auto"/>
              <w:bottom w:val="nil"/>
              <w:right w:val="nil"/>
            </w:tcBorders>
            <w:shd w:val="clear" w:color="auto" w:fill="D9D9D9"/>
            <w:noWrap/>
            <w:vAlign w:val="center"/>
            <w:hideMark/>
          </w:tcPr>
          <w:p w14:paraId="081C8DC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 </w:t>
            </w:r>
          </w:p>
        </w:tc>
        <w:tc>
          <w:tcPr>
            <w:tcW w:w="544" w:type="dxa"/>
            <w:tcBorders>
              <w:top w:val="single" w:sz="4" w:space="0" w:color="auto"/>
              <w:left w:val="nil"/>
              <w:bottom w:val="nil"/>
              <w:right w:val="nil"/>
            </w:tcBorders>
            <w:shd w:val="clear" w:color="auto" w:fill="auto"/>
            <w:noWrap/>
            <w:vAlign w:val="center"/>
            <w:hideMark/>
          </w:tcPr>
          <w:p w14:paraId="4A76D7E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single" w:sz="4" w:space="0" w:color="auto"/>
              <w:left w:val="nil"/>
              <w:bottom w:val="nil"/>
              <w:right w:val="nil"/>
            </w:tcBorders>
            <w:shd w:val="clear" w:color="auto" w:fill="D9D9D9"/>
            <w:noWrap/>
            <w:vAlign w:val="center"/>
            <w:hideMark/>
          </w:tcPr>
          <w:p w14:paraId="4C460BB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15" w:type="dxa"/>
            <w:gridSpan w:val="2"/>
            <w:tcBorders>
              <w:top w:val="single" w:sz="4" w:space="0" w:color="auto"/>
              <w:left w:val="nil"/>
              <w:bottom w:val="nil"/>
              <w:right w:val="nil"/>
            </w:tcBorders>
            <w:shd w:val="clear" w:color="auto" w:fill="D9D9D9"/>
            <w:noWrap/>
            <w:vAlign w:val="center"/>
            <w:hideMark/>
          </w:tcPr>
          <w:p w14:paraId="363B5D6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99" w:type="dxa"/>
            <w:tcBorders>
              <w:top w:val="single" w:sz="4" w:space="0" w:color="auto"/>
              <w:left w:val="nil"/>
              <w:bottom w:val="nil"/>
              <w:right w:val="nil"/>
            </w:tcBorders>
            <w:shd w:val="clear" w:color="auto" w:fill="D9D9D9"/>
            <w:noWrap/>
            <w:vAlign w:val="center"/>
            <w:hideMark/>
          </w:tcPr>
          <w:p w14:paraId="1E7B9CB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11" w:type="dxa"/>
            <w:tcBorders>
              <w:top w:val="single" w:sz="4" w:space="0" w:color="auto"/>
              <w:left w:val="nil"/>
              <w:bottom w:val="nil"/>
              <w:right w:val="nil"/>
            </w:tcBorders>
            <w:shd w:val="clear" w:color="auto" w:fill="D9D9D9"/>
            <w:noWrap/>
            <w:vAlign w:val="center"/>
            <w:hideMark/>
          </w:tcPr>
          <w:p w14:paraId="073850A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4" w:type="dxa"/>
            <w:tcBorders>
              <w:top w:val="single" w:sz="4" w:space="0" w:color="auto"/>
              <w:left w:val="nil"/>
              <w:bottom w:val="nil"/>
              <w:right w:val="nil"/>
            </w:tcBorders>
            <w:shd w:val="clear" w:color="auto" w:fill="auto"/>
            <w:noWrap/>
            <w:vAlign w:val="center"/>
            <w:hideMark/>
          </w:tcPr>
          <w:p w14:paraId="167B02A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single" w:sz="4" w:space="0" w:color="auto"/>
              <w:left w:val="nil"/>
              <w:bottom w:val="nil"/>
              <w:right w:val="nil"/>
            </w:tcBorders>
            <w:shd w:val="clear" w:color="auto" w:fill="D9D9D9"/>
            <w:noWrap/>
            <w:vAlign w:val="center"/>
            <w:hideMark/>
          </w:tcPr>
          <w:p w14:paraId="08211D9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auto"/>
            <w:noWrap/>
            <w:vAlign w:val="center"/>
            <w:hideMark/>
          </w:tcPr>
          <w:p w14:paraId="7979767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single" w:sz="4" w:space="0" w:color="auto"/>
              <w:left w:val="nil"/>
              <w:bottom w:val="nil"/>
              <w:right w:val="nil"/>
            </w:tcBorders>
            <w:shd w:val="clear" w:color="auto" w:fill="D9D9D9"/>
            <w:noWrap/>
            <w:vAlign w:val="center"/>
            <w:hideMark/>
          </w:tcPr>
          <w:p w14:paraId="43C34F3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36C28E4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432" w:type="dxa"/>
            <w:tcBorders>
              <w:top w:val="single" w:sz="4" w:space="0" w:color="auto"/>
              <w:left w:val="nil"/>
              <w:bottom w:val="nil"/>
              <w:right w:val="nil"/>
            </w:tcBorders>
            <w:shd w:val="clear" w:color="auto" w:fill="D9D9D9"/>
            <w:noWrap/>
            <w:vAlign w:val="center"/>
            <w:hideMark/>
          </w:tcPr>
          <w:p w14:paraId="60D9147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single" w:sz="4" w:space="0" w:color="auto"/>
              <w:left w:val="nil"/>
              <w:bottom w:val="nil"/>
              <w:right w:val="nil"/>
            </w:tcBorders>
            <w:shd w:val="clear" w:color="auto" w:fill="D9D9D9"/>
            <w:noWrap/>
            <w:vAlign w:val="center"/>
            <w:hideMark/>
          </w:tcPr>
          <w:p w14:paraId="02F29E1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single" w:sz="4" w:space="0" w:color="auto"/>
              <w:left w:val="nil"/>
              <w:bottom w:val="nil"/>
              <w:right w:val="nil"/>
            </w:tcBorders>
            <w:shd w:val="clear" w:color="auto" w:fill="D9D9D9"/>
            <w:noWrap/>
            <w:vAlign w:val="center"/>
            <w:hideMark/>
          </w:tcPr>
          <w:p w14:paraId="30A81DD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single" w:sz="4" w:space="0" w:color="auto"/>
              <w:left w:val="nil"/>
              <w:bottom w:val="nil"/>
              <w:right w:val="nil"/>
            </w:tcBorders>
            <w:shd w:val="clear" w:color="auto" w:fill="D9D9D9"/>
            <w:noWrap/>
            <w:vAlign w:val="center"/>
            <w:hideMark/>
          </w:tcPr>
          <w:p w14:paraId="3C8E9FF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single" w:sz="4" w:space="0" w:color="auto"/>
              <w:left w:val="nil"/>
              <w:right w:val="nil"/>
            </w:tcBorders>
            <w:shd w:val="clear" w:color="auto" w:fill="D9D9D9"/>
            <w:noWrap/>
            <w:vAlign w:val="center"/>
            <w:hideMark/>
          </w:tcPr>
          <w:p w14:paraId="469CDC0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single" w:sz="4" w:space="0" w:color="auto"/>
              <w:left w:val="nil"/>
              <w:bottom w:val="nil"/>
              <w:right w:val="nil"/>
            </w:tcBorders>
            <w:shd w:val="clear" w:color="auto" w:fill="D9D9D9"/>
            <w:noWrap/>
            <w:vAlign w:val="center"/>
            <w:hideMark/>
          </w:tcPr>
          <w:p w14:paraId="0AB1724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single" w:sz="4" w:space="0" w:color="auto"/>
              <w:left w:val="nil"/>
              <w:bottom w:val="nil"/>
              <w:right w:val="single" w:sz="4" w:space="0" w:color="auto"/>
            </w:tcBorders>
            <w:shd w:val="clear" w:color="auto" w:fill="auto"/>
            <w:noWrap/>
            <w:vAlign w:val="center"/>
            <w:hideMark/>
          </w:tcPr>
          <w:p w14:paraId="5478D13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720" w:type="dxa"/>
            <w:tcBorders>
              <w:top w:val="nil"/>
              <w:left w:val="nil"/>
              <w:bottom w:val="nil"/>
              <w:right w:val="nil"/>
            </w:tcBorders>
            <w:shd w:val="clear" w:color="auto" w:fill="auto"/>
            <w:noWrap/>
            <w:vAlign w:val="center"/>
            <w:hideMark/>
          </w:tcPr>
          <w:p w14:paraId="39FE641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p>
        </w:tc>
        <w:tc>
          <w:tcPr>
            <w:tcW w:w="2791" w:type="dxa"/>
            <w:tcBorders>
              <w:top w:val="nil"/>
              <w:left w:val="nil"/>
              <w:bottom w:val="nil"/>
              <w:right w:val="nil"/>
            </w:tcBorders>
            <w:shd w:val="clear" w:color="auto" w:fill="auto"/>
            <w:noWrap/>
            <w:vAlign w:val="center"/>
            <w:hideMark/>
          </w:tcPr>
          <w:p w14:paraId="6F52F35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 xml:space="preserve">Survey data </w:t>
            </w:r>
          </w:p>
        </w:tc>
      </w:tr>
      <w:tr w:rsidR="0009294D" w:rsidRPr="0009294D" w14:paraId="08886147"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629660C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F12</w:t>
            </w:r>
          </w:p>
        </w:tc>
        <w:tc>
          <w:tcPr>
            <w:tcW w:w="1627" w:type="dxa"/>
            <w:tcBorders>
              <w:top w:val="nil"/>
              <w:left w:val="nil"/>
              <w:bottom w:val="nil"/>
              <w:right w:val="nil"/>
            </w:tcBorders>
            <w:shd w:val="clear" w:color="000000" w:fill="D9D9D9"/>
            <w:vAlign w:val="center"/>
            <w:hideMark/>
          </w:tcPr>
          <w:p w14:paraId="3E0B2DA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SDRs </w:t>
            </w:r>
          </w:p>
        </w:tc>
        <w:tc>
          <w:tcPr>
            <w:tcW w:w="589" w:type="dxa"/>
            <w:gridSpan w:val="2"/>
            <w:tcBorders>
              <w:top w:val="nil"/>
              <w:left w:val="single" w:sz="4" w:space="0" w:color="auto"/>
              <w:bottom w:val="nil"/>
              <w:right w:val="nil"/>
            </w:tcBorders>
            <w:shd w:val="clear" w:color="auto" w:fill="D9D9D9"/>
            <w:noWrap/>
            <w:vAlign w:val="center"/>
            <w:hideMark/>
          </w:tcPr>
          <w:p w14:paraId="4DE3091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 </w:t>
            </w:r>
          </w:p>
        </w:tc>
        <w:tc>
          <w:tcPr>
            <w:tcW w:w="544" w:type="dxa"/>
            <w:tcBorders>
              <w:top w:val="nil"/>
              <w:left w:val="nil"/>
              <w:bottom w:val="nil"/>
              <w:right w:val="nil"/>
            </w:tcBorders>
            <w:shd w:val="clear" w:color="auto" w:fill="auto"/>
            <w:noWrap/>
            <w:vAlign w:val="center"/>
            <w:hideMark/>
          </w:tcPr>
          <w:p w14:paraId="19E1157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D9D9D9"/>
            <w:noWrap/>
            <w:vAlign w:val="center"/>
            <w:hideMark/>
          </w:tcPr>
          <w:p w14:paraId="6B00789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15" w:type="dxa"/>
            <w:gridSpan w:val="2"/>
            <w:tcBorders>
              <w:top w:val="nil"/>
              <w:left w:val="nil"/>
              <w:bottom w:val="nil"/>
              <w:right w:val="nil"/>
            </w:tcBorders>
            <w:shd w:val="clear" w:color="auto" w:fill="D9D9D9"/>
            <w:noWrap/>
            <w:vAlign w:val="center"/>
            <w:hideMark/>
          </w:tcPr>
          <w:p w14:paraId="0C1E882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99" w:type="dxa"/>
            <w:tcBorders>
              <w:top w:val="nil"/>
              <w:left w:val="nil"/>
              <w:right w:val="nil"/>
            </w:tcBorders>
            <w:shd w:val="clear" w:color="auto" w:fill="D9D9D9"/>
            <w:noWrap/>
            <w:vAlign w:val="center"/>
            <w:hideMark/>
          </w:tcPr>
          <w:p w14:paraId="0A5A179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11" w:type="dxa"/>
            <w:tcBorders>
              <w:top w:val="nil"/>
              <w:left w:val="nil"/>
              <w:right w:val="nil"/>
            </w:tcBorders>
            <w:shd w:val="clear" w:color="auto" w:fill="D9D9D9"/>
            <w:noWrap/>
            <w:vAlign w:val="center"/>
            <w:hideMark/>
          </w:tcPr>
          <w:p w14:paraId="3D48948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4" w:type="dxa"/>
            <w:tcBorders>
              <w:top w:val="nil"/>
              <w:left w:val="nil"/>
              <w:bottom w:val="nil"/>
              <w:right w:val="nil"/>
            </w:tcBorders>
            <w:shd w:val="clear" w:color="auto" w:fill="auto"/>
            <w:noWrap/>
            <w:vAlign w:val="center"/>
            <w:hideMark/>
          </w:tcPr>
          <w:p w14:paraId="247735F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D9D9D9"/>
            <w:noWrap/>
            <w:vAlign w:val="center"/>
            <w:hideMark/>
          </w:tcPr>
          <w:p w14:paraId="0C5D472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auto"/>
            <w:noWrap/>
            <w:vAlign w:val="center"/>
            <w:hideMark/>
          </w:tcPr>
          <w:p w14:paraId="717F6C8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nil"/>
            </w:tcBorders>
            <w:shd w:val="clear" w:color="auto" w:fill="D9D9D9"/>
            <w:noWrap/>
            <w:vAlign w:val="center"/>
            <w:hideMark/>
          </w:tcPr>
          <w:p w14:paraId="407323D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1C332DA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bottom w:val="nil"/>
              <w:right w:val="nil"/>
            </w:tcBorders>
            <w:shd w:val="clear" w:color="auto" w:fill="D9D9D9"/>
            <w:noWrap/>
            <w:vAlign w:val="center"/>
            <w:hideMark/>
          </w:tcPr>
          <w:p w14:paraId="726B0FC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1048E9F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584348E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bottom w:val="nil"/>
              <w:right w:val="nil"/>
            </w:tcBorders>
            <w:shd w:val="clear" w:color="auto" w:fill="D9D9D9"/>
            <w:noWrap/>
            <w:vAlign w:val="center"/>
            <w:hideMark/>
          </w:tcPr>
          <w:p w14:paraId="28514A1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bottom w:val="nil"/>
              <w:right w:val="nil"/>
            </w:tcBorders>
            <w:shd w:val="clear" w:color="auto" w:fill="auto"/>
            <w:noWrap/>
            <w:vAlign w:val="center"/>
            <w:hideMark/>
          </w:tcPr>
          <w:p w14:paraId="5193613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D9D9D9"/>
            <w:noWrap/>
            <w:vAlign w:val="center"/>
            <w:hideMark/>
          </w:tcPr>
          <w:p w14:paraId="1E0467A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auto"/>
            <w:noWrap/>
            <w:vAlign w:val="center"/>
            <w:hideMark/>
          </w:tcPr>
          <w:p w14:paraId="2A0A074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720" w:type="dxa"/>
            <w:tcBorders>
              <w:top w:val="nil"/>
              <w:left w:val="nil"/>
              <w:bottom w:val="nil"/>
              <w:right w:val="nil"/>
            </w:tcBorders>
            <w:shd w:val="clear" w:color="auto" w:fill="auto"/>
            <w:noWrap/>
            <w:vAlign w:val="center"/>
            <w:hideMark/>
          </w:tcPr>
          <w:p w14:paraId="5DC607C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2791" w:type="dxa"/>
            <w:tcBorders>
              <w:top w:val="nil"/>
              <w:left w:val="nil"/>
              <w:bottom w:val="nil"/>
              <w:right w:val="nil"/>
            </w:tcBorders>
            <w:shd w:val="clear" w:color="auto" w:fill="auto"/>
            <w:noWrap/>
            <w:vAlign w:val="center"/>
            <w:hideMark/>
          </w:tcPr>
          <w:p w14:paraId="112661F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MFI balance sheet statistics</w:t>
            </w:r>
          </w:p>
        </w:tc>
      </w:tr>
      <w:tr w:rsidR="0009294D" w:rsidRPr="0009294D" w14:paraId="526FB41D"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7308848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F21</w:t>
            </w:r>
          </w:p>
        </w:tc>
        <w:tc>
          <w:tcPr>
            <w:tcW w:w="1627" w:type="dxa"/>
            <w:tcBorders>
              <w:top w:val="nil"/>
              <w:left w:val="nil"/>
              <w:bottom w:val="nil"/>
              <w:right w:val="nil"/>
            </w:tcBorders>
            <w:shd w:val="clear" w:color="000000" w:fill="D9D9D9"/>
            <w:vAlign w:val="center"/>
            <w:hideMark/>
          </w:tcPr>
          <w:p w14:paraId="28D147E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Currency</w:t>
            </w:r>
          </w:p>
        </w:tc>
        <w:tc>
          <w:tcPr>
            <w:tcW w:w="589" w:type="dxa"/>
            <w:gridSpan w:val="2"/>
            <w:tcBorders>
              <w:top w:val="nil"/>
              <w:left w:val="single" w:sz="4" w:space="0" w:color="auto"/>
              <w:bottom w:val="nil"/>
              <w:right w:val="nil"/>
            </w:tcBorders>
            <w:shd w:val="clear" w:color="auto" w:fill="auto"/>
            <w:noWrap/>
            <w:vAlign w:val="center"/>
            <w:hideMark/>
          </w:tcPr>
          <w:p w14:paraId="7FC00B0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e^^</w:t>
            </w:r>
          </w:p>
        </w:tc>
        <w:tc>
          <w:tcPr>
            <w:tcW w:w="544" w:type="dxa"/>
            <w:tcBorders>
              <w:top w:val="nil"/>
              <w:left w:val="nil"/>
              <w:bottom w:val="nil"/>
              <w:right w:val="nil"/>
            </w:tcBorders>
            <w:shd w:val="clear" w:color="auto" w:fill="auto"/>
            <w:noWrap/>
            <w:vAlign w:val="center"/>
            <w:hideMark/>
          </w:tcPr>
          <w:p w14:paraId="05733E5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312C72B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0</w:t>
            </w:r>
          </w:p>
        </w:tc>
        <w:tc>
          <w:tcPr>
            <w:tcW w:w="715" w:type="dxa"/>
            <w:gridSpan w:val="2"/>
            <w:tcBorders>
              <w:top w:val="nil"/>
              <w:left w:val="nil"/>
              <w:bottom w:val="nil"/>
              <w:right w:val="nil"/>
            </w:tcBorders>
            <w:shd w:val="clear" w:color="auto" w:fill="auto"/>
            <w:noWrap/>
            <w:vAlign w:val="center"/>
            <w:hideMark/>
          </w:tcPr>
          <w:p w14:paraId="1138C24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499" w:type="dxa"/>
            <w:tcBorders>
              <w:top w:val="nil"/>
              <w:left w:val="nil"/>
              <w:bottom w:val="nil"/>
              <w:right w:val="nil"/>
            </w:tcBorders>
            <w:shd w:val="clear" w:color="auto" w:fill="auto"/>
            <w:noWrap/>
            <w:vAlign w:val="center"/>
            <w:hideMark/>
          </w:tcPr>
          <w:p w14:paraId="4981C65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611" w:type="dxa"/>
            <w:tcBorders>
              <w:top w:val="nil"/>
              <w:left w:val="nil"/>
              <w:bottom w:val="nil"/>
              <w:right w:val="nil"/>
            </w:tcBorders>
            <w:shd w:val="clear" w:color="auto" w:fill="auto"/>
            <w:noWrap/>
            <w:vAlign w:val="center"/>
            <w:hideMark/>
          </w:tcPr>
          <w:p w14:paraId="12A2689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0 </w:t>
            </w:r>
          </w:p>
        </w:tc>
        <w:tc>
          <w:tcPr>
            <w:tcW w:w="654" w:type="dxa"/>
            <w:tcBorders>
              <w:top w:val="nil"/>
              <w:left w:val="nil"/>
              <w:bottom w:val="nil"/>
              <w:right w:val="nil"/>
            </w:tcBorders>
            <w:shd w:val="clear" w:color="auto" w:fill="auto"/>
            <w:noWrap/>
            <w:vAlign w:val="center"/>
            <w:hideMark/>
          </w:tcPr>
          <w:p w14:paraId="7B94690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0 </w:t>
            </w:r>
          </w:p>
        </w:tc>
        <w:tc>
          <w:tcPr>
            <w:tcW w:w="576" w:type="dxa"/>
            <w:tcBorders>
              <w:top w:val="nil"/>
              <w:left w:val="nil"/>
              <w:bottom w:val="nil"/>
              <w:right w:val="nil"/>
            </w:tcBorders>
            <w:shd w:val="clear" w:color="auto" w:fill="auto"/>
            <w:noWrap/>
            <w:vAlign w:val="center"/>
            <w:hideMark/>
          </w:tcPr>
          <w:p w14:paraId="078D7C5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w:t>
            </w:r>
          </w:p>
        </w:tc>
        <w:tc>
          <w:tcPr>
            <w:tcW w:w="576" w:type="dxa"/>
            <w:tcBorders>
              <w:top w:val="nil"/>
              <w:left w:val="nil"/>
              <w:bottom w:val="nil"/>
              <w:right w:val="single" w:sz="4" w:space="0" w:color="auto"/>
            </w:tcBorders>
            <w:shd w:val="clear" w:color="auto" w:fill="auto"/>
            <w:noWrap/>
            <w:vAlign w:val="center"/>
            <w:hideMark/>
          </w:tcPr>
          <w:p w14:paraId="59E8174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D9D9D9"/>
            <w:noWrap/>
            <w:vAlign w:val="center"/>
            <w:hideMark/>
          </w:tcPr>
          <w:p w14:paraId="37D2F54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3318C53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bottom w:val="nil"/>
              <w:right w:val="nil"/>
            </w:tcBorders>
            <w:shd w:val="clear" w:color="auto" w:fill="D9D9D9"/>
            <w:noWrap/>
            <w:vAlign w:val="center"/>
            <w:hideMark/>
          </w:tcPr>
          <w:p w14:paraId="5852A4B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7585391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12EB63C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bottom w:val="nil"/>
              <w:right w:val="nil"/>
            </w:tcBorders>
            <w:shd w:val="clear" w:color="auto" w:fill="D9D9D9"/>
            <w:noWrap/>
            <w:vAlign w:val="center"/>
            <w:hideMark/>
          </w:tcPr>
          <w:p w14:paraId="6B5F5CB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bottom w:val="nil"/>
              <w:right w:val="nil"/>
            </w:tcBorders>
            <w:shd w:val="clear" w:color="auto" w:fill="D9D9D9"/>
            <w:noWrap/>
            <w:vAlign w:val="center"/>
            <w:hideMark/>
          </w:tcPr>
          <w:p w14:paraId="44741A9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352CEB7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auto"/>
            <w:noWrap/>
            <w:vAlign w:val="center"/>
            <w:hideMark/>
          </w:tcPr>
          <w:p w14:paraId="17533C6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720" w:type="dxa"/>
            <w:tcBorders>
              <w:top w:val="nil"/>
              <w:left w:val="nil"/>
              <w:bottom w:val="nil"/>
              <w:right w:val="nil"/>
            </w:tcBorders>
            <w:shd w:val="clear" w:color="auto" w:fill="auto"/>
            <w:noWrap/>
            <w:vAlign w:val="center"/>
            <w:hideMark/>
          </w:tcPr>
          <w:p w14:paraId="6F41306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2791" w:type="dxa"/>
            <w:tcBorders>
              <w:top w:val="nil"/>
              <w:left w:val="nil"/>
              <w:bottom w:val="nil"/>
              <w:right w:val="nil"/>
            </w:tcBorders>
            <w:shd w:val="clear" w:color="auto" w:fill="auto"/>
            <w:noWrap/>
            <w:vAlign w:val="center"/>
            <w:hideMark/>
          </w:tcPr>
          <w:p w14:paraId="32E9E7D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Investment fund statistics</w:t>
            </w:r>
          </w:p>
        </w:tc>
      </w:tr>
      <w:tr w:rsidR="0009294D" w:rsidRPr="0009294D" w14:paraId="051E16B0"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225D9F4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F22</w:t>
            </w:r>
          </w:p>
        </w:tc>
        <w:tc>
          <w:tcPr>
            <w:tcW w:w="1627" w:type="dxa"/>
            <w:tcBorders>
              <w:top w:val="nil"/>
              <w:left w:val="nil"/>
              <w:bottom w:val="nil"/>
              <w:right w:val="nil"/>
            </w:tcBorders>
            <w:shd w:val="clear" w:color="000000" w:fill="D9D9D9"/>
            <w:vAlign w:val="center"/>
            <w:hideMark/>
          </w:tcPr>
          <w:p w14:paraId="7CB4C32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Deposits, transferable</w:t>
            </w:r>
          </w:p>
        </w:tc>
        <w:tc>
          <w:tcPr>
            <w:tcW w:w="589" w:type="dxa"/>
            <w:gridSpan w:val="2"/>
            <w:tcBorders>
              <w:top w:val="nil"/>
              <w:left w:val="single" w:sz="4" w:space="0" w:color="auto"/>
              <w:bottom w:val="nil"/>
              <w:right w:val="nil"/>
            </w:tcBorders>
            <w:shd w:val="clear" w:color="auto" w:fill="auto"/>
            <w:noWrap/>
            <w:vAlign w:val="center"/>
            <w:hideMark/>
          </w:tcPr>
          <w:p w14:paraId="3DAFB73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44" w:type="dxa"/>
            <w:tcBorders>
              <w:top w:val="nil"/>
              <w:left w:val="nil"/>
              <w:bottom w:val="nil"/>
              <w:right w:val="nil"/>
            </w:tcBorders>
            <w:shd w:val="clear" w:color="auto" w:fill="auto"/>
            <w:noWrap/>
            <w:vAlign w:val="center"/>
            <w:hideMark/>
          </w:tcPr>
          <w:p w14:paraId="1915739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6700CFF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2537C5B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roofErr w:type="spellStart"/>
            <w:r w:rsidRPr="0009294D">
              <w:rPr>
                <w:rFonts w:ascii="Times New Roman" w:eastAsia="Times New Roman" w:hAnsi="Times New Roman" w:cs="Times New Roman"/>
                <w:color w:val="000000"/>
                <w:sz w:val="12"/>
                <w:szCs w:val="12"/>
                <w:lang w:eastAsia="en-GB"/>
              </w:rPr>
              <w:t>BoP</w:t>
            </w:r>
            <w:proofErr w:type="spellEnd"/>
          </w:p>
        </w:tc>
        <w:tc>
          <w:tcPr>
            <w:tcW w:w="499" w:type="dxa"/>
            <w:tcBorders>
              <w:top w:val="nil"/>
              <w:left w:val="nil"/>
              <w:bottom w:val="nil"/>
              <w:right w:val="nil"/>
            </w:tcBorders>
            <w:shd w:val="clear" w:color="auto" w:fill="auto"/>
            <w:noWrap/>
            <w:vAlign w:val="center"/>
            <w:hideMark/>
          </w:tcPr>
          <w:p w14:paraId="67AA0A0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bottom w:val="nil"/>
              <w:right w:val="nil"/>
            </w:tcBorders>
            <w:shd w:val="clear" w:color="auto" w:fill="auto"/>
            <w:noWrap/>
            <w:vAlign w:val="center"/>
            <w:hideMark/>
          </w:tcPr>
          <w:p w14:paraId="014E852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3C5628B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5065CE2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single" w:sz="4" w:space="0" w:color="auto"/>
            </w:tcBorders>
            <w:shd w:val="clear" w:color="auto" w:fill="auto"/>
            <w:noWrap/>
            <w:vAlign w:val="center"/>
            <w:hideMark/>
          </w:tcPr>
          <w:p w14:paraId="6CA1836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nil"/>
            </w:tcBorders>
            <w:shd w:val="clear" w:color="auto" w:fill="auto"/>
            <w:noWrap/>
            <w:vAlign w:val="center"/>
            <w:hideMark/>
          </w:tcPr>
          <w:p w14:paraId="0B3B083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auto"/>
            <w:noWrap/>
            <w:vAlign w:val="center"/>
            <w:hideMark/>
          </w:tcPr>
          <w:p w14:paraId="72B630B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right w:val="nil"/>
            </w:tcBorders>
            <w:shd w:val="clear" w:color="auto" w:fill="D9D9D9"/>
            <w:noWrap/>
            <w:vAlign w:val="center"/>
            <w:hideMark/>
          </w:tcPr>
          <w:p w14:paraId="5277D26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59D0291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21C61A0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bottom w:val="nil"/>
              <w:right w:val="nil"/>
            </w:tcBorders>
            <w:shd w:val="clear" w:color="auto" w:fill="D9D9D9"/>
            <w:noWrap/>
            <w:vAlign w:val="center"/>
            <w:hideMark/>
          </w:tcPr>
          <w:p w14:paraId="47E02B0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bottom w:val="nil"/>
              <w:right w:val="nil"/>
            </w:tcBorders>
            <w:shd w:val="clear" w:color="auto" w:fill="D9D9D9"/>
            <w:noWrap/>
            <w:vAlign w:val="center"/>
            <w:hideMark/>
          </w:tcPr>
          <w:p w14:paraId="7DDF416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D9D9D9"/>
            <w:noWrap/>
            <w:vAlign w:val="center"/>
            <w:hideMark/>
          </w:tcPr>
          <w:p w14:paraId="78DDA79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auto"/>
            <w:noWrap/>
            <w:vAlign w:val="center"/>
            <w:hideMark/>
          </w:tcPr>
          <w:p w14:paraId="6A72760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r w:rsidRPr="0009294D">
              <w:rPr>
                <w:rFonts w:ascii="Times New Roman" w:eastAsia="Times New Roman" w:hAnsi="Times New Roman" w:cs="Times New Roman"/>
                <w:color w:val="000000"/>
                <w:sz w:val="12"/>
                <w:szCs w:val="12"/>
                <w:lang w:eastAsia="en-GB"/>
              </w:rPr>
              <w:t> </w:t>
            </w:r>
          </w:p>
        </w:tc>
        <w:tc>
          <w:tcPr>
            <w:tcW w:w="720" w:type="dxa"/>
            <w:tcBorders>
              <w:top w:val="nil"/>
              <w:left w:val="nil"/>
              <w:bottom w:val="nil"/>
              <w:right w:val="nil"/>
            </w:tcBorders>
            <w:shd w:val="clear" w:color="auto" w:fill="auto"/>
            <w:noWrap/>
            <w:vAlign w:val="center"/>
          </w:tcPr>
          <w:p w14:paraId="44281E8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2791" w:type="dxa"/>
            <w:tcBorders>
              <w:top w:val="nil"/>
              <w:left w:val="nil"/>
              <w:bottom w:val="nil"/>
              <w:right w:val="nil"/>
            </w:tcBorders>
            <w:shd w:val="clear" w:color="auto" w:fill="auto"/>
            <w:noWrap/>
            <w:vAlign w:val="center"/>
          </w:tcPr>
          <w:p w14:paraId="5228DFC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Insurance corporations’ statistics</w:t>
            </w:r>
          </w:p>
        </w:tc>
      </w:tr>
      <w:tr w:rsidR="0009294D" w:rsidRPr="0009294D" w14:paraId="2D2BE87A"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6E590A4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F29</w:t>
            </w:r>
          </w:p>
        </w:tc>
        <w:tc>
          <w:tcPr>
            <w:tcW w:w="1627" w:type="dxa"/>
            <w:tcBorders>
              <w:top w:val="nil"/>
              <w:left w:val="nil"/>
              <w:bottom w:val="nil"/>
              <w:right w:val="nil"/>
            </w:tcBorders>
            <w:shd w:val="clear" w:color="000000" w:fill="D9D9D9"/>
            <w:vAlign w:val="center"/>
            <w:hideMark/>
          </w:tcPr>
          <w:p w14:paraId="68ECCD7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Deposits, other</w:t>
            </w:r>
          </w:p>
        </w:tc>
        <w:tc>
          <w:tcPr>
            <w:tcW w:w="589" w:type="dxa"/>
            <w:gridSpan w:val="2"/>
            <w:tcBorders>
              <w:top w:val="nil"/>
              <w:left w:val="single" w:sz="4" w:space="0" w:color="auto"/>
              <w:bottom w:val="nil"/>
              <w:right w:val="nil"/>
            </w:tcBorders>
            <w:shd w:val="clear" w:color="auto" w:fill="auto"/>
            <w:noWrap/>
            <w:vAlign w:val="center"/>
            <w:hideMark/>
          </w:tcPr>
          <w:p w14:paraId="5F932F9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44" w:type="dxa"/>
            <w:tcBorders>
              <w:top w:val="nil"/>
              <w:left w:val="nil"/>
              <w:bottom w:val="nil"/>
              <w:right w:val="nil"/>
            </w:tcBorders>
            <w:shd w:val="clear" w:color="auto" w:fill="auto"/>
            <w:noWrap/>
            <w:vAlign w:val="center"/>
            <w:hideMark/>
          </w:tcPr>
          <w:p w14:paraId="2C947F4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57E3AA1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5400683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roofErr w:type="spellStart"/>
            <w:r w:rsidRPr="0009294D">
              <w:rPr>
                <w:rFonts w:ascii="Times New Roman" w:eastAsia="Times New Roman" w:hAnsi="Times New Roman" w:cs="Times New Roman"/>
                <w:color w:val="000000"/>
                <w:sz w:val="12"/>
                <w:szCs w:val="12"/>
                <w:lang w:eastAsia="en-GB"/>
              </w:rPr>
              <w:t>BoP</w:t>
            </w:r>
            <w:proofErr w:type="spellEnd"/>
          </w:p>
        </w:tc>
        <w:tc>
          <w:tcPr>
            <w:tcW w:w="499" w:type="dxa"/>
            <w:tcBorders>
              <w:top w:val="nil"/>
              <w:left w:val="nil"/>
              <w:bottom w:val="nil"/>
              <w:right w:val="nil"/>
            </w:tcBorders>
            <w:shd w:val="clear" w:color="auto" w:fill="auto"/>
            <w:noWrap/>
            <w:vAlign w:val="center"/>
            <w:hideMark/>
          </w:tcPr>
          <w:p w14:paraId="2EAB644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IC </w:t>
            </w:r>
          </w:p>
        </w:tc>
        <w:tc>
          <w:tcPr>
            <w:tcW w:w="611" w:type="dxa"/>
            <w:tcBorders>
              <w:top w:val="nil"/>
              <w:left w:val="nil"/>
              <w:bottom w:val="nil"/>
              <w:right w:val="nil"/>
            </w:tcBorders>
            <w:shd w:val="clear" w:color="auto" w:fill="auto"/>
            <w:noWrap/>
            <w:vAlign w:val="center"/>
            <w:hideMark/>
          </w:tcPr>
          <w:p w14:paraId="0033685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4F35A17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577F913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single" w:sz="4" w:space="0" w:color="auto"/>
            </w:tcBorders>
            <w:shd w:val="clear" w:color="auto" w:fill="auto"/>
            <w:noWrap/>
            <w:vAlign w:val="center"/>
            <w:hideMark/>
          </w:tcPr>
          <w:p w14:paraId="53F1F9E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nil"/>
            </w:tcBorders>
            <w:shd w:val="clear" w:color="auto" w:fill="auto"/>
            <w:noWrap/>
            <w:vAlign w:val="center"/>
            <w:hideMark/>
          </w:tcPr>
          <w:p w14:paraId="050D5C2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auto"/>
            <w:noWrap/>
            <w:vAlign w:val="center"/>
            <w:hideMark/>
          </w:tcPr>
          <w:p w14:paraId="6C95FFD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right w:val="nil"/>
            </w:tcBorders>
            <w:shd w:val="clear" w:color="auto" w:fill="D9D9D9"/>
            <w:noWrap/>
            <w:vAlign w:val="center"/>
            <w:hideMark/>
          </w:tcPr>
          <w:p w14:paraId="5184BE9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6C9148E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D9D9D9"/>
            <w:noWrap/>
            <w:vAlign w:val="center"/>
            <w:hideMark/>
          </w:tcPr>
          <w:p w14:paraId="1CA6A4C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right w:val="nil"/>
            </w:tcBorders>
            <w:shd w:val="clear" w:color="auto" w:fill="D9D9D9"/>
            <w:noWrap/>
            <w:vAlign w:val="center"/>
            <w:hideMark/>
          </w:tcPr>
          <w:p w14:paraId="400C3EA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bottom w:val="nil"/>
              <w:right w:val="nil"/>
            </w:tcBorders>
            <w:shd w:val="clear" w:color="auto" w:fill="auto"/>
            <w:noWrap/>
            <w:vAlign w:val="center"/>
            <w:hideMark/>
          </w:tcPr>
          <w:p w14:paraId="30CBAC9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D9D9D9"/>
            <w:noWrap/>
            <w:vAlign w:val="center"/>
            <w:hideMark/>
          </w:tcPr>
          <w:p w14:paraId="10A9BBC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auto"/>
            <w:noWrap/>
            <w:vAlign w:val="center"/>
            <w:hideMark/>
          </w:tcPr>
          <w:p w14:paraId="5A94C83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hideMark/>
          </w:tcPr>
          <w:p w14:paraId="18D1851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2791" w:type="dxa"/>
            <w:tcBorders>
              <w:top w:val="nil"/>
              <w:left w:val="nil"/>
              <w:bottom w:val="nil"/>
              <w:right w:val="nil"/>
            </w:tcBorders>
            <w:shd w:val="clear" w:color="auto" w:fill="auto"/>
            <w:noWrap/>
            <w:vAlign w:val="center"/>
            <w:hideMark/>
          </w:tcPr>
          <w:p w14:paraId="38EB125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Pension fund statistics</w:t>
            </w:r>
          </w:p>
        </w:tc>
      </w:tr>
      <w:tr w:rsidR="0009294D" w:rsidRPr="0009294D" w14:paraId="76534AFD" w14:textId="77777777" w:rsidTr="00BE05AB">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08826BB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F3</w:t>
            </w:r>
          </w:p>
        </w:tc>
        <w:tc>
          <w:tcPr>
            <w:tcW w:w="1627" w:type="dxa"/>
            <w:tcBorders>
              <w:top w:val="nil"/>
              <w:left w:val="nil"/>
              <w:bottom w:val="nil"/>
              <w:right w:val="nil"/>
            </w:tcBorders>
            <w:shd w:val="clear" w:color="000000" w:fill="D9D9D9"/>
            <w:vAlign w:val="center"/>
            <w:hideMark/>
          </w:tcPr>
          <w:p w14:paraId="0E6BD5D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Debt securities</w:t>
            </w:r>
          </w:p>
        </w:tc>
        <w:tc>
          <w:tcPr>
            <w:tcW w:w="589" w:type="dxa"/>
            <w:gridSpan w:val="2"/>
            <w:tcBorders>
              <w:top w:val="nil"/>
              <w:left w:val="single" w:sz="4" w:space="0" w:color="auto"/>
              <w:bottom w:val="nil"/>
              <w:right w:val="nil"/>
            </w:tcBorders>
            <w:shd w:val="clear" w:color="auto" w:fill="auto"/>
            <w:noWrap/>
            <w:vAlign w:val="center"/>
            <w:hideMark/>
          </w:tcPr>
          <w:p w14:paraId="59F7DBC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SHS</w:t>
            </w:r>
          </w:p>
        </w:tc>
        <w:tc>
          <w:tcPr>
            <w:tcW w:w="544" w:type="dxa"/>
            <w:tcBorders>
              <w:top w:val="nil"/>
              <w:left w:val="nil"/>
              <w:bottom w:val="nil"/>
              <w:right w:val="nil"/>
            </w:tcBorders>
            <w:shd w:val="clear" w:color="auto" w:fill="auto"/>
            <w:noWrap/>
            <w:vAlign w:val="center"/>
            <w:hideMark/>
          </w:tcPr>
          <w:p w14:paraId="14B6EAA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485523E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054FD60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SHS</w:t>
            </w:r>
          </w:p>
        </w:tc>
        <w:tc>
          <w:tcPr>
            <w:tcW w:w="499" w:type="dxa"/>
            <w:tcBorders>
              <w:top w:val="nil"/>
              <w:left w:val="nil"/>
              <w:bottom w:val="nil"/>
              <w:right w:val="nil"/>
            </w:tcBorders>
            <w:shd w:val="clear" w:color="auto" w:fill="auto"/>
            <w:noWrap/>
            <w:vAlign w:val="center"/>
            <w:hideMark/>
          </w:tcPr>
          <w:p w14:paraId="62D1797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right w:val="nil"/>
            </w:tcBorders>
            <w:shd w:val="clear" w:color="auto" w:fill="auto"/>
            <w:noWrap/>
            <w:vAlign w:val="center"/>
            <w:hideMark/>
          </w:tcPr>
          <w:p w14:paraId="192EB92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3081F9F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055F48A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SHS*</w:t>
            </w:r>
          </w:p>
        </w:tc>
        <w:tc>
          <w:tcPr>
            <w:tcW w:w="576" w:type="dxa"/>
            <w:tcBorders>
              <w:top w:val="nil"/>
              <w:left w:val="nil"/>
              <w:bottom w:val="nil"/>
              <w:right w:val="single" w:sz="4" w:space="0" w:color="auto"/>
            </w:tcBorders>
            <w:shd w:val="clear" w:color="auto" w:fill="auto"/>
            <w:noWrap/>
            <w:vAlign w:val="center"/>
            <w:hideMark/>
          </w:tcPr>
          <w:p w14:paraId="33740DC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auto"/>
            <w:noWrap/>
            <w:vAlign w:val="center"/>
            <w:hideMark/>
          </w:tcPr>
          <w:p w14:paraId="064191F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SEC</w:t>
            </w:r>
          </w:p>
        </w:tc>
        <w:tc>
          <w:tcPr>
            <w:tcW w:w="576" w:type="dxa"/>
            <w:tcBorders>
              <w:top w:val="nil"/>
              <w:left w:val="nil"/>
              <w:right w:val="nil"/>
            </w:tcBorders>
            <w:shd w:val="clear" w:color="auto" w:fill="auto"/>
            <w:noWrap/>
            <w:vAlign w:val="center"/>
            <w:hideMark/>
          </w:tcPr>
          <w:p w14:paraId="1C888DB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bottom w:val="nil"/>
              <w:right w:val="nil"/>
            </w:tcBorders>
            <w:shd w:val="clear" w:color="auto" w:fill="auto"/>
            <w:noWrap/>
            <w:vAlign w:val="center"/>
            <w:hideMark/>
          </w:tcPr>
          <w:p w14:paraId="3DB0693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auto"/>
            <w:noWrap/>
            <w:vAlign w:val="center"/>
            <w:hideMark/>
          </w:tcPr>
          <w:p w14:paraId="33C01E8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SEC</w:t>
            </w:r>
          </w:p>
        </w:tc>
        <w:tc>
          <w:tcPr>
            <w:tcW w:w="576" w:type="dxa"/>
            <w:tcBorders>
              <w:top w:val="nil"/>
              <w:left w:val="nil"/>
              <w:bottom w:val="nil"/>
              <w:right w:val="nil"/>
            </w:tcBorders>
            <w:shd w:val="clear" w:color="auto" w:fill="auto"/>
            <w:noWrap/>
            <w:vAlign w:val="center"/>
            <w:hideMark/>
          </w:tcPr>
          <w:p w14:paraId="6C5FA41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bottom w:val="nil"/>
              <w:right w:val="nil"/>
            </w:tcBorders>
            <w:shd w:val="clear" w:color="auto" w:fill="auto"/>
            <w:noWrap/>
            <w:vAlign w:val="center"/>
            <w:hideMark/>
          </w:tcPr>
          <w:p w14:paraId="2C27D78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652" w:type="dxa"/>
            <w:tcBorders>
              <w:top w:val="nil"/>
              <w:left w:val="nil"/>
              <w:bottom w:val="nil"/>
              <w:right w:val="nil"/>
            </w:tcBorders>
            <w:shd w:val="clear" w:color="auto" w:fill="auto"/>
            <w:noWrap/>
            <w:vAlign w:val="center"/>
            <w:hideMark/>
          </w:tcPr>
          <w:p w14:paraId="0F8464E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6520E73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single" w:sz="4" w:space="0" w:color="auto"/>
            </w:tcBorders>
            <w:shd w:val="clear" w:color="auto" w:fill="auto"/>
            <w:noWrap/>
            <w:vAlign w:val="center"/>
            <w:hideMark/>
          </w:tcPr>
          <w:p w14:paraId="3A52D9E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hideMark/>
          </w:tcPr>
          <w:p w14:paraId="177E8A9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2791" w:type="dxa"/>
            <w:tcBorders>
              <w:top w:val="nil"/>
              <w:left w:val="nil"/>
              <w:bottom w:val="nil"/>
              <w:right w:val="nil"/>
            </w:tcBorders>
            <w:shd w:val="clear" w:color="auto" w:fill="auto"/>
            <w:noWrap/>
            <w:vAlign w:val="center"/>
            <w:hideMark/>
          </w:tcPr>
          <w:p w14:paraId="6C96F57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Quarterly financial accounts for general government</w:t>
            </w:r>
          </w:p>
        </w:tc>
      </w:tr>
      <w:tr w:rsidR="0009294D" w:rsidRPr="0009294D" w14:paraId="481EED76" w14:textId="77777777" w:rsidTr="00BE05AB">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7470C2D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F4</w:t>
            </w:r>
          </w:p>
        </w:tc>
        <w:tc>
          <w:tcPr>
            <w:tcW w:w="1627" w:type="dxa"/>
            <w:tcBorders>
              <w:top w:val="nil"/>
              <w:left w:val="nil"/>
              <w:bottom w:val="nil"/>
              <w:right w:val="nil"/>
            </w:tcBorders>
            <w:shd w:val="clear" w:color="000000" w:fill="D9D9D9"/>
            <w:vAlign w:val="center"/>
            <w:hideMark/>
          </w:tcPr>
          <w:p w14:paraId="24EED65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Loans</w:t>
            </w:r>
          </w:p>
        </w:tc>
        <w:tc>
          <w:tcPr>
            <w:tcW w:w="589" w:type="dxa"/>
            <w:gridSpan w:val="2"/>
            <w:tcBorders>
              <w:top w:val="nil"/>
              <w:left w:val="single" w:sz="4" w:space="0" w:color="auto"/>
              <w:bottom w:val="nil"/>
              <w:right w:val="nil"/>
            </w:tcBorders>
            <w:shd w:val="clear" w:color="auto" w:fill="auto"/>
            <w:noWrap/>
            <w:vAlign w:val="center"/>
            <w:hideMark/>
          </w:tcPr>
          <w:p w14:paraId="79A0CE2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544" w:type="dxa"/>
            <w:tcBorders>
              <w:top w:val="nil"/>
              <w:left w:val="nil"/>
              <w:bottom w:val="nil"/>
              <w:right w:val="nil"/>
            </w:tcBorders>
            <w:shd w:val="clear" w:color="auto" w:fill="auto"/>
            <w:noWrap/>
            <w:vAlign w:val="center"/>
            <w:hideMark/>
          </w:tcPr>
          <w:p w14:paraId="291150C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185505D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10CEB6C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499" w:type="dxa"/>
            <w:tcBorders>
              <w:top w:val="nil"/>
              <w:left w:val="nil"/>
              <w:bottom w:val="nil"/>
              <w:right w:val="nil"/>
            </w:tcBorders>
            <w:shd w:val="clear" w:color="auto" w:fill="auto"/>
            <w:noWrap/>
            <w:vAlign w:val="center"/>
            <w:hideMark/>
          </w:tcPr>
          <w:p w14:paraId="654661F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bottom w:val="nil"/>
              <w:right w:val="nil"/>
            </w:tcBorders>
            <w:shd w:val="clear" w:color="auto" w:fill="auto"/>
            <w:noWrap/>
            <w:vAlign w:val="center"/>
            <w:hideMark/>
          </w:tcPr>
          <w:p w14:paraId="5829BFC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54AF678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6824446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single" w:sz="4" w:space="0" w:color="auto"/>
            </w:tcBorders>
            <w:shd w:val="clear" w:color="auto" w:fill="auto"/>
            <w:noWrap/>
            <w:vAlign w:val="center"/>
            <w:hideMark/>
          </w:tcPr>
          <w:p w14:paraId="52619F8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auto"/>
            <w:noWrap/>
            <w:vAlign w:val="center"/>
            <w:hideMark/>
          </w:tcPr>
          <w:p w14:paraId="0632C68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MFI/ </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auto"/>
            <w:noWrap/>
            <w:vAlign w:val="center"/>
            <w:hideMark/>
          </w:tcPr>
          <w:p w14:paraId="64F70ED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432" w:type="dxa"/>
            <w:tcBorders>
              <w:top w:val="nil"/>
              <w:left w:val="nil"/>
              <w:right w:val="nil"/>
            </w:tcBorders>
            <w:shd w:val="clear" w:color="auto" w:fill="auto"/>
            <w:noWrap/>
            <w:vAlign w:val="center"/>
            <w:hideMark/>
          </w:tcPr>
          <w:p w14:paraId="7502551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576" w:type="dxa"/>
            <w:tcBorders>
              <w:top w:val="nil"/>
              <w:left w:val="nil"/>
              <w:bottom w:val="nil"/>
              <w:right w:val="nil"/>
            </w:tcBorders>
            <w:shd w:val="clear" w:color="auto" w:fill="auto"/>
            <w:noWrap/>
            <w:vAlign w:val="center"/>
            <w:hideMark/>
          </w:tcPr>
          <w:p w14:paraId="7586D8D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 /</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right w:val="nil"/>
            </w:tcBorders>
            <w:shd w:val="clear" w:color="auto" w:fill="auto"/>
            <w:noWrap/>
            <w:vAlign w:val="center"/>
            <w:hideMark/>
          </w:tcPr>
          <w:p w14:paraId="5138FA8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right w:val="nil"/>
            </w:tcBorders>
            <w:shd w:val="clear" w:color="auto" w:fill="auto"/>
            <w:noWrap/>
            <w:vAlign w:val="center"/>
            <w:hideMark/>
          </w:tcPr>
          <w:p w14:paraId="11F0123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MFIBoP</w:t>
            </w:r>
            <w:proofErr w:type="spellEnd"/>
          </w:p>
        </w:tc>
        <w:tc>
          <w:tcPr>
            <w:tcW w:w="652" w:type="dxa"/>
            <w:tcBorders>
              <w:top w:val="nil"/>
              <w:left w:val="nil"/>
              <w:right w:val="nil"/>
            </w:tcBorders>
            <w:shd w:val="clear" w:color="auto" w:fill="auto"/>
            <w:noWrap/>
            <w:vAlign w:val="center"/>
            <w:hideMark/>
          </w:tcPr>
          <w:p w14:paraId="41F6B30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right w:val="nil"/>
            </w:tcBorders>
            <w:shd w:val="clear" w:color="auto" w:fill="auto"/>
            <w:noWrap/>
            <w:vAlign w:val="center"/>
            <w:hideMark/>
          </w:tcPr>
          <w:p w14:paraId="303EC32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MFI/ </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single" w:sz="4" w:space="0" w:color="auto"/>
            </w:tcBorders>
            <w:shd w:val="clear" w:color="auto" w:fill="auto"/>
            <w:noWrap/>
            <w:vAlign w:val="center"/>
            <w:hideMark/>
          </w:tcPr>
          <w:p w14:paraId="72D0633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720" w:type="dxa"/>
            <w:tcBorders>
              <w:top w:val="nil"/>
              <w:left w:val="nil"/>
              <w:bottom w:val="nil"/>
              <w:right w:val="nil"/>
            </w:tcBorders>
            <w:shd w:val="clear" w:color="auto" w:fill="auto"/>
            <w:noWrap/>
            <w:vAlign w:val="center"/>
            <w:hideMark/>
          </w:tcPr>
          <w:p w14:paraId="3F7AFE7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2791" w:type="dxa"/>
            <w:tcBorders>
              <w:top w:val="nil"/>
              <w:left w:val="nil"/>
              <w:bottom w:val="nil"/>
              <w:right w:val="nil"/>
            </w:tcBorders>
            <w:shd w:val="clear" w:color="auto" w:fill="auto"/>
            <w:noWrap/>
            <w:vAlign w:val="center"/>
            <w:hideMark/>
          </w:tcPr>
          <w:p w14:paraId="6C81BC3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Balance of payments and international investment position.</w:t>
            </w:r>
          </w:p>
        </w:tc>
      </w:tr>
      <w:tr w:rsidR="0009294D" w:rsidRPr="0009294D" w14:paraId="264B4B19" w14:textId="77777777" w:rsidTr="00BE05AB">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6588B36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F511</w:t>
            </w:r>
          </w:p>
        </w:tc>
        <w:tc>
          <w:tcPr>
            <w:tcW w:w="1627" w:type="dxa"/>
            <w:tcBorders>
              <w:top w:val="nil"/>
              <w:left w:val="nil"/>
              <w:bottom w:val="nil"/>
              <w:right w:val="nil"/>
            </w:tcBorders>
            <w:shd w:val="clear" w:color="000000" w:fill="D9D9D9"/>
            <w:vAlign w:val="center"/>
            <w:hideMark/>
          </w:tcPr>
          <w:p w14:paraId="4856CFE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Listed shares</w:t>
            </w:r>
          </w:p>
        </w:tc>
        <w:tc>
          <w:tcPr>
            <w:tcW w:w="589" w:type="dxa"/>
            <w:gridSpan w:val="2"/>
            <w:tcBorders>
              <w:top w:val="nil"/>
              <w:left w:val="single" w:sz="4" w:space="0" w:color="auto"/>
              <w:bottom w:val="nil"/>
              <w:right w:val="nil"/>
            </w:tcBorders>
            <w:shd w:val="clear" w:color="auto" w:fill="auto"/>
            <w:noWrap/>
            <w:vAlign w:val="center"/>
            <w:hideMark/>
          </w:tcPr>
          <w:p w14:paraId="4572C32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SHS</w:t>
            </w:r>
          </w:p>
        </w:tc>
        <w:tc>
          <w:tcPr>
            <w:tcW w:w="544" w:type="dxa"/>
            <w:tcBorders>
              <w:top w:val="nil"/>
              <w:left w:val="nil"/>
              <w:bottom w:val="nil"/>
              <w:right w:val="nil"/>
            </w:tcBorders>
            <w:shd w:val="clear" w:color="auto" w:fill="auto"/>
            <w:noWrap/>
            <w:vAlign w:val="center"/>
            <w:hideMark/>
          </w:tcPr>
          <w:p w14:paraId="5EB6BBF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2356B18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4FE6437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SHS</w:t>
            </w:r>
          </w:p>
        </w:tc>
        <w:tc>
          <w:tcPr>
            <w:tcW w:w="499" w:type="dxa"/>
            <w:tcBorders>
              <w:top w:val="nil"/>
              <w:left w:val="nil"/>
              <w:bottom w:val="nil"/>
              <w:right w:val="nil"/>
            </w:tcBorders>
            <w:shd w:val="clear" w:color="auto" w:fill="auto"/>
            <w:noWrap/>
            <w:vAlign w:val="center"/>
            <w:hideMark/>
          </w:tcPr>
          <w:p w14:paraId="4FB8075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bottom w:val="nil"/>
              <w:right w:val="nil"/>
            </w:tcBorders>
            <w:shd w:val="clear" w:color="auto" w:fill="auto"/>
            <w:noWrap/>
            <w:vAlign w:val="center"/>
            <w:hideMark/>
          </w:tcPr>
          <w:p w14:paraId="61FFB61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29FA078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7800424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SHS*</w:t>
            </w:r>
          </w:p>
        </w:tc>
        <w:tc>
          <w:tcPr>
            <w:tcW w:w="576" w:type="dxa"/>
            <w:tcBorders>
              <w:top w:val="nil"/>
              <w:left w:val="nil"/>
              <w:bottom w:val="nil"/>
              <w:right w:val="single" w:sz="4" w:space="0" w:color="auto"/>
            </w:tcBorders>
            <w:shd w:val="clear" w:color="auto" w:fill="auto"/>
            <w:noWrap/>
            <w:vAlign w:val="center"/>
            <w:hideMark/>
          </w:tcPr>
          <w:p w14:paraId="3CFA7A8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auto"/>
            <w:noWrap/>
            <w:vAlign w:val="center"/>
            <w:hideMark/>
          </w:tcPr>
          <w:p w14:paraId="703B487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SEC</w:t>
            </w:r>
          </w:p>
        </w:tc>
        <w:tc>
          <w:tcPr>
            <w:tcW w:w="576" w:type="dxa"/>
            <w:tcBorders>
              <w:top w:val="nil"/>
              <w:left w:val="nil"/>
              <w:bottom w:val="nil"/>
              <w:right w:val="nil"/>
            </w:tcBorders>
            <w:shd w:val="clear" w:color="auto" w:fill="auto"/>
            <w:noWrap/>
            <w:vAlign w:val="center"/>
            <w:hideMark/>
          </w:tcPr>
          <w:p w14:paraId="2D57B24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SEC</w:t>
            </w:r>
          </w:p>
        </w:tc>
        <w:tc>
          <w:tcPr>
            <w:tcW w:w="432" w:type="dxa"/>
            <w:tcBorders>
              <w:top w:val="nil"/>
              <w:left w:val="nil"/>
              <w:bottom w:val="nil"/>
              <w:right w:val="nil"/>
            </w:tcBorders>
            <w:shd w:val="clear" w:color="auto" w:fill="auto"/>
            <w:noWrap/>
            <w:vAlign w:val="center"/>
            <w:hideMark/>
          </w:tcPr>
          <w:p w14:paraId="185F3EB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auto"/>
            <w:noWrap/>
            <w:vAlign w:val="center"/>
            <w:hideMark/>
          </w:tcPr>
          <w:p w14:paraId="18F59BB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SEC</w:t>
            </w:r>
          </w:p>
        </w:tc>
        <w:tc>
          <w:tcPr>
            <w:tcW w:w="576" w:type="dxa"/>
            <w:tcBorders>
              <w:top w:val="nil"/>
              <w:left w:val="nil"/>
              <w:bottom w:val="nil"/>
              <w:right w:val="nil"/>
            </w:tcBorders>
            <w:shd w:val="clear" w:color="auto" w:fill="auto"/>
            <w:noWrap/>
            <w:vAlign w:val="center"/>
            <w:hideMark/>
          </w:tcPr>
          <w:p w14:paraId="2162AB6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432" w:type="dxa"/>
            <w:tcBorders>
              <w:top w:val="nil"/>
              <w:left w:val="nil"/>
              <w:bottom w:val="nil"/>
              <w:right w:val="nil"/>
            </w:tcBorders>
            <w:shd w:val="clear" w:color="auto" w:fill="auto"/>
            <w:noWrap/>
            <w:vAlign w:val="center"/>
            <w:hideMark/>
          </w:tcPr>
          <w:p w14:paraId="6156103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652" w:type="dxa"/>
            <w:tcBorders>
              <w:top w:val="nil"/>
              <w:left w:val="nil"/>
              <w:right w:val="nil"/>
            </w:tcBorders>
            <w:shd w:val="clear" w:color="auto" w:fill="auto"/>
            <w:noWrap/>
            <w:vAlign w:val="center"/>
            <w:hideMark/>
          </w:tcPr>
          <w:p w14:paraId="3DB8F59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right w:val="nil"/>
            </w:tcBorders>
            <w:shd w:val="clear" w:color="auto" w:fill="auto"/>
            <w:noWrap/>
            <w:vAlign w:val="center"/>
            <w:hideMark/>
          </w:tcPr>
          <w:p w14:paraId="7BB31D2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single" w:sz="4" w:space="0" w:color="auto"/>
            </w:tcBorders>
            <w:shd w:val="clear" w:color="auto" w:fill="auto"/>
            <w:noWrap/>
            <w:vAlign w:val="center"/>
            <w:hideMark/>
          </w:tcPr>
          <w:p w14:paraId="2172B6A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hideMark/>
          </w:tcPr>
          <w:p w14:paraId="48D5781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SEC</w:t>
            </w:r>
          </w:p>
        </w:tc>
        <w:tc>
          <w:tcPr>
            <w:tcW w:w="2791" w:type="dxa"/>
            <w:tcBorders>
              <w:top w:val="nil"/>
              <w:left w:val="nil"/>
              <w:bottom w:val="nil"/>
              <w:right w:val="nil"/>
            </w:tcBorders>
            <w:shd w:val="clear" w:color="auto" w:fill="auto"/>
            <w:noWrap/>
            <w:vAlign w:val="center"/>
            <w:hideMark/>
          </w:tcPr>
          <w:p w14:paraId="406CBAE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Securities issue statistics</w:t>
            </w:r>
          </w:p>
        </w:tc>
      </w:tr>
      <w:tr w:rsidR="0009294D" w:rsidRPr="0009294D" w14:paraId="4C3FD32C"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318CB86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F512</w:t>
            </w:r>
          </w:p>
        </w:tc>
        <w:tc>
          <w:tcPr>
            <w:tcW w:w="1627" w:type="dxa"/>
            <w:tcBorders>
              <w:top w:val="nil"/>
              <w:left w:val="nil"/>
              <w:bottom w:val="nil"/>
              <w:right w:val="nil"/>
            </w:tcBorders>
            <w:shd w:val="clear" w:color="000000" w:fill="D9D9D9"/>
            <w:vAlign w:val="center"/>
            <w:hideMark/>
          </w:tcPr>
          <w:p w14:paraId="7E8A20D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Unlisted shares </w:t>
            </w:r>
          </w:p>
        </w:tc>
        <w:tc>
          <w:tcPr>
            <w:tcW w:w="589" w:type="dxa"/>
            <w:gridSpan w:val="2"/>
            <w:tcBorders>
              <w:top w:val="nil"/>
              <w:left w:val="single" w:sz="4" w:space="0" w:color="auto"/>
              <w:bottom w:val="nil"/>
              <w:right w:val="nil"/>
            </w:tcBorders>
            <w:shd w:val="clear" w:color="auto" w:fill="auto"/>
            <w:noWrap/>
            <w:vAlign w:val="center"/>
            <w:hideMark/>
          </w:tcPr>
          <w:p w14:paraId="141B2D3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r w:rsidRPr="0009294D">
              <w:rPr>
                <w:rFonts w:ascii="Times New Roman" w:eastAsia="Calibri" w:hAnsi="Times New Roman" w:cs="Times New Roman"/>
                <w:sz w:val="12"/>
                <w:szCs w:val="12"/>
              </w:rPr>
              <w:t xml:space="preserve"> </w:t>
            </w:r>
            <w:r w:rsidRPr="0009294D">
              <w:rPr>
                <w:rFonts w:ascii="Times New Roman" w:eastAsia="Times New Roman" w:hAnsi="Times New Roman" w:cs="Times New Roman"/>
                <w:color w:val="000000"/>
                <w:sz w:val="12"/>
                <w:szCs w:val="12"/>
                <w:lang w:eastAsia="en-GB"/>
              </w:rPr>
              <w:t>##</w:t>
            </w:r>
          </w:p>
        </w:tc>
        <w:tc>
          <w:tcPr>
            <w:tcW w:w="544" w:type="dxa"/>
            <w:tcBorders>
              <w:top w:val="nil"/>
              <w:left w:val="nil"/>
              <w:bottom w:val="nil"/>
              <w:right w:val="nil"/>
            </w:tcBorders>
            <w:shd w:val="clear" w:color="auto" w:fill="auto"/>
            <w:noWrap/>
            <w:vAlign w:val="center"/>
            <w:hideMark/>
          </w:tcPr>
          <w:p w14:paraId="71A1EDD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6C2E5C0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498D230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499" w:type="dxa"/>
            <w:tcBorders>
              <w:top w:val="nil"/>
              <w:left w:val="nil"/>
              <w:bottom w:val="nil"/>
              <w:right w:val="nil"/>
            </w:tcBorders>
            <w:shd w:val="clear" w:color="auto" w:fill="auto"/>
            <w:noWrap/>
            <w:vAlign w:val="center"/>
            <w:hideMark/>
          </w:tcPr>
          <w:p w14:paraId="46859D1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bottom w:val="nil"/>
              <w:right w:val="nil"/>
            </w:tcBorders>
            <w:shd w:val="clear" w:color="auto" w:fill="auto"/>
            <w:noWrap/>
            <w:vAlign w:val="center"/>
            <w:hideMark/>
          </w:tcPr>
          <w:p w14:paraId="0EE80AC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76F2D14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5C529DB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single" w:sz="4" w:space="0" w:color="auto"/>
            </w:tcBorders>
            <w:shd w:val="clear" w:color="auto" w:fill="auto"/>
            <w:noWrap/>
            <w:vAlign w:val="center"/>
            <w:hideMark/>
          </w:tcPr>
          <w:p w14:paraId="6878DC3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auto"/>
            <w:noWrap/>
            <w:vAlign w:val="center"/>
            <w:hideMark/>
          </w:tcPr>
          <w:p w14:paraId="7FA5951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576" w:type="dxa"/>
            <w:tcBorders>
              <w:top w:val="nil"/>
              <w:left w:val="nil"/>
              <w:bottom w:val="nil"/>
              <w:right w:val="nil"/>
            </w:tcBorders>
            <w:shd w:val="clear" w:color="auto" w:fill="auto"/>
            <w:noWrap/>
            <w:vAlign w:val="center"/>
            <w:hideMark/>
          </w:tcPr>
          <w:p w14:paraId="0E56063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bottom w:val="nil"/>
              <w:right w:val="nil"/>
            </w:tcBorders>
            <w:shd w:val="clear" w:color="auto" w:fill="auto"/>
            <w:noWrap/>
            <w:vAlign w:val="center"/>
            <w:hideMark/>
          </w:tcPr>
          <w:p w14:paraId="1538A0D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auto"/>
            <w:noWrap/>
            <w:vAlign w:val="center"/>
            <w:hideMark/>
          </w:tcPr>
          <w:p w14:paraId="387EB7B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576" w:type="dxa"/>
            <w:tcBorders>
              <w:top w:val="nil"/>
              <w:left w:val="nil"/>
              <w:right w:val="nil"/>
            </w:tcBorders>
            <w:shd w:val="clear" w:color="auto" w:fill="auto"/>
            <w:noWrap/>
            <w:vAlign w:val="center"/>
            <w:hideMark/>
          </w:tcPr>
          <w:p w14:paraId="705B958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bottom w:val="nil"/>
              <w:right w:val="nil"/>
            </w:tcBorders>
            <w:shd w:val="clear" w:color="auto" w:fill="D9D9D9"/>
            <w:noWrap/>
            <w:vAlign w:val="center"/>
            <w:hideMark/>
          </w:tcPr>
          <w:p w14:paraId="0483CA3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652" w:type="dxa"/>
            <w:tcBorders>
              <w:top w:val="nil"/>
              <w:left w:val="nil"/>
              <w:bottom w:val="nil"/>
              <w:right w:val="nil"/>
            </w:tcBorders>
            <w:shd w:val="clear" w:color="auto" w:fill="auto"/>
            <w:noWrap/>
            <w:vAlign w:val="center"/>
            <w:hideMark/>
          </w:tcPr>
          <w:p w14:paraId="4EF14AC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auto"/>
            <w:noWrap/>
            <w:vAlign w:val="center"/>
            <w:hideMark/>
          </w:tcPr>
          <w:p w14:paraId="19CE102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single" w:sz="4" w:space="0" w:color="auto"/>
            </w:tcBorders>
            <w:shd w:val="clear" w:color="auto" w:fill="auto"/>
            <w:noWrap/>
            <w:vAlign w:val="center"/>
            <w:hideMark/>
          </w:tcPr>
          <w:p w14:paraId="114F796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hideMark/>
          </w:tcPr>
          <w:p w14:paraId="30F1ED5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SHS</w:t>
            </w:r>
          </w:p>
        </w:tc>
        <w:tc>
          <w:tcPr>
            <w:tcW w:w="2791" w:type="dxa"/>
            <w:tcBorders>
              <w:top w:val="nil"/>
              <w:left w:val="nil"/>
              <w:bottom w:val="nil"/>
              <w:right w:val="nil"/>
            </w:tcBorders>
            <w:shd w:val="clear" w:color="auto" w:fill="auto"/>
            <w:noWrap/>
            <w:vAlign w:val="center"/>
            <w:hideMark/>
          </w:tcPr>
          <w:p w14:paraId="4C2BED6A"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r w:rsidRPr="0009294D">
              <w:rPr>
                <w:rFonts w:ascii="Times New Roman" w:eastAsia="Times New Roman" w:hAnsi="Times New Roman" w:cs="Times New Roman"/>
                <w:sz w:val="12"/>
                <w:szCs w:val="12"/>
                <w:lang w:eastAsia="en-GB"/>
              </w:rPr>
              <w:t>Securities holdings statistics</w:t>
            </w:r>
          </w:p>
        </w:tc>
      </w:tr>
      <w:tr w:rsidR="0009294D" w:rsidRPr="0009294D" w14:paraId="0A71AC5B"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47952CC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F519</w:t>
            </w:r>
          </w:p>
        </w:tc>
        <w:tc>
          <w:tcPr>
            <w:tcW w:w="1627" w:type="dxa"/>
            <w:tcBorders>
              <w:top w:val="nil"/>
              <w:left w:val="nil"/>
              <w:bottom w:val="nil"/>
              <w:right w:val="nil"/>
            </w:tcBorders>
            <w:shd w:val="clear" w:color="000000" w:fill="D9D9D9"/>
            <w:vAlign w:val="center"/>
            <w:hideMark/>
          </w:tcPr>
          <w:p w14:paraId="40E2C5E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Other equity </w:t>
            </w:r>
          </w:p>
        </w:tc>
        <w:tc>
          <w:tcPr>
            <w:tcW w:w="589" w:type="dxa"/>
            <w:gridSpan w:val="2"/>
            <w:tcBorders>
              <w:top w:val="nil"/>
              <w:left w:val="single" w:sz="4" w:space="0" w:color="auto"/>
              <w:bottom w:val="nil"/>
              <w:right w:val="nil"/>
            </w:tcBorders>
            <w:shd w:val="clear" w:color="auto" w:fill="auto"/>
            <w:noWrap/>
            <w:vAlign w:val="center"/>
            <w:hideMark/>
          </w:tcPr>
          <w:p w14:paraId="56CFD87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e^^ ##</w:t>
            </w:r>
          </w:p>
        </w:tc>
        <w:tc>
          <w:tcPr>
            <w:tcW w:w="544" w:type="dxa"/>
            <w:tcBorders>
              <w:top w:val="nil"/>
              <w:left w:val="nil"/>
              <w:bottom w:val="nil"/>
              <w:right w:val="nil"/>
            </w:tcBorders>
            <w:shd w:val="clear" w:color="auto" w:fill="auto"/>
            <w:noWrap/>
            <w:vAlign w:val="center"/>
            <w:hideMark/>
          </w:tcPr>
          <w:p w14:paraId="7EAFE5A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3D0A401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4D4A698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499" w:type="dxa"/>
            <w:tcBorders>
              <w:top w:val="nil"/>
              <w:left w:val="nil"/>
              <w:bottom w:val="nil"/>
              <w:right w:val="nil"/>
            </w:tcBorders>
            <w:shd w:val="clear" w:color="auto" w:fill="auto"/>
            <w:noWrap/>
            <w:vAlign w:val="center"/>
            <w:hideMark/>
          </w:tcPr>
          <w:p w14:paraId="3ABF6DC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bottom w:val="nil"/>
              <w:right w:val="nil"/>
            </w:tcBorders>
            <w:shd w:val="clear" w:color="auto" w:fill="auto"/>
            <w:noWrap/>
            <w:vAlign w:val="center"/>
            <w:hideMark/>
          </w:tcPr>
          <w:p w14:paraId="5CE46B2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654" w:type="dxa"/>
            <w:tcBorders>
              <w:top w:val="nil"/>
              <w:left w:val="nil"/>
              <w:bottom w:val="nil"/>
              <w:right w:val="nil"/>
            </w:tcBorders>
            <w:shd w:val="clear" w:color="auto" w:fill="auto"/>
            <w:noWrap/>
            <w:vAlign w:val="center"/>
            <w:hideMark/>
          </w:tcPr>
          <w:p w14:paraId="41EF7F8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1BFD098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e^^</w:t>
            </w:r>
          </w:p>
        </w:tc>
        <w:tc>
          <w:tcPr>
            <w:tcW w:w="576" w:type="dxa"/>
            <w:tcBorders>
              <w:top w:val="nil"/>
              <w:left w:val="nil"/>
              <w:bottom w:val="nil"/>
              <w:right w:val="single" w:sz="4" w:space="0" w:color="auto"/>
            </w:tcBorders>
            <w:shd w:val="clear" w:color="auto" w:fill="auto"/>
            <w:noWrap/>
            <w:vAlign w:val="center"/>
            <w:hideMark/>
          </w:tcPr>
          <w:p w14:paraId="556380E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right w:val="nil"/>
            </w:tcBorders>
            <w:shd w:val="clear" w:color="auto" w:fill="auto"/>
            <w:noWrap/>
            <w:vAlign w:val="center"/>
            <w:hideMark/>
          </w:tcPr>
          <w:p w14:paraId="6555A16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576" w:type="dxa"/>
            <w:tcBorders>
              <w:top w:val="nil"/>
              <w:left w:val="nil"/>
              <w:bottom w:val="nil"/>
              <w:right w:val="nil"/>
            </w:tcBorders>
            <w:shd w:val="clear" w:color="auto" w:fill="auto"/>
            <w:noWrap/>
            <w:vAlign w:val="center"/>
            <w:hideMark/>
          </w:tcPr>
          <w:p w14:paraId="211D7A5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bottom w:val="nil"/>
              <w:right w:val="nil"/>
            </w:tcBorders>
            <w:shd w:val="clear" w:color="auto" w:fill="auto"/>
            <w:noWrap/>
            <w:vAlign w:val="center"/>
            <w:hideMark/>
          </w:tcPr>
          <w:p w14:paraId="02EBC6A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right w:val="nil"/>
            </w:tcBorders>
            <w:shd w:val="clear" w:color="auto" w:fill="auto"/>
            <w:noWrap/>
            <w:vAlign w:val="center"/>
            <w:hideMark/>
          </w:tcPr>
          <w:p w14:paraId="2A30ED7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right w:val="nil"/>
            </w:tcBorders>
            <w:shd w:val="clear" w:color="auto" w:fill="auto"/>
            <w:noWrap/>
            <w:vAlign w:val="center"/>
            <w:hideMark/>
          </w:tcPr>
          <w:p w14:paraId="32124D7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right w:val="nil"/>
            </w:tcBorders>
            <w:shd w:val="clear" w:color="auto" w:fill="D9D9D9"/>
            <w:noWrap/>
            <w:vAlign w:val="center"/>
            <w:hideMark/>
          </w:tcPr>
          <w:p w14:paraId="033396C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652" w:type="dxa"/>
            <w:tcBorders>
              <w:top w:val="nil"/>
              <w:left w:val="nil"/>
              <w:right w:val="nil"/>
            </w:tcBorders>
            <w:shd w:val="clear" w:color="auto" w:fill="auto"/>
            <w:noWrap/>
            <w:vAlign w:val="center"/>
            <w:hideMark/>
          </w:tcPr>
          <w:p w14:paraId="6D2CB02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D9D9D9"/>
            <w:noWrap/>
            <w:vAlign w:val="center"/>
            <w:hideMark/>
          </w:tcPr>
          <w:p w14:paraId="666FA4A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auto"/>
            <w:noWrap/>
            <w:vAlign w:val="center"/>
            <w:hideMark/>
          </w:tcPr>
          <w:p w14:paraId="640CD0F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hideMark/>
          </w:tcPr>
          <w:p w14:paraId="5AB9914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Sup</w:t>
            </w:r>
          </w:p>
        </w:tc>
        <w:tc>
          <w:tcPr>
            <w:tcW w:w="2791" w:type="dxa"/>
            <w:tcBorders>
              <w:top w:val="nil"/>
              <w:left w:val="nil"/>
              <w:bottom w:val="nil"/>
              <w:right w:val="nil"/>
            </w:tcBorders>
            <w:shd w:val="clear" w:color="auto" w:fill="auto"/>
            <w:noWrap/>
            <w:vAlign w:val="center"/>
            <w:hideMark/>
          </w:tcPr>
          <w:p w14:paraId="1C086E06" w14:textId="77777777" w:rsidR="0009294D" w:rsidRPr="0009294D" w:rsidRDefault="0009294D" w:rsidP="0009294D">
            <w:pPr>
              <w:spacing w:after="0" w:line="240" w:lineRule="auto"/>
              <w:rPr>
                <w:rFonts w:ascii="Times New Roman" w:eastAsia="Times New Roman" w:hAnsi="Times New Roman" w:cs="Times New Roman"/>
                <w:b/>
                <w:bCs/>
                <w:color w:val="000000"/>
                <w:sz w:val="12"/>
                <w:szCs w:val="12"/>
                <w:lang w:eastAsia="en-GB"/>
              </w:rPr>
            </w:pPr>
            <w:r w:rsidRPr="0009294D">
              <w:rPr>
                <w:rFonts w:ascii="Times New Roman" w:eastAsia="Times New Roman" w:hAnsi="Times New Roman" w:cs="Times New Roman"/>
                <w:sz w:val="12"/>
                <w:szCs w:val="12"/>
                <w:lang w:eastAsia="en-GB"/>
              </w:rPr>
              <w:t>Supervisory data</w:t>
            </w:r>
          </w:p>
        </w:tc>
      </w:tr>
      <w:tr w:rsidR="0009294D" w:rsidRPr="0009294D" w14:paraId="79CAA0E6"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45EDE02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F52</w:t>
            </w:r>
          </w:p>
        </w:tc>
        <w:tc>
          <w:tcPr>
            <w:tcW w:w="1627" w:type="dxa"/>
            <w:tcBorders>
              <w:top w:val="nil"/>
              <w:left w:val="nil"/>
              <w:bottom w:val="nil"/>
              <w:right w:val="nil"/>
            </w:tcBorders>
            <w:shd w:val="clear" w:color="000000" w:fill="D9D9D9"/>
            <w:vAlign w:val="center"/>
            <w:hideMark/>
          </w:tcPr>
          <w:p w14:paraId="51BDCBE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Investment fund shares/units</w:t>
            </w:r>
          </w:p>
        </w:tc>
        <w:tc>
          <w:tcPr>
            <w:tcW w:w="589" w:type="dxa"/>
            <w:gridSpan w:val="2"/>
            <w:tcBorders>
              <w:top w:val="nil"/>
              <w:left w:val="single" w:sz="4" w:space="0" w:color="auto"/>
              <w:bottom w:val="nil"/>
              <w:right w:val="nil"/>
            </w:tcBorders>
            <w:shd w:val="clear" w:color="auto" w:fill="auto"/>
            <w:noWrap/>
            <w:vAlign w:val="center"/>
            <w:hideMark/>
          </w:tcPr>
          <w:p w14:paraId="7944478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44" w:type="dxa"/>
            <w:tcBorders>
              <w:top w:val="nil"/>
              <w:left w:val="nil"/>
              <w:bottom w:val="nil"/>
              <w:right w:val="nil"/>
            </w:tcBorders>
            <w:shd w:val="clear" w:color="auto" w:fill="auto"/>
            <w:noWrap/>
            <w:vAlign w:val="center"/>
            <w:hideMark/>
          </w:tcPr>
          <w:p w14:paraId="4B79652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right w:val="nil"/>
            </w:tcBorders>
            <w:shd w:val="clear" w:color="auto" w:fill="auto"/>
            <w:noWrap/>
            <w:vAlign w:val="center"/>
            <w:hideMark/>
          </w:tcPr>
          <w:p w14:paraId="0B2B6CD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1BFBCA8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roofErr w:type="spellStart"/>
            <w:r w:rsidRPr="0009294D">
              <w:rPr>
                <w:rFonts w:ascii="Times New Roman" w:eastAsia="Times New Roman" w:hAnsi="Times New Roman" w:cs="Times New Roman"/>
                <w:color w:val="000000"/>
                <w:sz w:val="12"/>
                <w:szCs w:val="12"/>
                <w:lang w:eastAsia="en-GB"/>
              </w:rPr>
              <w:t>BoP</w:t>
            </w:r>
            <w:proofErr w:type="spellEnd"/>
          </w:p>
        </w:tc>
        <w:tc>
          <w:tcPr>
            <w:tcW w:w="499" w:type="dxa"/>
            <w:tcBorders>
              <w:top w:val="nil"/>
              <w:left w:val="nil"/>
              <w:bottom w:val="nil"/>
              <w:right w:val="nil"/>
            </w:tcBorders>
            <w:shd w:val="clear" w:color="auto" w:fill="auto"/>
            <w:noWrap/>
            <w:vAlign w:val="center"/>
            <w:hideMark/>
          </w:tcPr>
          <w:p w14:paraId="2596578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right w:val="nil"/>
            </w:tcBorders>
            <w:shd w:val="clear" w:color="auto" w:fill="auto"/>
            <w:noWrap/>
            <w:vAlign w:val="center"/>
            <w:hideMark/>
          </w:tcPr>
          <w:p w14:paraId="13A84A0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3A2DD28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0AF25DE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single" w:sz="4" w:space="0" w:color="auto"/>
            </w:tcBorders>
            <w:shd w:val="clear" w:color="auto" w:fill="auto"/>
            <w:noWrap/>
            <w:vAlign w:val="center"/>
            <w:hideMark/>
          </w:tcPr>
          <w:p w14:paraId="0F09777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576" w:type="dxa"/>
            <w:tcBorders>
              <w:top w:val="nil"/>
              <w:left w:val="nil"/>
              <w:right w:val="nil"/>
            </w:tcBorders>
            <w:shd w:val="clear" w:color="auto" w:fill="D9D9D9"/>
            <w:noWrap/>
            <w:vAlign w:val="center"/>
            <w:hideMark/>
          </w:tcPr>
          <w:p w14:paraId="793885B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auto"/>
            <w:noWrap/>
            <w:vAlign w:val="center"/>
            <w:hideMark/>
          </w:tcPr>
          <w:p w14:paraId="086F936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432" w:type="dxa"/>
            <w:tcBorders>
              <w:top w:val="nil"/>
              <w:left w:val="nil"/>
              <w:right w:val="nil"/>
            </w:tcBorders>
            <w:shd w:val="clear" w:color="auto" w:fill="auto"/>
            <w:noWrap/>
            <w:vAlign w:val="center"/>
            <w:hideMark/>
          </w:tcPr>
          <w:p w14:paraId="3B75C37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576" w:type="dxa"/>
            <w:tcBorders>
              <w:top w:val="nil"/>
              <w:left w:val="nil"/>
              <w:bottom w:val="nil"/>
              <w:right w:val="nil"/>
            </w:tcBorders>
            <w:shd w:val="clear" w:color="auto" w:fill="D9D9D9"/>
            <w:noWrap/>
            <w:vAlign w:val="center"/>
            <w:hideMark/>
          </w:tcPr>
          <w:p w14:paraId="2FD93E5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3C38943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bottom w:val="nil"/>
              <w:right w:val="nil"/>
            </w:tcBorders>
            <w:shd w:val="clear" w:color="auto" w:fill="D9D9D9"/>
            <w:noWrap/>
            <w:vAlign w:val="center"/>
            <w:hideMark/>
          </w:tcPr>
          <w:p w14:paraId="619A3C2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right w:val="nil"/>
            </w:tcBorders>
            <w:shd w:val="clear" w:color="auto" w:fill="D9D9D9"/>
            <w:noWrap/>
            <w:vAlign w:val="center"/>
            <w:hideMark/>
          </w:tcPr>
          <w:p w14:paraId="75024C8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743FB9C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single" w:sz="4" w:space="0" w:color="auto"/>
            </w:tcBorders>
            <w:shd w:val="clear" w:color="auto" w:fill="auto"/>
            <w:noWrap/>
            <w:vAlign w:val="center"/>
            <w:hideMark/>
          </w:tcPr>
          <w:p w14:paraId="4BC5F6C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hideMark/>
          </w:tcPr>
          <w:p w14:paraId="04983BA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2791" w:type="dxa"/>
            <w:tcBorders>
              <w:top w:val="nil"/>
              <w:left w:val="nil"/>
              <w:bottom w:val="nil"/>
              <w:right w:val="nil"/>
            </w:tcBorders>
            <w:shd w:val="clear" w:color="auto" w:fill="auto"/>
            <w:noWrap/>
            <w:vAlign w:val="center"/>
            <w:hideMark/>
          </w:tcPr>
          <w:p w14:paraId="5F34707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Known to be zero (e.g., if concept does not exist)</w:t>
            </w:r>
          </w:p>
        </w:tc>
      </w:tr>
      <w:tr w:rsidR="0009294D" w:rsidRPr="0009294D" w14:paraId="2ECAE5DC"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6D8B8F7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F61</w:t>
            </w:r>
          </w:p>
        </w:tc>
        <w:tc>
          <w:tcPr>
            <w:tcW w:w="1627" w:type="dxa"/>
            <w:tcBorders>
              <w:top w:val="nil"/>
              <w:left w:val="nil"/>
              <w:bottom w:val="nil"/>
              <w:right w:val="nil"/>
            </w:tcBorders>
            <w:shd w:val="clear" w:color="000000" w:fill="D9D9D9"/>
            <w:noWrap/>
            <w:vAlign w:val="center"/>
            <w:hideMark/>
          </w:tcPr>
          <w:p w14:paraId="1E0AAD8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Non-life insurance </w:t>
            </w:r>
            <w:proofErr w:type="spellStart"/>
            <w:r w:rsidRPr="0009294D">
              <w:rPr>
                <w:rFonts w:ascii="Times New Roman" w:eastAsia="Times New Roman" w:hAnsi="Times New Roman" w:cs="Times New Roman"/>
                <w:color w:val="000000"/>
                <w:sz w:val="12"/>
                <w:szCs w:val="12"/>
                <w:lang w:eastAsia="en-GB"/>
              </w:rPr>
              <w:t>techn</w:t>
            </w:r>
            <w:proofErr w:type="spellEnd"/>
            <w:r w:rsidRPr="0009294D">
              <w:rPr>
                <w:rFonts w:ascii="Times New Roman" w:eastAsia="Times New Roman" w:hAnsi="Times New Roman" w:cs="Times New Roman"/>
                <w:color w:val="000000"/>
                <w:sz w:val="12"/>
                <w:szCs w:val="12"/>
                <w:lang w:eastAsia="en-GB"/>
              </w:rPr>
              <w:t>. res.</w:t>
            </w:r>
          </w:p>
        </w:tc>
        <w:tc>
          <w:tcPr>
            <w:tcW w:w="589" w:type="dxa"/>
            <w:gridSpan w:val="2"/>
            <w:tcBorders>
              <w:top w:val="nil"/>
              <w:left w:val="single" w:sz="4" w:space="0" w:color="auto"/>
              <w:right w:val="nil"/>
            </w:tcBorders>
            <w:shd w:val="clear" w:color="auto" w:fill="auto"/>
            <w:noWrap/>
            <w:vAlign w:val="center"/>
            <w:hideMark/>
          </w:tcPr>
          <w:p w14:paraId="1AAF046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e^^</w:t>
            </w:r>
          </w:p>
        </w:tc>
        <w:tc>
          <w:tcPr>
            <w:tcW w:w="544" w:type="dxa"/>
            <w:tcBorders>
              <w:top w:val="nil"/>
              <w:left w:val="nil"/>
              <w:right w:val="nil"/>
            </w:tcBorders>
            <w:shd w:val="clear" w:color="auto" w:fill="auto"/>
            <w:noWrap/>
            <w:vAlign w:val="center"/>
            <w:hideMark/>
          </w:tcPr>
          <w:p w14:paraId="4748DBC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e^^</w:t>
            </w:r>
          </w:p>
        </w:tc>
        <w:tc>
          <w:tcPr>
            <w:tcW w:w="499" w:type="dxa"/>
            <w:gridSpan w:val="2"/>
            <w:tcBorders>
              <w:top w:val="nil"/>
              <w:left w:val="nil"/>
              <w:right w:val="nil"/>
            </w:tcBorders>
            <w:shd w:val="clear" w:color="auto" w:fill="D9D9D9"/>
            <w:noWrap/>
            <w:vAlign w:val="center"/>
            <w:hideMark/>
          </w:tcPr>
          <w:p w14:paraId="51234A0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15" w:type="dxa"/>
            <w:gridSpan w:val="2"/>
            <w:tcBorders>
              <w:top w:val="nil"/>
              <w:left w:val="nil"/>
              <w:right w:val="nil"/>
            </w:tcBorders>
            <w:shd w:val="clear" w:color="auto" w:fill="auto"/>
            <w:noWrap/>
            <w:vAlign w:val="center"/>
            <w:hideMark/>
          </w:tcPr>
          <w:p w14:paraId="51DB393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e^^</w:t>
            </w:r>
          </w:p>
        </w:tc>
        <w:tc>
          <w:tcPr>
            <w:tcW w:w="499" w:type="dxa"/>
            <w:tcBorders>
              <w:top w:val="nil"/>
              <w:left w:val="nil"/>
              <w:right w:val="nil"/>
            </w:tcBorders>
            <w:shd w:val="clear" w:color="auto" w:fill="auto"/>
            <w:noWrap/>
            <w:vAlign w:val="center"/>
            <w:hideMark/>
          </w:tcPr>
          <w:p w14:paraId="622E006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e^^</w:t>
            </w:r>
          </w:p>
        </w:tc>
        <w:tc>
          <w:tcPr>
            <w:tcW w:w="611" w:type="dxa"/>
            <w:tcBorders>
              <w:top w:val="nil"/>
              <w:left w:val="nil"/>
              <w:bottom w:val="nil"/>
              <w:right w:val="nil"/>
            </w:tcBorders>
            <w:shd w:val="clear" w:color="auto" w:fill="auto"/>
            <w:noWrap/>
            <w:vAlign w:val="center"/>
            <w:hideMark/>
          </w:tcPr>
          <w:p w14:paraId="19D2C6C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654" w:type="dxa"/>
            <w:tcBorders>
              <w:top w:val="nil"/>
              <w:left w:val="nil"/>
              <w:right w:val="nil"/>
            </w:tcBorders>
            <w:shd w:val="clear" w:color="auto" w:fill="auto"/>
            <w:noWrap/>
            <w:vAlign w:val="center"/>
            <w:hideMark/>
          </w:tcPr>
          <w:p w14:paraId="4620020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54FAA28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e^^</w:t>
            </w:r>
          </w:p>
        </w:tc>
        <w:tc>
          <w:tcPr>
            <w:tcW w:w="576" w:type="dxa"/>
            <w:tcBorders>
              <w:top w:val="nil"/>
              <w:left w:val="nil"/>
              <w:right w:val="single" w:sz="4" w:space="0" w:color="auto"/>
            </w:tcBorders>
            <w:shd w:val="clear" w:color="auto" w:fill="auto"/>
            <w:noWrap/>
            <w:vAlign w:val="center"/>
            <w:hideMark/>
          </w:tcPr>
          <w:p w14:paraId="2E3AFD8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D9D9D9"/>
            <w:noWrap/>
            <w:vAlign w:val="center"/>
            <w:hideMark/>
          </w:tcPr>
          <w:p w14:paraId="281CD2A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74CA036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bottom w:val="nil"/>
              <w:right w:val="nil"/>
            </w:tcBorders>
            <w:shd w:val="clear" w:color="auto" w:fill="D9D9D9"/>
            <w:noWrap/>
            <w:vAlign w:val="center"/>
            <w:hideMark/>
          </w:tcPr>
          <w:p w14:paraId="04F1126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2F5BFC0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76E0164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bottom w:val="nil"/>
              <w:right w:val="nil"/>
            </w:tcBorders>
            <w:shd w:val="clear" w:color="auto" w:fill="D9D9D9"/>
            <w:noWrap/>
            <w:vAlign w:val="center"/>
            <w:hideMark/>
          </w:tcPr>
          <w:p w14:paraId="0DC42A3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bottom w:val="nil"/>
              <w:right w:val="nil"/>
            </w:tcBorders>
            <w:shd w:val="clear" w:color="auto" w:fill="D9D9D9"/>
            <w:noWrap/>
            <w:vAlign w:val="center"/>
            <w:hideMark/>
          </w:tcPr>
          <w:p w14:paraId="39945A4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D9D9D9"/>
            <w:noWrap/>
            <w:vAlign w:val="center"/>
            <w:hideMark/>
          </w:tcPr>
          <w:p w14:paraId="0B57DE3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single" w:sz="4" w:space="0" w:color="auto"/>
            </w:tcBorders>
            <w:shd w:val="clear" w:color="auto" w:fill="D9D9D9"/>
            <w:noWrap/>
            <w:vAlign w:val="center"/>
            <w:hideMark/>
          </w:tcPr>
          <w:p w14:paraId="44F3981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20" w:type="dxa"/>
            <w:tcBorders>
              <w:top w:val="nil"/>
              <w:left w:val="nil"/>
              <w:bottom w:val="nil"/>
              <w:right w:val="nil"/>
            </w:tcBorders>
            <w:shd w:val="clear" w:color="auto" w:fill="auto"/>
            <w:noWrap/>
            <w:vAlign w:val="center"/>
          </w:tcPr>
          <w:p w14:paraId="501EEDE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2791" w:type="dxa"/>
            <w:tcBorders>
              <w:top w:val="nil"/>
              <w:left w:val="nil"/>
              <w:bottom w:val="nil"/>
              <w:right w:val="nil"/>
            </w:tcBorders>
            <w:shd w:val="clear" w:color="auto" w:fill="auto"/>
            <w:noWrap/>
            <w:vAlign w:val="center"/>
          </w:tcPr>
          <w:p w14:paraId="4D9A2D5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2CD392E6"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38E0EEA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F62</w:t>
            </w:r>
          </w:p>
        </w:tc>
        <w:tc>
          <w:tcPr>
            <w:tcW w:w="1627" w:type="dxa"/>
            <w:tcBorders>
              <w:top w:val="nil"/>
              <w:left w:val="nil"/>
              <w:bottom w:val="nil"/>
              <w:right w:val="nil"/>
            </w:tcBorders>
            <w:shd w:val="clear" w:color="000000" w:fill="D9D9D9"/>
            <w:vAlign w:val="center"/>
            <w:hideMark/>
          </w:tcPr>
          <w:p w14:paraId="2831672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Life insurance and annuities </w:t>
            </w:r>
          </w:p>
        </w:tc>
        <w:tc>
          <w:tcPr>
            <w:tcW w:w="589" w:type="dxa"/>
            <w:gridSpan w:val="2"/>
            <w:tcBorders>
              <w:top w:val="nil"/>
              <w:left w:val="single" w:sz="4" w:space="0" w:color="auto"/>
              <w:right w:val="nil"/>
            </w:tcBorders>
            <w:shd w:val="clear" w:color="auto" w:fill="D9D9D9"/>
            <w:noWrap/>
            <w:vAlign w:val="center"/>
            <w:hideMark/>
          </w:tcPr>
          <w:p w14:paraId="0A4FD44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 </w:t>
            </w:r>
          </w:p>
        </w:tc>
        <w:tc>
          <w:tcPr>
            <w:tcW w:w="544" w:type="dxa"/>
            <w:tcBorders>
              <w:top w:val="nil"/>
              <w:left w:val="nil"/>
              <w:right w:val="nil"/>
            </w:tcBorders>
            <w:shd w:val="clear" w:color="auto" w:fill="D9D9D9"/>
            <w:noWrap/>
            <w:vAlign w:val="center"/>
            <w:hideMark/>
          </w:tcPr>
          <w:p w14:paraId="338FAB1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 </w:t>
            </w:r>
          </w:p>
        </w:tc>
        <w:tc>
          <w:tcPr>
            <w:tcW w:w="499" w:type="dxa"/>
            <w:gridSpan w:val="2"/>
            <w:tcBorders>
              <w:top w:val="nil"/>
              <w:left w:val="nil"/>
              <w:bottom w:val="nil"/>
              <w:right w:val="nil"/>
            </w:tcBorders>
            <w:shd w:val="clear" w:color="auto" w:fill="D9D9D9"/>
            <w:noWrap/>
            <w:vAlign w:val="center"/>
            <w:hideMark/>
          </w:tcPr>
          <w:p w14:paraId="29A28E0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15" w:type="dxa"/>
            <w:gridSpan w:val="2"/>
            <w:tcBorders>
              <w:top w:val="nil"/>
              <w:left w:val="nil"/>
              <w:right w:val="nil"/>
            </w:tcBorders>
            <w:shd w:val="clear" w:color="auto" w:fill="D9D9D9"/>
            <w:noWrap/>
            <w:vAlign w:val="center"/>
            <w:hideMark/>
          </w:tcPr>
          <w:p w14:paraId="5C2EAC9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99" w:type="dxa"/>
            <w:tcBorders>
              <w:top w:val="nil"/>
              <w:left w:val="nil"/>
              <w:right w:val="nil"/>
            </w:tcBorders>
            <w:shd w:val="clear" w:color="auto" w:fill="D9D9D9"/>
            <w:noWrap/>
            <w:vAlign w:val="center"/>
            <w:hideMark/>
          </w:tcPr>
          <w:p w14:paraId="05A093E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11" w:type="dxa"/>
            <w:tcBorders>
              <w:top w:val="nil"/>
              <w:left w:val="nil"/>
              <w:bottom w:val="nil"/>
              <w:right w:val="nil"/>
            </w:tcBorders>
            <w:shd w:val="clear" w:color="auto" w:fill="D9D9D9"/>
            <w:noWrap/>
            <w:vAlign w:val="center"/>
            <w:hideMark/>
          </w:tcPr>
          <w:p w14:paraId="7C568D0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4" w:type="dxa"/>
            <w:tcBorders>
              <w:top w:val="nil"/>
              <w:left w:val="nil"/>
              <w:right w:val="nil"/>
            </w:tcBorders>
            <w:shd w:val="clear" w:color="auto" w:fill="D9D9D9"/>
            <w:noWrap/>
            <w:vAlign w:val="center"/>
            <w:hideMark/>
          </w:tcPr>
          <w:p w14:paraId="1F6C773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1F27668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576" w:type="dxa"/>
            <w:tcBorders>
              <w:top w:val="nil"/>
              <w:left w:val="nil"/>
              <w:right w:val="single" w:sz="4" w:space="0" w:color="auto"/>
            </w:tcBorders>
            <w:shd w:val="clear" w:color="auto" w:fill="D9D9D9"/>
            <w:noWrap/>
            <w:vAlign w:val="center"/>
            <w:hideMark/>
          </w:tcPr>
          <w:p w14:paraId="4596380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D9D9D9"/>
            <w:noWrap/>
            <w:vAlign w:val="center"/>
            <w:hideMark/>
          </w:tcPr>
          <w:p w14:paraId="2EF0CB6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66B7D3E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bottom w:val="nil"/>
              <w:right w:val="nil"/>
            </w:tcBorders>
            <w:shd w:val="clear" w:color="auto" w:fill="D9D9D9"/>
            <w:noWrap/>
            <w:vAlign w:val="center"/>
            <w:hideMark/>
          </w:tcPr>
          <w:p w14:paraId="3548580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D9D9D9"/>
            <w:noWrap/>
            <w:vAlign w:val="center"/>
            <w:hideMark/>
          </w:tcPr>
          <w:p w14:paraId="3366A11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auto"/>
            <w:noWrap/>
            <w:vAlign w:val="center"/>
            <w:hideMark/>
          </w:tcPr>
          <w:p w14:paraId="033FF72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bottom w:val="nil"/>
              <w:right w:val="nil"/>
            </w:tcBorders>
            <w:shd w:val="clear" w:color="auto" w:fill="D9D9D9"/>
            <w:noWrap/>
            <w:vAlign w:val="center"/>
            <w:hideMark/>
          </w:tcPr>
          <w:p w14:paraId="47F98BA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right w:val="nil"/>
            </w:tcBorders>
            <w:shd w:val="clear" w:color="auto" w:fill="D9D9D9"/>
            <w:noWrap/>
            <w:vAlign w:val="center"/>
            <w:hideMark/>
          </w:tcPr>
          <w:p w14:paraId="4B6F628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D9D9D9"/>
            <w:noWrap/>
            <w:vAlign w:val="center"/>
            <w:hideMark/>
          </w:tcPr>
          <w:p w14:paraId="0B22E1B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single" w:sz="4" w:space="0" w:color="auto"/>
            </w:tcBorders>
            <w:shd w:val="clear" w:color="auto" w:fill="D9D9D9"/>
            <w:noWrap/>
            <w:vAlign w:val="center"/>
            <w:hideMark/>
          </w:tcPr>
          <w:p w14:paraId="543A87D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20" w:type="dxa"/>
            <w:tcBorders>
              <w:top w:val="nil"/>
              <w:left w:val="nil"/>
              <w:bottom w:val="nil"/>
              <w:right w:val="nil"/>
            </w:tcBorders>
            <w:shd w:val="clear" w:color="auto" w:fill="auto"/>
            <w:noWrap/>
            <w:vAlign w:val="center"/>
            <w:hideMark/>
          </w:tcPr>
          <w:p w14:paraId="647B2DA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e^^</w:t>
            </w:r>
          </w:p>
        </w:tc>
        <w:tc>
          <w:tcPr>
            <w:tcW w:w="2791" w:type="dxa"/>
            <w:tcBorders>
              <w:top w:val="nil"/>
              <w:left w:val="nil"/>
              <w:bottom w:val="nil"/>
              <w:right w:val="nil"/>
            </w:tcBorders>
            <w:shd w:val="clear" w:color="auto" w:fill="auto"/>
            <w:noWrap/>
            <w:vAlign w:val="center"/>
            <w:hideMark/>
          </w:tcPr>
          <w:p w14:paraId="64946AD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sz w:val="12"/>
                <w:szCs w:val="12"/>
                <w:lang w:eastAsia="en-GB"/>
              </w:rPr>
              <w:t>Estimate (</w:t>
            </w:r>
            <w:proofErr w:type="spellStart"/>
            <w:r w:rsidRPr="0009294D">
              <w:rPr>
                <w:rFonts w:ascii="Times New Roman" w:eastAsia="Times New Roman" w:hAnsi="Times New Roman" w:cs="Times New Roman"/>
                <w:sz w:val="12"/>
                <w:szCs w:val="12"/>
                <w:lang w:eastAsia="en-GB"/>
              </w:rPr>
              <w:t>expl</w:t>
            </w:r>
            <w:proofErr w:type="spellEnd"/>
            <w:r w:rsidRPr="0009294D">
              <w:rPr>
                <w:rFonts w:ascii="Times New Roman" w:eastAsia="Times New Roman" w:hAnsi="Times New Roman" w:cs="Times New Roman"/>
                <w:sz w:val="12"/>
                <w:szCs w:val="12"/>
                <w:lang w:eastAsia="en-GB"/>
              </w:rPr>
              <w:t>. in footnote ^^)</w:t>
            </w:r>
          </w:p>
        </w:tc>
      </w:tr>
      <w:tr w:rsidR="0009294D" w:rsidRPr="0009294D" w14:paraId="74D51179"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4BB73E6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F63-F65</w:t>
            </w:r>
          </w:p>
        </w:tc>
        <w:tc>
          <w:tcPr>
            <w:tcW w:w="1627" w:type="dxa"/>
            <w:tcBorders>
              <w:top w:val="nil"/>
              <w:left w:val="nil"/>
              <w:bottom w:val="nil"/>
              <w:right w:val="nil"/>
            </w:tcBorders>
            <w:shd w:val="clear" w:color="000000" w:fill="D9D9D9"/>
            <w:vAlign w:val="center"/>
            <w:hideMark/>
          </w:tcPr>
          <w:p w14:paraId="4FE1956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Pension entitlements </w:t>
            </w:r>
          </w:p>
        </w:tc>
        <w:tc>
          <w:tcPr>
            <w:tcW w:w="589" w:type="dxa"/>
            <w:gridSpan w:val="2"/>
            <w:tcBorders>
              <w:top w:val="nil"/>
              <w:left w:val="single" w:sz="4" w:space="0" w:color="auto"/>
              <w:bottom w:val="nil"/>
              <w:right w:val="nil"/>
            </w:tcBorders>
            <w:shd w:val="clear" w:color="auto" w:fill="auto"/>
            <w:noWrap/>
            <w:vAlign w:val="center"/>
            <w:hideMark/>
          </w:tcPr>
          <w:p w14:paraId="1C2DCC7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44" w:type="dxa"/>
            <w:tcBorders>
              <w:top w:val="nil"/>
              <w:left w:val="nil"/>
              <w:bottom w:val="nil"/>
              <w:right w:val="nil"/>
            </w:tcBorders>
            <w:shd w:val="clear" w:color="auto" w:fill="auto"/>
            <w:noWrap/>
            <w:vAlign w:val="center"/>
            <w:hideMark/>
          </w:tcPr>
          <w:p w14:paraId="240AAE1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499" w:type="dxa"/>
            <w:gridSpan w:val="2"/>
            <w:tcBorders>
              <w:top w:val="nil"/>
              <w:left w:val="nil"/>
              <w:right w:val="nil"/>
            </w:tcBorders>
            <w:shd w:val="clear" w:color="auto" w:fill="D9D9D9"/>
            <w:noWrap/>
            <w:vAlign w:val="center"/>
            <w:hideMark/>
          </w:tcPr>
          <w:p w14:paraId="48C5FB5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15" w:type="dxa"/>
            <w:gridSpan w:val="2"/>
            <w:tcBorders>
              <w:top w:val="nil"/>
              <w:left w:val="nil"/>
              <w:right w:val="nil"/>
            </w:tcBorders>
            <w:shd w:val="clear" w:color="auto" w:fill="D9D9D9"/>
            <w:noWrap/>
            <w:vAlign w:val="center"/>
            <w:hideMark/>
          </w:tcPr>
          <w:p w14:paraId="6E4898B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499" w:type="dxa"/>
            <w:tcBorders>
              <w:top w:val="nil"/>
              <w:left w:val="nil"/>
              <w:right w:val="nil"/>
            </w:tcBorders>
            <w:shd w:val="clear" w:color="auto" w:fill="D9D9D9"/>
            <w:noWrap/>
            <w:vAlign w:val="center"/>
            <w:hideMark/>
          </w:tcPr>
          <w:p w14:paraId="7217895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611" w:type="dxa"/>
            <w:tcBorders>
              <w:top w:val="nil"/>
              <w:left w:val="nil"/>
              <w:right w:val="nil"/>
            </w:tcBorders>
            <w:shd w:val="clear" w:color="auto" w:fill="D9D9D9"/>
            <w:noWrap/>
            <w:vAlign w:val="center"/>
            <w:hideMark/>
          </w:tcPr>
          <w:p w14:paraId="0BFC6E9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654" w:type="dxa"/>
            <w:tcBorders>
              <w:top w:val="nil"/>
              <w:left w:val="nil"/>
              <w:bottom w:val="nil"/>
              <w:right w:val="nil"/>
            </w:tcBorders>
            <w:shd w:val="clear" w:color="auto" w:fill="D9D9D9"/>
            <w:noWrap/>
            <w:vAlign w:val="center"/>
            <w:hideMark/>
          </w:tcPr>
          <w:p w14:paraId="6E2BD2F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224A84A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576" w:type="dxa"/>
            <w:tcBorders>
              <w:top w:val="nil"/>
              <w:left w:val="nil"/>
              <w:bottom w:val="nil"/>
              <w:right w:val="single" w:sz="4" w:space="0" w:color="auto"/>
            </w:tcBorders>
            <w:shd w:val="clear" w:color="auto" w:fill="D9D9D9"/>
            <w:noWrap/>
            <w:vAlign w:val="center"/>
            <w:hideMark/>
          </w:tcPr>
          <w:p w14:paraId="1FD0235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0EE848D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D9D9D9"/>
            <w:noWrap/>
            <w:vAlign w:val="center"/>
            <w:hideMark/>
          </w:tcPr>
          <w:p w14:paraId="003F85E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432" w:type="dxa"/>
            <w:tcBorders>
              <w:top w:val="nil"/>
              <w:left w:val="nil"/>
              <w:bottom w:val="nil"/>
              <w:right w:val="nil"/>
            </w:tcBorders>
            <w:shd w:val="clear" w:color="auto" w:fill="D9D9D9"/>
            <w:noWrap/>
            <w:vAlign w:val="center"/>
            <w:hideMark/>
          </w:tcPr>
          <w:p w14:paraId="2001877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right w:val="nil"/>
            </w:tcBorders>
            <w:shd w:val="clear" w:color="auto" w:fill="auto"/>
            <w:noWrap/>
            <w:vAlign w:val="center"/>
            <w:hideMark/>
          </w:tcPr>
          <w:p w14:paraId="75B6230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right w:val="nil"/>
            </w:tcBorders>
            <w:shd w:val="clear" w:color="auto" w:fill="auto"/>
            <w:noWrap/>
            <w:vAlign w:val="center"/>
            <w:hideMark/>
          </w:tcPr>
          <w:p w14:paraId="676A295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432" w:type="dxa"/>
            <w:tcBorders>
              <w:top w:val="nil"/>
              <w:left w:val="nil"/>
              <w:right w:val="nil"/>
            </w:tcBorders>
            <w:shd w:val="clear" w:color="auto" w:fill="auto"/>
            <w:noWrap/>
            <w:vAlign w:val="center"/>
            <w:hideMark/>
          </w:tcPr>
          <w:p w14:paraId="6EBFF2B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2" w:type="dxa"/>
            <w:tcBorders>
              <w:top w:val="nil"/>
              <w:left w:val="nil"/>
              <w:bottom w:val="nil"/>
              <w:right w:val="nil"/>
            </w:tcBorders>
            <w:shd w:val="clear" w:color="auto" w:fill="auto"/>
            <w:noWrap/>
            <w:vAlign w:val="center"/>
            <w:hideMark/>
          </w:tcPr>
          <w:p w14:paraId="54D07FE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nil"/>
            </w:tcBorders>
            <w:shd w:val="clear" w:color="auto" w:fill="auto"/>
            <w:noWrap/>
            <w:vAlign w:val="center"/>
            <w:hideMark/>
          </w:tcPr>
          <w:p w14:paraId="5DC8685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576" w:type="dxa"/>
            <w:tcBorders>
              <w:top w:val="nil"/>
              <w:left w:val="nil"/>
              <w:bottom w:val="nil"/>
              <w:right w:val="single" w:sz="4" w:space="0" w:color="auto"/>
            </w:tcBorders>
            <w:shd w:val="clear" w:color="auto" w:fill="D9D9D9"/>
            <w:noWrap/>
            <w:vAlign w:val="center"/>
            <w:hideMark/>
          </w:tcPr>
          <w:p w14:paraId="6C58734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20" w:type="dxa"/>
            <w:tcBorders>
              <w:top w:val="nil"/>
              <w:left w:val="nil"/>
              <w:bottom w:val="nil"/>
              <w:right w:val="nil"/>
            </w:tcBorders>
            <w:shd w:val="clear" w:color="auto" w:fill="auto"/>
            <w:noWrap/>
            <w:vAlign w:val="center"/>
          </w:tcPr>
          <w:p w14:paraId="184B4D2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2791" w:type="dxa"/>
            <w:tcBorders>
              <w:top w:val="nil"/>
              <w:left w:val="nil"/>
              <w:bottom w:val="nil"/>
              <w:right w:val="nil"/>
            </w:tcBorders>
            <w:shd w:val="clear" w:color="auto" w:fill="auto"/>
            <w:noWrap/>
            <w:vAlign w:val="center"/>
          </w:tcPr>
          <w:p w14:paraId="1BDC7DDC"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p>
        </w:tc>
      </w:tr>
      <w:tr w:rsidR="0009294D" w:rsidRPr="0009294D" w14:paraId="33B5D53B" w14:textId="77777777" w:rsidTr="0009294D">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2D0C43C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F66</w:t>
            </w:r>
          </w:p>
        </w:tc>
        <w:tc>
          <w:tcPr>
            <w:tcW w:w="1627" w:type="dxa"/>
            <w:tcBorders>
              <w:top w:val="nil"/>
              <w:left w:val="nil"/>
              <w:bottom w:val="nil"/>
              <w:right w:val="nil"/>
            </w:tcBorders>
            <w:shd w:val="clear" w:color="000000" w:fill="D9D9D9"/>
            <w:vAlign w:val="center"/>
            <w:hideMark/>
          </w:tcPr>
          <w:p w14:paraId="4A90BD4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Standardised guarantees</w:t>
            </w:r>
          </w:p>
        </w:tc>
        <w:tc>
          <w:tcPr>
            <w:tcW w:w="589" w:type="dxa"/>
            <w:gridSpan w:val="2"/>
            <w:tcBorders>
              <w:top w:val="nil"/>
              <w:left w:val="single" w:sz="4" w:space="0" w:color="auto"/>
              <w:bottom w:val="nil"/>
              <w:right w:val="nil"/>
            </w:tcBorders>
            <w:shd w:val="clear" w:color="auto" w:fill="auto"/>
            <w:noWrap/>
            <w:vAlign w:val="center"/>
            <w:hideMark/>
          </w:tcPr>
          <w:p w14:paraId="2DBAF98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0</w:t>
            </w:r>
          </w:p>
        </w:tc>
        <w:tc>
          <w:tcPr>
            <w:tcW w:w="544" w:type="dxa"/>
            <w:tcBorders>
              <w:top w:val="nil"/>
              <w:left w:val="nil"/>
              <w:bottom w:val="nil"/>
              <w:right w:val="nil"/>
            </w:tcBorders>
            <w:shd w:val="clear" w:color="auto" w:fill="auto"/>
            <w:noWrap/>
            <w:vAlign w:val="center"/>
            <w:hideMark/>
          </w:tcPr>
          <w:p w14:paraId="79049A7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499" w:type="dxa"/>
            <w:gridSpan w:val="2"/>
            <w:tcBorders>
              <w:top w:val="nil"/>
              <w:left w:val="nil"/>
              <w:bottom w:val="nil"/>
              <w:right w:val="nil"/>
            </w:tcBorders>
            <w:shd w:val="clear" w:color="auto" w:fill="auto"/>
            <w:noWrap/>
            <w:vAlign w:val="center"/>
            <w:hideMark/>
          </w:tcPr>
          <w:p w14:paraId="40A6DE4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715" w:type="dxa"/>
            <w:gridSpan w:val="2"/>
            <w:tcBorders>
              <w:top w:val="nil"/>
              <w:left w:val="nil"/>
              <w:bottom w:val="nil"/>
              <w:right w:val="nil"/>
            </w:tcBorders>
            <w:shd w:val="clear" w:color="auto" w:fill="auto"/>
            <w:noWrap/>
            <w:vAlign w:val="center"/>
            <w:hideMark/>
          </w:tcPr>
          <w:p w14:paraId="5CAA778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499" w:type="dxa"/>
            <w:tcBorders>
              <w:top w:val="nil"/>
              <w:left w:val="nil"/>
              <w:bottom w:val="nil"/>
              <w:right w:val="nil"/>
            </w:tcBorders>
            <w:shd w:val="clear" w:color="auto" w:fill="auto"/>
            <w:noWrap/>
            <w:vAlign w:val="center"/>
            <w:hideMark/>
          </w:tcPr>
          <w:p w14:paraId="12B93EA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611" w:type="dxa"/>
            <w:tcBorders>
              <w:top w:val="nil"/>
              <w:left w:val="nil"/>
              <w:bottom w:val="nil"/>
              <w:right w:val="nil"/>
            </w:tcBorders>
            <w:shd w:val="clear" w:color="auto" w:fill="auto"/>
            <w:noWrap/>
            <w:vAlign w:val="center"/>
            <w:hideMark/>
          </w:tcPr>
          <w:p w14:paraId="67A6669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654" w:type="dxa"/>
            <w:tcBorders>
              <w:top w:val="nil"/>
              <w:left w:val="nil"/>
              <w:bottom w:val="nil"/>
              <w:right w:val="nil"/>
            </w:tcBorders>
            <w:shd w:val="clear" w:color="auto" w:fill="D9D9D9"/>
            <w:noWrap/>
            <w:vAlign w:val="center"/>
            <w:hideMark/>
          </w:tcPr>
          <w:p w14:paraId="75BB60D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307FD13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single" w:sz="4" w:space="0" w:color="auto"/>
            </w:tcBorders>
            <w:shd w:val="clear" w:color="auto" w:fill="D9D9D9"/>
            <w:noWrap/>
            <w:vAlign w:val="center"/>
            <w:hideMark/>
          </w:tcPr>
          <w:p w14:paraId="328AA14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0B59AFE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0ABF0B7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432" w:type="dxa"/>
            <w:tcBorders>
              <w:top w:val="nil"/>
              <w:left w:val="nil"/>
              <w:bottom w:val="nil"/>
              <w:right w:val="nil"/>
            </w:tcBorders>
            <w:shd w:val="clear" w:color="auto" w:fill="D9D9D9"/>
            <w:noWrap/>
            <w:vAlign w:val="center"/>
            <w:hideMark/>
          </w:tcPr>
          <w:p w14:paraId="5E278B1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D9D9D9"/>
            <w:noWrap/>
            <w:vAlign w:val="center"/>
            <w:hideMark/>
          </w:tcPr>
          <w:p w14:paraId="2E0F569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nil"/>
            </w:tcBorders>
            <w:shd w:val="clear" w:color="auto" w:fill="auto"/>
            <w:noWrap/>
            <w:vAlign w:val="center"/>
            <w:hideMark/>
          </w:tcPr>
          <w:p w14:paraId="1D7A581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0</w:t>
            </w:r>
          </w:p>
        </w:tc>
        <w:tc>
          <w:tcPr>
            <w:tcW w:w="432" w:type="dxa"/>
            <w:tcBorders>
              <w:top w:val="nil"/>
              <w:left w:val="nil"/>
              <w:bottom w:val="nil"/>
              <w:right w:val="nil"/>
            </w:tcBorders>
            <w:shd w:val="clear" w:color="auto" w:fill="D9D9D9"/>
            <w:noWrap/>
            <w:vAlign w:val="center"/>
            <w:hideMark/>
          </w:tcPr>
          <w:p w14:paraId="7991634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652" w:type="dxa"/>
            <w:tcBorders>
              <w:top w:val="nil"/>
              <w:left w:val="nil"/>
              <w:bottom w:val="nil"/>
              <w:right w:val="nil"/>
            </w:tcBorders>
            <w:shd w:val="clear" w:color="auto" w:fill="auto"/>
            <w:noWrap/>
            <w:vAlign w:val="center"/>
            <w:hideMark/>
          </w:tcPr>
          <w:p w14:paraId="5999C81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D9D9D9"/>
            <w:noWrap/>
            <w:vAlign w:val="center"/>
            <w:hideMark/>
          </w:tcPr>
          <w:p w14:paraId="7B9D465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576" w:type="dxa"/>
            <w:tcBorders>
              <w:top w:val="nil"/>
              <w:left w:val="nil"/>
              <w:bottom w:val="nil"/>
              <w:right w:val="single" w:sz="4" w:space="0" w:color="auto"/>
            </w:tcBorders>
            <w:shd w:val="clear" w:color="auto" w:fill="D9D9D9"/>
            <w:noWrap/>
            <w:vAlign w:val="center"/>
            <w:hideMark/>
          </w:tcPr>
          <w:p w14:paraId="5BA11FD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w:t>
            </w:r>
          </w:p>
        </w:tc>
        <w:tc>
          <w:tcPr>
            <w:tcW w:w="720" w:type="dxa"/>
            <w:tcBorders>
              <w:top w:val="nil"/>
              <w:left w:val="nil"/>
              <w:bottom w:val="nil"/>
              <w:right w:val="nil"/>
            </w:tcBorders>
            <w:shd w:val="clear" w:color="auto" w:fill="auto"/>
            <w:noWrap/>
            <w:vAlign w:val="center"/>
          </w:tcPr>
          <w:p w14:paraId="4F508FF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2791" w:type="dxa"/>
            <w:tcBorders>
              <w:top w:val="nil"/>
              <w:left w:val="nil"/>
              <w:bottom w:val="nil"/>
              <w:right w:val="nil"/>
            </w:tcBorders>
            <w:shd w:val="clear" w:color="auto" w:fill="auto"/>
            <w:noWrap/>
            <w:vAlign w:val="center"/>
          </w:tcPr>
          <w:p w14:paraId="60AEF9E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0A600004" w14:textId="77777777" w:rsidTr="00BE05AB">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61C208C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F7</w:t>
            </w:r>
          </w:p>
        </w:tc>
        <w:tc>
          <w:tcPr>
            <w:tcW w:w="1627" w:type="dxa"/>
            <w:tcBorders>
              <w:top w:val="nil"/>
              <w:left w:val="nil"/>
              <w:bottom w:val="nil"/>
              <w:right w:val="nil"/>
            </w:tcBorders>
            <w:shd w:val="clear" w:color="000000" w:fill="D9D9D9"/>
            <w:vAlign w:val="center"/>
            <w:hideMark/>
          </w:tcPr>
          <w:p w14:paraId="6BD6C98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Financial derivatives</w:t>
            </w:r>
          </w:p>
        </w:tc>
        <w:tc>
          <w:tcPr>
            <w:tcW w:w="589" w:type="dxa"/>
            <w:gridSpan w:val="2"/>
            <w:tcBorders>
              <w:top w:val="nil"/>
              <w:left w:val="single" w:sz="4" w:space="0" w:color="auto"/>
              <w:bottom w:val="nil"/>
              <w:right w:val="nil"/>
            </w:tcBorders>
            <w:shd w:val="clear" w:color="auto" w:fill="auto"/>
            <w:noWrap/>
            <w:vAlign w:val="center"/>
            <w:hideMark/>
          </w:tcPr>
          <w:p w14:paraId="29FE0BB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MFI</w:t>
            </w:r>
          </w:p>
        </w:tc>
        <w:tc>
          <w:tcPr>
            <w:tcW w:w="544" w:type="dxa"/>
            <w:tcBorders>
              <w:top w:val="nil"/>
              <w:left w:val="nil"/>
              <w:bottom w:val="nil"/>
              <w:right w:val="nil"/>
            </w:tcBorders>
            <w:shd w:val="clear" w:color="auto" w:fill="auto"/>
            <w:noWrap/>
            <w:vAlign w:val="center"/>
            <w:hideMark/>
          </w:tcPr>
          <w:p w14:paraId="12147D5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MFI/ </w:t>
            </w:r>
            <w:proofErr w:type="spellStart"/>
            <w:r w:rsidRPr="0009294D">
              <w:rPr>
                <w:rFonts w:ascii="Times New Roman" w:eastAsia="Times New Roman" w:hAnsi="Times New Roman" w:cs="Times New Roman"/>
                <w:color w:val="000000"/>
                <w:sz w:val="12"/>
                <w:szCs w:val="12"/>
                <w:lang w:eastAsia="en-GB"/>
              </w:rPr>
              <w:t>BoP</w:t>
            </w:r>
            <w:proofErr w:type="spellEnd"/>
          </w:p>
        </w:tc>
        <w:tc>
          <w:tcPr>
            <w:tcW w:w="499" w:type="dxa"/>
            <w:gridSpan w:val="2"/>
            <w:tcBorders>
              <w:top w:val="nil"/>
              <w:left w:val="nil"/>
              <w:right w:val="nil"/>
            </w:tcBorders>
            <w:shd w:val="clear" w:color="auto" w:fill="auto"/>
            <w:noWrap/>
            <w:vAlign w:val="center"/>
            <w:hideMark/>
          </w:tcPr>
          <w:p w14:paraId="371A4BB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right w:val="nil"/>
            </w:tcBorders>
            <w:shd w:val="clear" w:color="auto" w:fill="auto"/>
            <w:noWrap/>
            <w:vAlign w:val="center"/>
            <w:hideMark/>
          </w:tcPr>
          <w:p w14:paraId="06D7EA7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tcBorders>
              <w:top w:val="nil"/>
              <w:left w:val="nil"/>
              <w:right w:val="nil"/>
            </w:tcBorders>
            <w:shd w:val="clear" w:color="auto" w:fill="auto"/>
            <w:noWrap/>
            <w:vAlign w:val="center"/>
            <w:hideMark/>
          </w:tcPr>
          <w:p w14:paraId="244AFDD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611" w:type="dxa"/>
            <w:tcBorders>
              <w:top w:val="nil"/>
              <w:left w:val="nil"/>
              <w:right w:val="nil"/>
            </w:tcBorders>
            <w:shd w:val="clear" w:color="auto" w:fill="auto"/>
            <w:noWrap/>
            <w:vAlign w:val="center"/>
            <w:hideMark/>
          </w:tcPr>
          <w:p w14:paraId="6BFA2CA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778FD7E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645BE0E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MFI</w:t>
            </w:r>
          </w:p>
        </w:tc>
        <w:tc>
          <w:tcPr>
            <w:tcW w:w="576" w:type="dxa"/>
            <w:tcBorders>
              <w:top w:val="nil"/>
              <w:left w:val="nil"/>
              <w:bottom w:val="nil"/>
              <w:right w:val="single" w:sz="4" w:space="0" w:color="auto"/>
            </w:tcBorders>
            <w:shd w:val="clear" w:color="auto" w:fill="auto"/>
            <w:noWrap/>
            <w:vAlign w:val="center"/>
            <w:hideMark/>
          </w:tcPr>
          <w:p w14:paraId="33D12D6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auto"/>
            <w:noWrap/>
            <w:vAlign w:val="center"/>
            <w:hideMark/>
          </w:tcPr>
          <w:p w14:paraId="7AC8B16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nil"/>
            </w:tcBorders>
            <w:shd w:val="clear" w:color="auto" w:fill="auto"/>
            <w:noWrap/>
            <w:vAlign w:val="center"/>
            <w:hideMark/>
          </w:tcPr>
          <w:p w14:paraId="004B5B9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MF/ </w:t>
            </w:r>
            <w:proofErr w:type="spellStart"/>
            <w:r w:rsidRPr="0009294D">
              <w:rPr>
                <w:rFonts w:ascii="Times New Roman" w:eastAsia="Times New Roman" w:hAnsi="Times New Roman" w:cs="Times New Roman"/>
                <w:color w:val="000000"/>
                <w:sz w:val="12"/>
                <w:szCs w:val="12"/>
                <w:lang w:eastAsia="en-GB"/>
              </w:rPr>
              <w:t>BoP</w:t>
            </w:r>
            <w:proofErr w:type="spellEnd"/>
          </w:p>
        </w:tc>
        <w:tc>
          <w:tcPr>
            <w:tcW w:w="432" w:type="dxa"/>
            <w:tcBorders>
              <w:top w:val="nil"/>
              <w:left w:val="nil"/>
              <w:right w:val="nil"/>
            </w:tcBorders>
            <w:shd w:val="clear" w:color="auto" w:fill="auto"/>
            <w:noWrap/>
            <w:vAlign w:val="center"/>
            <w:hideMark/>
          </w:tcPr>
          <w:p w14:paraId="66069F1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576" w:type="dxa"/>
            <w:tcBorders>
              <w:top w:val="nil"/>
              <w:left w:val="nil"/>
              <w:bottom w:val="nil"/>
              <w:right w:val="nil"/>
            </w:tcBorders>
            <w:shd w:val="clear" w:color="auto" w:fill="auto"/>
            <w:noWrap/>
            <w:vAlign w:val="center"/>
            <w:hideMark/>
          </w:tcPr>
          <w:p w14:paraId="2711A49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nil"/>
            </w:tcBorders>
            <w:shd w:val="clear" w:color="auto" w:fill="auto"/>
            <w:noWrap/>
            <w:vAlign w:val="center"/>
            <w:hideMark/>
          </w:tcPr>
          <w:p w14:paraId="6AE3694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w:t>
            </w:r>
          </w:p>
        </w:tc>
        <w:tc>
          <w:tcPr>
            <w:tcW w:w="432" w:type="dxa"/>
            <w:tcBorders>
              <w:top w:val="nil"/>
              <w:left w:val="nil"/>
              <w:right w:val="nil"/>
            </w:tcBorders>
            <w:shd w:val="clear" w:color="auto" w:fill="auto"/>
            <w:noWrap/>
            <w:vAlign w:val="center"/>
            <w:hideMark/>
          </w:tcPr>
          <w:p w14:paraId="3149B1E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2" w:type="dxa"/>
            <w:tcBorders>
              <w:top w:val="nil"/>
              <w:left w:val="nil"/>
              <w:bottom w:val="nil"/>
              <w:right w:val="nil"/>
            </w:tcBorders>
            <w:shd w:val="clear" w:color="auto" w:fill="auto"/>
            <w:noWrap/>
            <w:vAlign w:val="center"/>
            <w:hideMark/>
          </w:tcPr>
          <w:p w14:paraId="733A323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1AA4951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576" w:type="dxa"/>
            <w:tcBorders>
              <w:top w:val="nil"/>
              <w:left w:val="nil"/>
              <w:bottom w:val="nil"/>
              <w:right w:val="single" w:sz="4" w:space="0" w:color="auto"/>
            </w:tcBorders>
            <w:shd w:val="clear" w:color="auto" w:fill="auto"/>
            <w:noWrap/>
            <w:vAlign w:val="center"/>
            <w:hideMark/>
          </w:tcPr>
          <w:p w14:paraId="36F9313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tcPr>
          <w:p w14:paraId="10E1968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2791" w:type="dxa"/>
            <w:tcBorders>
              <w:top w:val="nil"/>
              <w:left w:val="nil"/>
              <w:bottom w:val="nil"/>
              <w:right w:val="nil"/>
            </w:tcBorders>
            <w:shd w:val="clear" w:color="auto" w:fill="auto"/>
            <w:noWrap/>
            <w:vAlign w:val="center"/>
          </w:tcPr>
          <w:p w14:paraId="3958451B"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p>
        </w:tc>
      </w:tr>
      <w:tr w:rsidR="0009294D" w:rsidRPr="0009294D" w14:paraId="05984261" w14:textId="77777777" w:rsidTr="00BE05AB">
        <w:trPr>
          <w:trHeight w:val="20"/>
          <w:jc w:val="center"/>
        </w:trPr>
        <w:tc>
          <w:tcPr>
            <w:tcW w:w="630" w:type="dxa"/>
            <w:tcBorders>
              <w:top w:val="nil"/>
              <w:left w:val="single" w:sz="4" w:space="0" w:color="auto"/>
              <w:bottom w:val="nil"/>
              <w:right w:val="single" w:sz="4" w:space="0" w:color="auto"/>
            </w:tcBorders>
            <w:shd w:val="clear" w:color="000000" w:fill="D9D9D9"/>
            <w:noWrap/>
            <w:vAlign w:val="center"/>
            <w:hideMark/>
          </w:tcPr>
          <w:p w14:paraId="1FED5FD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F81</w:t>
            </w:r>
          </w:p>
        </w:tc>
        <w:tc>
          <w:tcPr>
            <w:tcW w:w="1627" w:type="dxa"/>
            <w:tcBorders>
              <w:top w:val="nil"/>
              <w:left w:val="nil"/>
              <w:bottom w:val="nil"/>
              <w:right w:val="nil"/>
            </w:tcBorders>
            <w:shd w:val="clear" w:color="000000" w:fill="D9D9D9"/>
            <w:vAlign w:val="center"/>
            <w:hideMark/>
          </w:tcPr>
          <w:p w14:paraId="7081778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Trade credits and advances</w:t>
            </w:r>
          </w:p>
        </w:tc>
        <w:tc>
          <w:tcPr>
            <w:tcW w:w="589" w:type="dxa"/>
            <w:gridSpan w:val="2"/>
            <w:tcBorders>
              <w:top w:val="nil"/>
              <w:left w:val="single" w:sz="4" w:space="0" w:color="auto"/>
              <w:bottom w:val="nil"/>
              <w:right w:val="nil"/>
            </w:tcBorders>
            <w:shd w:val="clear" w:color="auto" w:fill="auto"/>
            <w:noWrap/>
            <w:vAlign w:val="center"/>
            <w:hideMark/>
          </w:tcPr>
          <w:p w14:paraId="31D3E63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544" w:type="dxa"/>
            <w:tcBorders>
              <w:top w:val="nil"/>
              <w:left w:val="nil"/>
              <w:bottom w:val="nil"/>
              <w:right w:val="nil"/>
            </w:tcBorders>
            <w:shd w:val="clear" w:color="auto" w:fill="auto"/>
            <w:noWrap/>
            <w:vAlign w:val="center"/>
            <w:hideMark/>
          </w:tcPr>
          <w:p w14:paraId="29329F6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nil"/>
              <w:right w:val="nil"/>
            </w:tcBorders>
            <w:shd w:val="clear" w:color="auto" w:fill="auto"/>
            <w:noWrap/>
            <w:vAlign w:val="center"/>
            <w:hideMark/>
          </w:tcPr>
          <w:p w14:paraId="161ABFD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nil"/>
              <w:right w:val="nil"/>
            </w:tcBorders>
            <w:shd w:val="clear" w:color="auto" w:fill="auto"/>
            <w:noWrap/>
            <w:vAlign w:val="center"/>
            <w:hideMark/>
          </w:tcPr>
          <w:p w14:paraId="1B3F3BA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499" w:type="dxa"/>
            <w:tcBorders>
              <w:top w:val="nil"/>
              <w:left w:val="nil"/>
              <w:bottom w:val="nil"/>
              <w:right w:val="nil"/>
            </w:tcBorders>
            <w:shd w:val="clear" w:color="auto" w:fill="auto"/>
            <w:noWrap/>
            <w:vAlign w:val="center"/>
            <w:hideMark/>
          </w:tcPr>
          <w:p w14:paraId="63E0629D" w14:textId="77777777" w:rsidR="0009294D" w:rsidRPr="0009294D" w:rsidRDefault="0009294D" w:rsidP="0009294D">
            <w:pPr>
              <w:spacing w:after="0" w:line="240" w:lineRule="auto"/>
              <w:ind w:right="-100"/>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IC/Sup</w:t>
            </w:r>
          </w:p>
        </w:tc>
        <w:tc>
          <w:tcPr>
            <w:tcW w:w="611" w:type="dxa"/>
            <w:tcBorders>
              <w:top w:val="nil"/>
              <w:left w:val="nil"/>
              <w:bottom w:val="nil"/>
              <w:right w:val="nil"/>
            </w:tcBorders>
            <w:shd w:val="clear" w:color="auto" w:fill="auto"/>
            <w:noWrap/>
            <w:vAlign w:val="center"/>
            <w:hideMark/>
          </w:tcPr>
          <w:p w14:paraId="3233FEE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nil"/>
              <w:right w:val="nil"/>
            </w:tcBorders>
            <w:shd w:val="clear" w:color="auto" w:fill="auto"/>
            <w:noWrap/>
            <w:vAlign w:val="center"/>
            <w:hideMark/>
          </w:tcPr>
          <w:p w14:paraId="0FC76E1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70D63CD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NFC*</w:t>
            </w:r>
          </w:p>
        </w:tc>
        <w:tc>
          <w:tcPr>
            <w:tcW w:w="576" w:type="dxa"/>
            <w:tcBorders>
              <w:top w:val="nil"/>
              <w:left w:val="nil"/>
              <w:bottom w:val="nil"/>
              <w:right w:val="single" w:sz="4" w:space="0" w:color="auto"/>
            </w:tcBorders>
            <w:shd w:val="clear" w:color="auto" w:fill="auto"/>
            <w:noWrap/>
            <w:vAlign w:val="center"/>
            <w:hideMark/>
          </w:tcPr>
          <w:p w14:paraId="65E90CE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nil"/>
              <w:right w:val="nil"/>
            </w:tcBorders>
            <w:shd w:val="clear" w:color="auto" w:fill="auto"/>
            <w:noWrap/>
            <w:vAlign w:val="center"/>
            <w:hideMark/>
          </w:tcPr>
          <w:p w14:paraId="38A1ADA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576" w:type="dxa"/>
            <w:tcBorders>
              <w:top w:val="nil"/>
              <w:left w:val="nil"/>
              <w:bottom w:val="nil"/>
              <w:right w:val="nil"/>
            </w:tcBorders>
            <w:shd w:val="clear" w:color="auto" w:fill="auto"/>
            <w:noWrap/>
            <w:vAlign w:val="center"/>
            <w:hideMark/>
          </w:tcPr>
          <w:p w14:paraId="2D8F931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bottom w:val="nil"/>
              <w:right w:val="nil"/>
            </w:tcBorders>
            <w:shd w:val="clear" w:color="auto" w:fill="auto"/>
            <w:noWrap/>
            <w:vAlign w:val="center"/>
            <w:hideMark/>
          </w:tcPr>
          <w:p w14:paraId="7809E43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576" w:type="dxa"/>
            <w:tcBorders>
              <w:top w:val="nil"/>
              <w:left w:val="nil"/>
              <w:bottom w:val="nil"/>
              <w:right w:val="nil"/>
            </w:tcBorders>
            <w:shd w:val="clear" w:color="auto" w:fill="auto"/>
            <w:noWrap/>
            <w:vAlign w:val="center"/>
            <w:hideMark/>
          </w:tcPr>
          <w:p w14:paraId="2E85FC0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576" w:type="dxa"/>
            <w:tcBorders>
              <w:top w:val="nil"/>
              <w:left w:val="nil"/>
              <w:bottom w:val="nil"/>
              <w:right w:val="nil"/>
            </w:tcBorders>
            <w:shd w:val="clear" w:color="auto" w:fill="auto"/>
            <w:noWrap/>
            <w:vAlign w:val="center"/>
            <w:hideMark/>
          </w:tcPr>
          <w:p w14:paraId="6522B31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IC/Sup</w:t>
            </w:r>
          </w:p>
        </w:tc>
        <w:tc>
          <w:tcPr>
            <w:tcW w:w="432" w:type="dxa"/>
            <w:tcBorders>
              <w:top w:val="nil"/>
              <w:left w:val="nil"/>
              <w:bottom w:val="nil"/>
              <w:right w:val="nil"/>
            </w:tcBorders>
            <w:shd w:val="clear" w:color="auto" w:fill="auto"/>
            <w:noWrap/>
            <w:vAlign w:val="center"/>
            <w:hideMark/>
          </w:tcPr>
          <w:p w14:paraId="7F3E7B8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2" w:type="dxa"/>
            <w:tcBorders>
              <w:top w:val="nil"/>
              <w:left w:val="nil"/>
              <w:bottom w:val="nil"/>
              <w:right w:val="nil"/>
            </w:tcBorders>
            <w:shd w:val="clear" w:color="auto" w:fill="auto"/>
            <w:noWrap/>
            <w:vAlign w:val="center"/>
            <w:hideMark/>
          </w:tcPr>
          <w:p w14:paraId="1B16175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nil"/>
              <w:right w:val="nil"/>
            </w:tcBorders>
            <w:shd w:val="clear" w:color="auto" w:fill="auto"/>
            <w:noWrap/>
            <w:vAlign w:val="center"/>
            <w:hideMark/>
          </w:tcPr>
          <w:p w14:paraId="398AB6C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NFC*</w:t>
            </w:r>
          </w:p>
        </w:tc>
        <w:tc>
          <w:tcPr>
            <w:tcW w:w="576" w:type="dxa"/>
            <w:tcBorders>
              <w:top w:val="nil"/>
              <w:left w:val="nil"/>
              <w:bottom w:val="nil"/>
              <w:right w:val="single" w:sz="4" w:space="0" w:color="auto"/>
            </w:tcBorders>
            <w:shd w:val="clear" w:color="auto" w:fill="auto"/>
            <w:noWrap/>
            <w:vAlign w:val="center"/>
            <w:hideMark/>
          </w:tcPr>
          <w:p w14:paraId="1992DD6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tcPr>
          <w:p w14:paraId="32440AC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2791" w:type="dxa"/>
            <w:tcBorders>
              <w:top w:val="nil"/>
              <w:left w:val="nil"/>
              <w:bottom w:val="nil"/>
              <w:right w:val="nil"/>
            </w:tcBorders>
            <w:shd w:val="clear" w:color="auto" w:fill="auto"/>
            <w:noWrap/>
            <w:vAlign w:val="center"/>
            <w:hideMark/>
          </w:tcPr>
          <w:p w14:paraId="775EA97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4C1E2399" w14:textId="77777777" w:rsidTr="00BE05AB">
        <w:trPr>
          <w:trHeight w:val="20"/>
          <w:jc w:val="center"/>
        </w:trPr>
        <w:tc>
          <w:tcPr>
            <w:tcW w:w="630" w:type="dxa"/>
            <w:tcBorders>
              <w:top w:val="nil"/>
              <w:left w:val="single" w:sz="4" w:space="0" w:color="auto"/>
              <w:bottom w:val="single" w:sz="4" w:space="0" w:color="auto"/>
              <w:right w:val="single" w:sz="4" w:space="0" w:color="auto"/>
            </w:tcBorders>
            <w:shd w:val="clear" w:color="000000" w:fill="D9D9D9"/>
            <w:noWrap/>
            <w:vAlign w:val="center"/>
            <w:hideMark/>
          </w:tcPr>
          <w:p w14:paraId="3D37385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F89</w:t>
            </w:r>
          </w:p>
        </w:tc>
        <w:tc>
          <w:tcPr>
            <w:tcW w:w="1627" w:type="dxa"/>
            <w:tcBorders>
              <w:top w:val="nil"/>
              <w:left w:val="nil"/>
              <w:bottom w:val="single" w:sz="4" w:space="0" w:color="auto"/>
              <w:right w:val="nil"/>
            </w:tcBorders>
            <w:shd w:val="clear" w:color="000000" w:fill="D9D9D9"/>
            <w:vAlign w:val="center"/>
            <w:hideMark/>
          </w:tcPr>
          <w:p w14:paraId="0A7A195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Other accounts excl. F81</w:t>
            </w:r>
          </w:p>
        </w:tc>
        <w:tc>
          <w:tcPr>
            <w:tcW w:w="589" w:type="dxa"/>
            <w:gridSpan w:val="2"/>
            <w:tcBorders>
              <w:top w:val="nil"/>
              <w:left w:val="single" w:sz="4" w:space="0" w:color="auto"/>
              <w:bottom w:val="single" w:sz="4" w:space="0" w:color="auto"/>
              <w:right w:val="nil"/>
            </w:tcBorders>
            <w:shd w:val="clear" w:color="auto" w:fill="auto"/>
            <w:noWrap/>
            <w:vAlign w:val="center"/>
            <w:hideMark/>
          </w:tcPr>
          <w:p w14:paraId="0929B72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544" w:type="dxa"/>
            <w:tcBorders>
              <w:top w:val="nil"/>
              <w:left w:val="nil"/>
              <w:bottom w:val="single" w:sz="4" w:space="0" w:color="auto"/>
              <w:right w:val="nil"/>
            </w:tcBorders>
            <w:shd w:val="clear" w:color="auto" w:fill="auto"/>
            <w:noWrap/>
            <w:vAlign w:val="center"/>
            <w:hideMark/>
          </w:tcPr>
          <w:p w14:paraId="206429A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99" w:type="dxa"/>
            <w:gridSpan w:val="2"/>
            <w:tcBorders>
              <w:top w:val="nil"/>
              <w:left w:val="nil"/>
              <w:bottom w:val="single" w:sz="4" w:space="0" w:color="auto"/>
              <w:right w:val="nil"/>
            </w:tcBorders>
            <w:shd w:val="clear" w:color="auto" w:fill="auto"/>
            <w:noWrap/>
            <w:vAlign w:val="center"/>
            <w:hideMark/>
          </w:tcPr>
          <w:p w14:paraId="3D9E1D3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715" w:type="dxa"/>
            <w:gridSpan w:val="2"/>
            <w:tcBorders>
              <w:top w:val="nil"/>
              <w:left w:val="nil"/>
              <w:bottom w:val="single" w:sz="4" w:space="0" w:color="auto"/>
              <w:right w:val="nil"/>
            </w:tcBorders>
            <w:shd w:val="clear" w:color="auto" w:fill="auto"/>
            <w:noWrap/>
            <w:vAlign w:val="center"/>
            <w:hideMark/>
          </w:tcPr>
          <w:p w14:paraId="75D3C05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499" w:type="dxa"/>
            <w:tcBorders>
              <w:top w:val="nil"/>
              <w:left w:val="nil"/>
              <w:bottom w:val="single" w:sz="4" w:space="0" w:color="auto"/>
              <w:right w:val="nil"/>
            </w:tcBorders>
            <w:shd w:val="clear" w:color="auto" w:fill="auto"/>
            <w:noWrap/>
            <w:vAlign w:val="center"/>
            <w:hideMark/>
          </w:tcPr>
          <w:p w14:paraId="57879383" w14:textId="77777777" w:rsidR="0009294D" w:rsidRPr="0009294D" w:rsidRDefault="0009294D" w:rsidP="0009294D">
            <w:pPr>
              <w:spacing w:after="0" w:line="240" w:lineRule="auto"/>
              <w:ind w:right="-110"/>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IC/Sup</w:t>
            </w:r>
          </w:p>
        </w:tc>
        <w:tc>
          <w:tcPr>
            <w:tcW w:w="611" w:type="dxa"/>
            <w:tcBorders>
              <w:top w:val="nil"/>
              <w:left w:val="nil"/>
              <w:bottom w:val="single" w:sz="4" w:space="0" w:color="auto"/>
              <w:right w:val="nil"/>
            </w:tcBorders>
            <w:shd w:val="clear" w:color="auto" w:fill="auto"/>
            <w:noWrap/>
            <w:vAlign w:val="center"/>
            <w:hideMark/>
          </w:tcPr>
          <w:p w14:paraId="0732FFC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4" w:type="dxa"/>
            <w:tcBorders>
              <w:top w:val="nil"/>
              <w:left w:val="nil"/>
              <w:bottom w:val="single" w:sz="4" w:space="0" w:color="auto"/>
              <w:right w:val="nil"/>
            </w:tcBorders>
            <w:shd w:val="clear" w:color="auto" w:fill="auto"/>
            <w:noWrap/>
            <w:vAlign w:val="center"/>
            <w:hideMark/>
          </w:tcPr>
          <w:p w14:paraId="4A8C34F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single" w:sz="4" w:space="0" w:color="auto"/>
              <w:right w:val="nil"/>
            </w:tcBorders>
            <w:shd w:val="clear" w:color="auto" w:fill="auto"/>
            <w:noWrap/>
            <w:vAlign w:val="center"/>
            <w:hideMark/>
          </w:tcPr>
          <w:p w14:paraId="7FD7B06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NFC*</w:t>
            </w:r>
          </w:p>
        </w:tc>
        <w:tc>
          <w:tcPr>
            <w:tcW w:w="576" w:type="dxa"/>
            <w:tcBorders>
              <w:top w:val="nil"/>
              <w:left w:val="nil"/>
              <w:bottom w:val="single" w:sz="4" w:space="0" w:color="auto"/>
              <w:right w:val="single" w:sz="4" w:space="0" w:color="auto"/>
            </w:tcBorders>
            <w:shd w:val="clear" w:color="auto" w:fill="auto"/>
            <w:noWrap/>
            <w:vAlign w:val="center"/>
            <w:hideMark/>
          </w:tcPr>
          <w:p w14:paraId="1096673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576" w:type="dxa"/>
            <w:tcBorders>
              <w:top w:val="nil"/>
              <w:left w:val="nil"/>
              <w:bottom w:val="single" w:sz="4" w:space="0" w:color="auto"/>
              <w:right w:val="nil"/>
            </w:tcBorders>
            <w:shd w:val="clear" w:color="auto" w:fill="auto"/>
            <w:noWrap/>
            <w:vAlign w:val="center"/>
            <w:hideMark/>
          </w:tcPr>
          <w:p w14:paraId="7503352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NFC</w:t>
            </w:r>
          </w:p>
        </w:tc>
        <w:tc>
          <w:tcPr>
            <w:tcW w:w="576" w:type="dxa"/>
            <w:tcBorders>
              <w:top w:val="nil"/>
              <w:left w:val="nil"/>
              <w:bottom w:val="single" w:sz="4" w:space="0" w:color="auto"/>
              <w:right w:val="nil"/>
            </w:tcBorders>
            <w:shd w:val="clear" w:color="auto" w:fill="auto"/>
            <w:noWrap/>
            <w:vAlign w:val="center"/>
            <w:hideMark/>
          </w:tcPr>
          <w:p w14:paraId="171AD02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MFI</w:t>
            </w:r>
          </w:p>
        </w:tc>
        <w:tc>
          <w:tcPr>
            <w:tcW w:w="432" w:type="dxa"/>
            <w:tcBorders>
              <w:top w:val="nil"/>
              <w:left w:val="nil"/>
              <w:bottom w:val="single" w:sz="4" w:space="0" w:color="auto"/>
              <w:right w:val="nil"/>
            </w:tcBorders>
            <w:shd w:val="clear" w:color="auto" w:fill="auto"/>
            <w:noWrap/>
            <w:vAlign w:val="center"/>
            <w:hideMark/>
          </w:tcPr>
          <w:p w14:paraId="7AB0C1A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IF</w:t>
            </w:r>
          </w:p>
        </w:tc>
        <w:tc>
          <w:tcPr>
            <w:tcW w:w="576" w:type="dxa"/>
            <w:tcBorders>
              <w:top w:val="nil"/>
              <w:left w:val="nil"/>
              <w:bottom w:val="single" w:sz="4" w:space="0" w:color="auto"/>
              <w:right w:val="nil"/>
            </w:tcBorders>
            <w:shd w:val="clear" w:color="auto" w:fill="auto"/>
            <w:noWrap/>
            <w:vAlign w:val="center"/>
            <w:hideMark/>
          </w:tcPr>
          <w:p w14:paraId="6A033C06"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Sur</w:t>
            </w:r>
            <w:r w:rsidRPr="0009294D">
              <w:rPr>
                <w:rFonts w:ascii="Times New Roman" w:eastAsia="Times New Roman" w:hAnsi="Times New Roman" w:cs="Times New Roman"/>
                <w:color w:val="000000"/>
                <w:sz w:val="12"/>
                <w:szCs w:val="12"/>
                <w:vertAlign w:val="superscript"/>
                <w:lang w:eastAsia="en-GB"/>
              </w:rPr>
              <w:t>1)</w:t>
            </w:r>
          </w:p>
        </w:tc>
        <w:tc>
          <w:tcPr>
            <w:tcW w:w="576" w:type="dxa"/>
            <w:tcBorders>
              <w:top w:val="nil"/>
              <w:left w:val="nil"/>
              <w:bottom w:val="single" w:sz="4" w:space="0" w:color="auto"/>
              <w:right w:val="nil"/>
            </w:tcBorders>
            <w:shd w:val="clear" w:color="auto" w:fill="auto"/>
            <w:noWrap/>
            <w:vAlign w:val="center"/>
            <w:hideMark/>
          </w:tcPr>
          <w:p w14:paraId="1922B04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IC/Sup</w:t>
            </w:r>
          </w:p>
        </w:tc>
        <w:tc>
          <w:tcPr>
            <w:tcW w:w="432" w:type="dxa"/>
            <w:tcBorders>
              <w:top w:val="nil"/>
              <w:left w:val="nil"/>
              <w:bottom w:val="single" w:sz="4" w:space="0" w:color="auto"/>
              <w:right w:val="nil"/>
            </w:tcBorders>
            <w:shd w:val="clear" w:color="auto" w:fill="auto"/>
            <w:noWrap/>
            <w:vAlign w:val="center"/>
            <w:hideMark/>
          </w:tcPr>
          <w:p w14:paraId="62D1AEE5"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PF</w:t>
            </w:r>
          </w:p>
        </w:tc>
        <w:tc>
          <w:tcPr>
            <w:tcW w:w="652" w:type="dxa"/>
            <w:tcBorders>
              <w:top w:val="nil"/>
              <w:left w:val="nil"/>
              <w:bottom w:val="single" w:sz="4" w:space="0" w:color="auto"/>
              <w:right w:val="nil"/>
            </w:tcBorders>
            <w:shd w:val="clear" w:color="auto" w:fill="auto"/>
            <w:noWrap/>
            <w:vAlign w:val="center"/>
            <w:hideMark/>
          </w:tcPr>
          <w:p w14:paraId="212F60E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QFAGG</w:t>
            </w:r>
          </w:p>
        </w:tc>
        <w:tc>
          <w:tcPr>
            <w:tcW w:w="576" w:type="dxa"/>
            <w:tcBorders>
              <w:top w:val="nil"/>
              <w:left w:val="nil"/>
              <w:bottom w:val="single" w:sz="4" w:space="0" w:color="auto"/>
              <w:right w:val="nil"/>
            </w:tcBorders>
            <w:shd w:val="clear" w:color="auto" w:fill="auto"/>
            <w:noWrap/>
            <w:vAlign w:val="center"/>
            <w:hideMark/>
          </w:tcPr>
          <w:p w14:paraId="31A481D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NFC*</w:t>
            </w:r>
          </w:p>
        </w:tc>
        <w:tc>
          <w:tcPr>
            <w:tcW w:w="576" w:type="dxa"/>
            <w:tcBorders>
              <w:top w:val="nil"/>
              <w:left w:val="nil"/>
              <w:bottom w:val="single" w:sz="4" w:space="0" w:color="auto"/>
              <w:right w:val="single" w:sz="4" w:space="0" w:color="auto"/>
            </w:tcBorders>
            <w:shd w:val="clear" w:color="auto" w:fill="auto"/>
            <w:noWrap/>
            <w:vAlign w:val="center"/>
            <w:hideMark/>
          </w:tcPr>
          <w:p w14:paraId="0F15D06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roofErr w:type="spellStart"/>
            <w:r w:rsidRPr="0009294D">
              <w:rPr>
                <w:rFonts w:ascii="Times New Roman" w:eastAsia="Times New Roman" w:hAnsi="Times New Roman" w:cs="Times New Roman"/>
                <w:color w:val="000000"/>
                <w:sz w:val="12"/>
                <w:szCs w:val="12"/>
                <w:lang w:eastAsia="en-GB"/>
              </w:rPr>
              <w:t>BoP</w:t>
            </w:r>
            <w:proofErr w:type="spellEnd"/>
          </w:p>
        </w:tc>
        <w:tc>
          <w:tcPr>
            <w:tcW w:w="720" w:type="dxa"/>
            <w:tcBorders>
              <w:top w:val="nil"/>
              <w:left w:val="nil"/>
              <w:bottom w:val="nil"/>
              <w:right w:val="nil"/>
            </w:tcBorders>
            <w:shd w:val="clear" w:color="auto" w:fill="auto"/>
            <w:noWrap/>
            <w:vAlign w:val="center"/>
          </w:tcPr>
          <w:p w14:paraId="52E7C05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2791" w:type="dxa"/>
            <w:tcBorders>
              <w:top w:val="nil"/>
              <w:left w:val="nil"/>
              <w:bottom w:val="nil"/>
              <w:right w:val="nil"/>
            </w:tcBorders>
            <w:shd w:val="clear" w:color="auto" w:fill="auto"/>
            <w:noWrap/>
            <w:vAlign w:val="center"/>
            <w:hideMark/>
          </w:tcPr>
          <w:p w14:paraId="1FCB0F7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562F8C05" w14:textId="77777777" w:rsidTr="0009294D">
        <w:trPr>
          <w:trHeight w:val="20"/>
          <w:jc w:val="center"/>
        </w:trPr>
        <w:tc>
          <w:tcPr>
            <w:tcW w:w="630" w:type="dxa"/>
            <w:tcBorders>
              <w:top w:val="single" w:sz="4" w:space="0" w:color="auto"/>
            </w:tcBorders>
            <w:shd w:val="clear" w:color="auto" w:fill="FFFFFF"/>
            <w:noWrap/>
            <w:vAlign w:val="center"/>
          </w:tcPr>
          <w:p w14:paraId="3B4881B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1627" w:type="dxa"/>
            <w:tcBorders>
              <w:top w:val="single" w:sz="4" w:space="0" w:color="auto"/>
            </w:tcBorders>
            <w:shd w:val="clear" w:color="auto" w:fill="FFFFFF"/>
            <w:vAlign w:val="center"/>
          </w:tcPr>
          <w:p w14:paraId="67A5413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89" w:type="dxa"/>
            <w:gridSpan w:val="2"/>
            <w:tcBorders>
              <w:top w:val="single" w:sz="4" w:space="0" w:color="auto"/>
            </w:tcBorders>
            <w:shd w:val="clear" w:color="auto" w:fill="FFFFFF"/>
            <w:noWrap/>
            <w:vAlign w:val="center"/>
          </w:tcPr>
          <w:p w14:paraId="49C3BED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44" w:type="dxa"/>
            <w:tcBorders>
              <w:top w:val="single" w:sz="4" w:space="0" w:color="auto"/>
            </w:tcBorders>
            <w:shd w:val="clear" w:color="auto" w:fill="FFFFFF"/>
            <w:noWrap/>
            <w:vAlign w:val="center"/>
          </w:tcPr>
          <w:p w14:paraId="757DDCA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499" w:type="dxa"/>
            <w:gridSpan w:val="2"/>
            <w:tcBorders>
              <w:top w:val="single" w:sz="4" w:space="0" w:color="auto"/>
            </w:tcBorders>
            <w:shd w:val="clear" w:color="auto" w:fill="FFFFFF"/>
            <w:noWrap/>
            <w:vAlign w:val="center"/>
          </w:tcPr>
          <w:p w14:paraId="7885FD1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715" w:type="dxa"/>
            <w:gridSpan w:val="2"/>
            <w:tcBorders>
              <w:top w:val="single" w:sz="4" w:space="0" w:color="auto"/>
            </w:tcBorders>
            <w:shd w:val="clear" w:color="auto" w:fill="FFFFFF"/>
            <w:noWrap/>
            <w:vAlign w:val="center"/>
          </w:tcPr>
          <w:p w14:paraId="474BCEF2"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499" w:type="dxa"/>
            <w:tcBorders>
              <w:top w:val="single" w:sz="4" w:space="0" w:color="auto"/>
            </w:tcBorders>
            <w:shd w:val="clear" w:color="auto" w:fill="FFFFFF"/>
            <w:noWrap/>
            <w:vAlign w:val="center"/>
          </w:tcPr>
          <w:p w14:paraId="424F0789"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611" w:type="dxa"/>
            <w:tcBorders>
              <w:top w:val="single" w:sz="4" w:space="0" w:color="auto"/>
            </w:tcBorders>
            <w:shd w:val="clear" w:color="auto" w:fill="FFFFFF"/>
            <w:noWrap/>
            <w:vAlign w:val="center"/>
          </w:tcPr>
          <w:p w14:paraId="6CE0E2A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654" w:type="dxa"/>
            <w:tcBorders>
              <w:top w:val="single" w:sz="4" w:space="0" w:color="auto"/>
            </w:tcBorders>
            <w:shd w:val="clear" w:color="auto" w:fill="FFFFFF"/>
            <w:noWrap/>
            <w:vAlign w:val="center"/>
          </w:tcPr>
          <w:p w14:paraId="0A639F8C"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2AEC7BF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4D5CEF8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015EC3E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2B8D1F1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432" w:type="dxa"/>
            <w:tcBorders>
              <w:top w:val="single" w:sz="4" w:space="0" w:color="auto"/>
            </w:tcBorders>
            <w:shd w:val="clear" w:color="auto" w:fill="FFFFFF"/>
            <w:noWrap/>
            <w:vAlign w:val="center"/>
          </w:tcPr>
          <w:p w14:paraId="5FEDE64E"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44A931D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29E9CBB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432" w:type="dxa"/>
            <w:tcBorders>
              <w:top w:val="single" w:sz="4" w:space="0" w:color="auto"/>
            </w:tcBorders>
            <w:shd w:val="clear" w:color="auto" w:fill="FFFFFF"/>
            <w:noWrap/>
            <w:vAlign w:val="center"/>
          </w:tcPr>
          <w:p w14:paraId="0937FCD4"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652" w:type="dxa"/>
            <w:tcBorders>
              <w:top w:val="single" w:sz="4" w:space="0" w:color="auto"/>
            </w:tcBorders>
            <w:shd w:val="clear" w:color="auto" w:fill="FFFFFF"/>
            <w:noWrap/>
            <w:vAlign w:val="center"/>
          </w:tcPr>
          <w:p w14:paraId="43EAF4FB"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27C5223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576" w:type="dxa"/>
            <w:tcBorders>
              <w:top w:val="single" w:sz="4" w:space="0" w:color="auto"/>
            </w:tcBorders>
            <w:shd w:val="clear" w:color="auto" w:fill="FFFFFF"/>
            <w:noWrap/>
            <w:vAlign w:val="center"/>
          </w:tcPr>
          <w:p w14:paraId="50BE7A7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720" w:type="dxa"/>
            <w:tcBorders>
              <w:top w:val="nil"/>
              <w:left w:val="nil"/>
              <w:bottom w:val="nil"/>
              <w:right w:val="nil"/>
            </w:tcBorders>
            <w:shd w:val="clear" w:color="auto" w:fill="auto"/>
            <w:noWrap/>
            <w:vAlign w:val="center"/>
          </w:tcPr>
          <w:p w14:paraId="366BE81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2791" w:type="dxa"/>
            <w:tcBorders>
              <w:top w:val="nil"/>
              <w:left w:val="nil"/>
              <w:bottom w:val="nil"/>
              <w:right w:val="nil"/>
            </w:tcBorders>
            <w:shd w:val="clear" w:color="auto" w:fill="auto"/>
            <w:noWrap/>
            <w:vAlign w:val="center"/>
          </w:tcPr>
          <w:p w14:paraId="64B3862E" w14:textId="77777777" w:rsidR="0009294D" w:rsidRPr="0009294D" w:rsidRDefault="0009294D" w:rsidP="0009294D">
            <w:pPr>
              <w:spacing w:after="0" w:line="240" w:lineRule="auto"/>
              <w:rPr>
                <w:rFonts w:ascii="Times New Roman" w:eastAsia="Times New Roman" w:hAnsi="Times New Roman" w:cs="Times New Roman"/>
                <w:sz w:val="12"/>
                <w:szCs w:val="12"/>
                <w:lang w:eastAsia="en-GB"/>
              </w:rPr>
            </w:pPr>
          </w:p>
        </w:tc>
      </w:tr>
      <w:tr w:rsidR="0009294D" w:rsidRPr="0009294D" w14:paraId="2DED9AA9" w14:textId="77777777" w:rsidTr="0009294D">
        <w:trPr>
          <w:trHeight w:val="20"/>
          <w:jc w:val="center"/>
        </w:trPr>
        <w:tc>
          <w:tcPr>
            <w:tcW w:w="16003" w:type="dxa"/>
            <w:gridSpan w:val="25"/>
            <w:tcBorders>
              <w:top w:val="nil"/>
              <w:left w:val="nil"/>
              <w:bottom w:val="nil"/>
              <w:right w:val="nil"/>
            </w:tcBorders>
            <w:shd w:val="clear" w:color="000000" w:fill="FFFFFF"/>
            <w:noWrap/>
            <w:vAlign w:val="center"/>
            <w:hideMark/>
          </w:tcPr>
          <w:p w14:paraId="791B7893"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45DD2E23" w14:textId="77777777" w:rsidTr="0009294D">
        <w:trPr>
          <w:trHeight w:val="20"/>
          <w:jc w:val="center"/>
        </w:trPr>
        <w:tc>
          <w:tcPr>
            <w:tcW w:w="630" w:type="dxa"/>
            <w:tcBorders>
              <w:top w:val="nil"/>
              <w:left w:val="nil"/>
              <w:bottom w:val="nil"/>
              <w:right w:val="nil"/>
            </w:tcBorders>
            <w:shd w:val="clear" w:color="000000" w:fill="FFFFFF"/>
            <w:noWrap/>
            <w:vAlign w:val="center"/>
            <w:hideMark/>
          </w:tcPr>
          <w:p w14:paraId="0F53179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w:t>
            </w:r>
          </w:p>
        </w:tc>
        <w:tc>
          <w:tcPr>
            <w:tcW w:w="15373" w:type="dxa"/>
            <w:gridSpan w:val="24"/>
            <w:tcBorders>
              <w:top w:val="nil"/>
              <w:left w:val="nil"/>
              <w:bottom w:val="nil"/>
              <w:right w:val="nil"/>
            </w:tcBorders>
            <w:shd w:val="clear" w:color="000000" w:fill="FFFFFF"/>
            <w:noWrap/>
            <w:vAlign w:val="center"/>
            <w:hideMark/>
          </w:tcPr>
          <w:p w14:paraId="01BCDFA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Residual sector for respective instrument – i.e., the sector (assets or liabilities) where source is available, but most likely adapted to achieve horizontal consistency.</w:t>
            </w:r>
          </w:p>
        </w:tc>
      </w:tr>
      <w:tr w:rsidR="0009294D" w:rsidRPr="0009294D" w14:paraId="39BBBF64" w14:textId="77777777" w:rsidTr="0009294D">
        <w:trPr>
          <w:trHeight w:val="20"/>
          <w:jc w:val="center"/>
        </w:trPr>
        <w:tc>
          <w:tcPr>
            <w:tcW w:w="16003" w:type="dxa"/>
            <w:gridSpan w:val="25"/>
            <w:tcBorders>
              <w:top w:val="nil"/>
              <w:left w:val="nil"/>
              <w:bottom w:val="nil"/>
              <w:right w:val="nil"/>
            </w:tcBorders>
            <w:shd w:val="clear" w:color="000000" w:fill="FFFFFF"/>
            <w:noWrap/>
            <w:vAlign w:val="center"/>
            <w:hideMark/>
          </w:tcPr>
          <w:p w14:paraId="513FC31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p w14:paraId="162C3A0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Different source for quarterly and/or preliminary data (if applicable):</w:t>
            </w:r>
          </w:p>
        </w:tc>
      </w:tr>
      <w:tr w:rsidR="0009294D" w:rsidRPr="0009294D" w14:paraId="1166C024" w14:textId="77777777" w:rsidTr="0009294D">
        <w:trPr>
          <w:trHeight w:val="20"/>
          <w:jc w:val="center"/>
        </w:trPr>
        <w:tc>
          <w:tcPr>
            <w:tcW w:w="630" w:type="dxa"/>
            <w:tcBorders>
              <w:top w:val="nil"/>
              <w:left w:val="nil"/>
              <w:bottom w:val="nil"/>
              <w:right w:val="nil"/>
            </w:tcBorders>
            <w:shd w:val="clear" w:color="000000" w:fill="FFFFFF"/>
            <w:noWrap/>
            <w:vAlign w:val="center"/>
            <w:hideMark/>
          </w:tcPr>
          <w:p w14:paraId="72AA41C8"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c>
          <w:tcPr>
            <w:tcW w:w="15373" w:type="dxa"/>
            <w:gridSpan w:val="24"/>
            <w:tcBorders>
              <w:top w:val="nil"/>
              <w:left w:val="nil"/>
              <w:bottom w:val="nil"/>
              <w:right w:val="nil"/>
            </w:tcBorders>
            <w:shd w:val="clear" w:color="000000" w:fill="FFFFFF"/>
            <w:noWrap/>
            <w:vAlign w:val="center"/>
          </w:tcPr>
          <w:p w14:paraId="08AA896D"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tc>
      </w:tr>
      <w:tr w:rsidR="0009294D" w:rsidRPr="0009294D" w14:paraId="752FB693" w14:textId="77777777" w:rsidTr="0009294D">
        <w:trPr>
          <w:trHeight w:val="20"/>
          <w:jc w:val="center"/>
        </w:trPr>
        <w:tc>
          <w:tcPr>
            <w:tcW w:w="16003" w:type="dxa"/>
            <w:gridSpan w:val="25"/>
            <w:tcBorders>
              <w:top w:val="nil"/>
              <w:left w:val="nil"/>
              <w:bottom w:val="nil"/>
              <w:right w:val="nil"/>
            </w:tcBorders>
            <w:shd w:val="clear" w:color="000000" w:fill="FFFFFF"/>
            <w:noWrap/>
            <w:vAlign w:val="center"/>
            <w:hideMark/>
          </w:tcPr>
          <w:p w14:paraId="2DE5D8A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1)                 Quarterly survey</w:t>
            </w:r>
            <w:r w:rsidRPr="0009294D">
              <w:rPr>
                <w:rFonts w:ascii="Calibri" w:eastAsia="Calibri" w:hAnsi="Calibri" w:cs="Times New Roman"/>
              </w:rPr>
              <w:t xml:space="preserve"> </w:t>
            </w:r>
            <w:r w:rsidRPr="0009294D">
              <w:rPr>
                <w:rFonts w:ascii="Times New Roman" w:eastAsia="Times New Roman" w:hAnsi="Times New Roman" w:cs="Times New Roman"/>
                <w:color w:val="000000"/>
                <w:sz w:val="12"/>
                <w:szCs w:val="12"/>
                <w:lang w:eastAsia="en-GB"/>
              </w:rPr>
              <w:t>based on balance sheets of S125, SS126 and S127</w:t>
            </w:r>
            <w:r w:rsidRPr="0009294D">
              <w:rPr>
                <w:rFonts w:ascii="Calibri" w:eastAsia="Calibri" w:hAnsi="Calibri" w:cs="Times New Roman"/>
              </w:rPr>
              <w:t xml:space="preserve"> </w:t>
            </w:r>
            <w:r w:rsidRPr="0009294D">
              <w:rPr>
                <w:rFonts w:ascii="Times New Roman" w:eastAsia="Times New Roman" w:hAnsi="Times New Roman" w:cs="Times New Roman"/>
                <w:color w:val="000000"/>
                <w:sz w:val="12"/>
                <w:szCs w:val="12"/>
                <w:lang w:eastAsia="en-GB"/>
              </w:rPr>
              <w:t>covering about 80% of subsectors scope and grossed up</w:t>
            </w:r>
            <w:r w:rsidRPr="0009294D">
              <w:rPr>
                <w:rFonts w:ascii="Calibri" w:eastAsia="Calibri" w:hAnsi="Calibri" w:cs="Times New Roman"/>
              </w:rPr>
              <w:t xml:space="preserve"> </w:t>
            </w:r>
            <w:r w:rsidRPr="0009294D">
              <w:rPr>
                <w:rFonts w:ascii="Times New Roman" w:eastAsia="Times New Roman" w:hAnsi="Times New Roman" w:cs="Times New Roman"/>
                <w:color w:val="000000"/>
                <w:sz w:val="12"/>
                <w:szCs w:val="12"/>
                <w:lang w:eastAsia="en-GB"/>
              </w:rPr>
              <w:t>to benchmark from annual balance sheets (finalised at Q4+6 month)</w:t>
            </w:r>
          </w:p>
          <w:p w14:paraId="65B4712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p w14:paraId="5664D441"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 xml:space="preserve">Different source and/or adjustment for </w:t>
            </w:r>
            <w:r w:rsidRPr="0009294D">
              <w:rPr>
                <w:rFonts w:ascii="Times New Roman" w:eastAsia="Times New Roman" w:hAnsi="Times New Roman" w:cs="Times New Roman"/>
                <w:color w:val="000000"/>
                <w:sz w:val="12"/>
                <w:szCs w:val="12"/>
                <w:u w:val="single"/>
                <w:lang w:eastAsia="en-GB"/>
              </w:rPr>
              <w:t>transactions (if applicable)</w:t>
            </w:r>
            <w:r w:rsidRPr="0009294D">
              <w:rPr>
                <w:rFonts w:ascii="Times New Roman" w:eastAsia="Times New Roman" w:hAnsi="Times New Roman" w:cs="Times New Roman"/>
                <w:color w:val="000000"/>
                <w:sz w:val="12"/>
                <w:szCs w:val="12"/>
                <w:lang w:eastAsia="en-GB"/>
              </w:rPr>
              <w:t>:</w:t>
            </w:r>
          </w:p>
        </w:tc>
      </w:tr>
      <w:tr w:rsidR="0009294D" w:rsidRPr="0009294D" w14:paraId="0C134E45" w14:textId="77777777" w:rsidTr="0009294D">
        <w:trPr>
          <w:trHeight w:val="20"/>
          <w:jc w:val="center"/>
        </w:trPr>
        <w:tc>
          <w:tcPr>
            <w:tcW w:w="630" w:type="dxa"/>
            <w:tcBorders>
              <w:top w:val="nil"/>
              <w:left w:val="nil"/>
              <w:bottom w:val="nil"/>
              <w:right w:val="nil"/>
            </w:tcBorders>
            <w:shd w:val="clear" w:color="000000" w:fill="FFFFFF"/>
            <w:noWrap/>
            <w:vAlign w:val="center"/>
            <w:hideMark/>
          </w:tcPr>
          <w:p w14:paraId="427C13FF"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w:t>
            </w:r>
          </w:p>
        </w:tc>
        <w:tc>
          <w:tcPr>
            <w:tcW w:w="15373" w:type="dxa"/>
            <w:gridSpan w:val="24"/>
            <w:tcBorders>
              <w:top w:val="nil"/>
              <w:left w:val="nil"/>
              <w:bottom w:val="nil"/>
              <w:right w:val="nil"/>
            </w:tcBorders>
            <w:shd w:val="clear" w:color="000000" w:fill="FFFFFF"/>
            <w:noWrap/>
            <w:vAlign w:val="center"/>
            <w:hideMark/>
          </w:tcPr>
          <w:p w14:paraId="2D17FB60"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Transactions partially adjusted to improve (“vertical”) consistency with non-financial accounts B9.</w:t>
            </w:r>
          </w:p>
        </w:tc>
      </w:tr>
      <w:tr w:rsidR="0009294D" w:rsidRPr="0009294D" w14:paraId="0A632E7E" w14:textId="77777777" w:rsidTr="0009294D">
        <w:trPr>
          <w:trHeight w:val="20"/>
          <w:jc w:val="center"/>
        </w:trPr>
        <w:tc>
          <w:tcPr>
            <w:tcW w:w="16003" w:type="dxa"/>
            <w:gridSpan w:val="25"/>
            <w:tcBorders>
              <w:top w:val="nil"/>
              <w:left w:val="nil"/>
              <w:bottom w:val="nil"/>
              <w:right w:val="nil"/>
            </w:tcBorders>
            <w:shd w:val="clear" w:color="000000" w:fill="FFFFFF"/>
            <w:noWrap/>
            <w:vAlign w:val="center"/>
            <w:hideMark/>
          </w:tcPr>
          <w:p w14:paraId="5BAE6FFA"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p>
          <w:p w14:paraId="4E0AAB87" w14:textId="77777777" w:rsidR="0009294D" w:rsidRPr="0009294D" w:rsidRDefault="0009294D" w:rsidP="0009294D">
            <w:pPr>
              <w:spacing w:after="0" w:line="240" w:lineRule="auto"/>
              <w:rPr>
                <w:rFonts w:ascii="Times New Roman" w:eastAsia="Times New Roman" w:hAnsi="Times New Roman" w:cs="Times New Roman"/>
                <w:color w:val="000000"/>
                <w:sz w:val="12"/>
                <w:szCs w:val="12"/>
                <w:lang w:eastAsia="en-GB"/>
              </w:rPr>
            </w:pPr>
            <w:r w:rsidRPr="0009294D">
              <w:rPr>
                <w:rFonts w:ascii="Times New Roman" w:eastAsia="Times New Roman" w:hAnsi="Times New Roman" w:cs="Times New Roman"/>
                <w:color w:val="000000"/>
                <w:sz w:val="12"/>
                <w:szCs w:val="12"/>
                <w:lang w:eastAsia="en-GB"/>
              </w:rPr>
              <w:t>Other explanations in particular concerning other sources and estimates:</w:t>
            </w:r>
          </w:p>
        </w:tc>
      </w:tr>
      <w:tr w:rsidR="0009294D" w:rsidRPr="0009294D" w14:paraId="78754069" w14:textId="77777777" w:rsidTr="0009294D">
        <w:trPr>
          <w:trHeight w:val="20"/>
          <w:jc w:val="center"/>
        </w:trPr>
        <w:tc>
          <w:tcPr>
            <w:tcW w:w="630" w:type="dxa"/>
            <w:tcBorders>
              <w:top w:val="nil"/>
              <w:left w:val="nil"/>
              <w:bottom w:val="nil"/>
              <w:right w:val="nil"/>
            </w:tcBorders>
            <w:shd w:val="clear" w:color="000000" w:fill="FFFFFF"/>
            <w:noWrap/>
            <w:vAlign w:val="center"/>
          </w:tcPr>
          <w:p w14:paraId="19FB4016" w14:textId="77777777" w:rsidR="0009294D" w:rsidRPr="0009294D" w:rsidRDefault="0009294D" w:rsidP="0009294D">
            <w:pPr>
              <w:spacing w:after="0" w:line="240" w:lineRule="auto"/>
              <w:rPr>
                <w:rFonts w:ascii="Calibri" w:eastAsia="Calibri" w:hAnsi="Calibri" w:cs="Arial"/>
                <w:color w:val="000000"/>
                <w:sz w:val="12"/>
                <w:szCs w:val="12"/>
              </w:rPr>
            </w:pPr>
            <w:r w:rsidRPr="0009294D">
              <w:rPr>
                <w:rFonts w:ascii="Times New Roman" w:eastAsia="Times New Roman" w:hAnsi="Times New Roman" w:cs="Times New Roman"/>
                <w:color w:val="000000"/>
                <w:sz w:val="12"/>
                <w:szCs w:val="12"/>
                <w:lang w:eastAsia="en-GB"/>
              </w:rPr>
              <w:t xml:space="preserve">^^ </w:t>
            </w:r>
          </w:p>
        </w:tc>
        <w:tc>
          <w:tcPr>
            <w:tcW w:w="15373" w:type="dxa"/>
            <w:gridSpan w:val="24"/>
            <w:tcBorders>
              <w:top w:val="nil"/>
              <w:left w:val="nil"/>
              <w:bottom w:val="nil"/>
              <w:right w:val="nil"/>
            </w:tcBorders>
            <w:shd w:val="clear" w:color="000000" w:fill="FFFFFF"/>
            <w:noWrap/>
            <w:vAlign w:val="center"/>
          </w:tcPr>
          <w:p w14:paraId="56D65B31" w14:textId="77777777" w:rsidR="0009294D" w:rsidRPr="0009294D" w:rsidRDefault="0009294D" w:rsidP="0009294D">
            <w:pPr>
              <w:spacing w:after="0" w:line="240" w:lineRule="auto"/>
              <w:rPr>
                <w:rFonts w:ascii="Times New Roman" w:eastAsia="Calibri" w:hAnsi="Times New Roman" w:cs="Times New Roman"/>
                <w:color w:val="000000"/>
                <w:sz w:val="12"/>
                <w:szCs w:val="12"/>
              </w:rPr>
            </w:pPr>
            <w:r w:rsidRPr="0009294D">
              <w:rPr>
                <w:rFonts w:ascii="Times New Roman" w:eastAsia="Calibri" w:hAnsi="Times New Roman" w:cs="Times New Roman"/>
                <w:color w:val="000000"/>
                <w:sz w:val="12"/>
                <w:szCs w:val="12"/>
              </w:rPr>
              <w:t>see point B.2.3</w:t>
            </w:r>
          </w:p>
        </w:tc>
      </w:tr>
      <w:bookmarkEnd w:id="5"/>
    </w:tbl>
    <w:p w14:paraId="02FE7CF3" w14:textId="4F276F38" w:rsidR="00B5357A" w:rsidRPr="00675805" w:rsidRDefault="00B5357A" w:rsidP="00675805">
      <w:pPr>
        <w:rPr>
          <w:lang w:val="fr-BE"/>
        </w:rPr>
      </w:pPr>
    </w:p>
    <w:sectPr w:rsidR="00B5357A" w:rsidRPr="00675805" w:rsidSect="0009294D">
      <w:pgSz w:w="16838" w:h="11906" w:orient="landscape"/>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24A38" w14:textId="77777777" w:rsidR="004040AE" w:rsidRDefault="004040AE" w:rsidP="00E700F4">
      <w:pPr>
        <w:spacing w:after="0" w:line="240" w:lineRule="auto"/>
      </w:pPr>
      <w:r>
        <w:separator/>
      </w:r>
    </w:p>
  </w:endnote>
  <w:endnote w:type="continuationSeparator" w:id="0">
    <w:p w14:paraId="42A93271" w14:textId="77777777" w:rsidR="004040AE" w:rsidRDefault="004040AE" w:rsidP="00E70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0ECC" w14:textId="77777777" w:rsidR="003614D7" w:rsidRDefault="00361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744577"/>
      <w:docPartObj>
        <w:docPartGallery w:val="Page Numbers (Bottom of Page)"/>
        <w:docPartUnique/>
      </w:docPartObj>
    </w:sdtPr>
    <w:sdtEndPr>
      <w:rPr>
        <w:noProof/>
      </w:rPr>
    </w:sdtEndPr>
    <w:sdtContent>
      <w:p w14:paraId="6F545A32" w14:textId="77777777" w:rsidR="00E700F4" w:rsidRPr="002365DF" w:rsidRDefault="00E700F4" w:rsidP="00840BA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277E" w14:textId="77777777" w:rsidR="003614D7" w:rsidRDefault="00361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090FE" w14:textId="77777777" w:rsidR="004040AE" w:rsidRDefault="004040AE" w:rsidP="00E700F4">
      <w:pPr>
        <w:spacing w:after="0" w:line="240" w:lineRule="auto"/>
      </w:pPr>
      <w:r>
        <w:separator/>
      </w:r>
    </w:p>
  </w:footnote>
  <w:footnote w:type="continuationSeparator" w:id="0">
    <w:p w14:paraId="712A627C" w14:textId="77777777" w:rsidR="004040AE" w:rsidRDefault="004040AE" w:rsidP="00E70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2026" w14:textId="77777777" w:rsidR="003614D7" w:rsidRDefault="00361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5E66" w14:textId="77777777" w:rsidR="003614D7" w:rsidRDefault="003614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8C39" w14:textId="77777777" w:rsidR="003614D7" w:rsidRDefault="00361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318B9"/>
    <w:multiLevelType w:val="hybridMultilevel"/>
    <w:tmpl w:val="63787CF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24111E"/>
    <w:multiLevelType w:val="multilevel"/>
    <w:tmpl w:val="B6742DC4"/>
    <w:styleLink w:val="CMFBTGreportnumbering"/>
    <w:lvl w:ilvl="0">
      <w:start w:val="1"/>
      <w:numFmt w:val="upperRoman"/>
      <w:pStyle w:val="Heading1"/>
      <w:lvlText w:val="%1."/>
      <w:lvlJc w:val="left"/>
      <w:pPr>
        <w:ind w:left="851" w:hanging="851"/>
      </w:pPr>
      <w:rPr>
        <w:rFonts w:hint="default"/>
      </w:rPr>
    </w:lvl>
    <w:lvl w:ilvl="1">
      <w:start w:val="1"/>
      <w:numFmt w:val="upperLetter"/>
      <w:pStyle w:val="Heading2"/>
      <w:lvlText w:val="%2."/>
      <w:lvlJc w:val="left"/>
      <w:pPr>
        <w:ind w:left="851" w:hanging="851"/>
      </w:pPr>
      <w:rPr>
        <w:rFonts w:hint="default"/>
      </w:rPr>
    </w:lvl>
    <w:lvl w:ilvl="2">
      <w:start w:val="1"/>
      <w:numFmt w:val="decimal"/>
      <w:pStyle w:val="Heading3"/>
      <w:lvlText w:val="%2.%3"/>
      <w:lvlJc w:val="left"/>
      <w:pPr>
        <w:ind w:left="851" w:hanging="851"/>
      </w:pPr>
      <w:rPr>
        <w:rFonts w:hint="default"/>
      </w:rPr>
    </w:lvl>
    <w:lvl w:ilvl="3">
      <w:start w:val="1"/>
      <w:numFmt w:val="decimal"/>
      <w:pStyle w:val="Heading4"/>
      <w:lvlText w:val="%2.%3.%4"/>
      <w:lvlJc w:val="left"/>
      <w:pPr>
        <w:ind w:left="851" w:hanging="851"/>
      </w:pPr>
      <w:rPr>
        <w:rFonts w:hint="default"/>
        <w:i w:val="0"/>
      </w:rPr>
    </w:lvl>
    <w:lvl w:ilvl="4">
      <w:start w:val="1"/>
      <w:numFmt w:val="decimal"/>
      <w:pStyle w:val="Heading5"/>
      <w:lvlText w:val="%2.%3.%4.%5"/>
      <w:lvlJc w:val="left"/>
      <w:pPr>
        <w:ind w:left="851" w:hanging="851"/>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 w15:restartNumberingAfterBreak="0">
    <w:nsid w:val="52E84EE6"/>
    <w:multiLevelType w:val="multilevel"/>
    <w:tmpl w:val="B6742DC4"/>
    <w:numStyleLink w:val="CMFBTGreportnumbering"/>
  </w:abstractNum>
  <w:abstractNum w:abstractNumId="3" w15:restartNumberingAfterBreak="0">
    <w:nsid w:val="6C1E0652"/>
    <w:multiLevelType w:val="hybridMultilevel"/>
    <w:tmpl w:val="5CAA38B8"/>
    <w:lvl w:ilvl="0" w:tplc="0408000F">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4" w15:restartNumberingAfterBreak="0">
    <w:nsid w:val="7C74324D"/>
    <w:multiLevelType w:val="hybridMultilevel"/>
    <w:tmpl w:val="055037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3775103">
    <w:abstractNumId w:val="1"/>
  </w:num>
  <w:num w:numId="2" w16cid:durableId="518398773">
    <w:abstractNumId w:val="2"/>
  </w:num>
  <w:num w:numId="3" w16cid:durableId="1968585558">
    <w:abstractNumId w:val="4"/>
  </w:num>
  <w:num w:numId="4" w16cid:durableId="965964705">
    <w:abstractNumId w:val="0"/>
  </w:num>
  <w:num w:numId="5" w16cid:durableId="669259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0F4"/>
    <w:rsid w:val="0009294D"/>
    <w:rsid w:val="000B5B86"/>
    <w:rsid w:val="000C0CE0"/>
    <w:rsid w:val="000C3D0D"/>
    <w:rsid w:val="000D0027"/>
    <w:rsid w:val="000F732D"/>
    <w:rsid w:val="00106623"/>
    <w:rsid w:val="001212F1"/>
    <w:rsid w:val="001C0D2E"/>
    <w:rsid w:val="001E7286"/>
    <w:rsid w:val="00240AB8"/>
    <w:rsid w:val="002E378B"/>
    <w:rsid w:val="003614D7"/>
    <w:rsid w:val="00386031"/>
    <w:rsid w:val="003876CC"/>
    <w:rsid w:val="004040AE"/>
    <w:rsid w:val="0042168F"/>
    <w:rsid w:val="00426209"/>
    <w:rsid w:val="004F7EC7"/>
    <w:rsid w:val="00514F10"/>
    <w:rsid w:val="005179AB"/>
    <w:rsid w:val="005D5FBD"/>
    <w:rsid w:val="00675805"/>
    <w:rsid w:val="006E0F9C"/>
    <w:rsid w:val="007C28CA"/>
    <w:rsid w:val="008126F6"/>
    <w:rsid w:val="00822ED2"/>
    <w:rsid w:val="00897701"/>
    <w:rsid w:val="008B76D3"/>
    <w:rsid w:val="00906B16"/>
    <w:rsid w:val="00953212"/>
    <w:rsid w:val="009D3402"/>
    <w:rsid w:val="009E6B4D"/>
    <w:rsid w:val="009E7226"/>
    <w:rsid w:val="00A00F7C"/>
    <w:rsid w:val="00A2653B"/>
    <w:rsid w:val="00A6030C"/>
    <w:rsid w:val="00A757A4"/>
    <w:rsid w:val="00AB3F7E"/>
    <w:rsid w:val="00B5357A"/>
    <w:rsid w:val="00BF0F85"/>
    <w:rsid w:val="00C040F6"/>
    <w:rsid w:val="00CE5E5F"/>
    <w:rsid w:val="00D462AC"/>
    <w:rsid w:val="00E3290F"/>
    <w:rsid w:val="00E61CDD"/>
    <w:rsid w:val="00E700F4"/>
    <w:rsid w:val="00EC40DF"/>
    <w:rsid w:val="00FB5096"/>
    <w:rsid w:val="00FD30B9"/>
    <w:rsid w:val="00FE66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8FE65"/>
  <w15:chartTrackingRefBased/>
  <w15:docId w15:val="{205D1CB7-DE3F-48B9-9E13-9273FA3A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0F4"/>
    <w:rPr>
      <w:kern w:val="0"/>
      <w:lang w:val="en-GB"/>
      <w14:ligatures w14:val="none"/>
    </w:rPr>
  </w:style>
  <w:style w:type="paragraph" w:styleId="Heading1">
    <w:name w:val="heading 1"/>
    <w:aliases w:val="CMFB Heading 1"/>
    <w:basedOn w:val="Normal"/>
    <w:next w:val="Normal"/>
    <w:link w:val="Heading1Char"/>
    <w:qFormat/>
    <w:rsid w:val="00E700F4"/>
    <w:pPr>
      <w:numPr>
        <w:numId w:val="2"/>
      </w:numPr>
      <w:pBdr>
        <w:bottom w:val="single" w:sz="4" w:space="1" w:color="auto"/>
      </w:pBdr>
      <w:spacing w:before="240" w:after="480" w:line="276" w:lineRule="auto"/>
      <w:outlineLvl w:val="0"/>
    </w:pPr>
    <w:rPr>
      <w:rFonts w:ascii="Times New Roman" w:eastAsia="Calibri" w:hAnsi="Times New Roman" w:cs="Times New Roman"/>
      <w:b/>
      <w:color w:val="44546A" w:themeColor="text2"/>
      <w:sz w:val="28"/>
      <w:szCs w:val="28"/>
    </w:rPr>
  </w:style>
  <w:style w:type="paragraph" w:styleId="Heading2">
    <w:name w:val="heading 2"/>
    <w:aliases w:val="CMFB Heading 2"/>
    <w:basedOn w:val="Normal"/>
    <w:next w:val="Normal"/>
    <w:link w:val="Heading2Char"/>
    <w:unhideWhenUsed/>
    <w:qFormat/>
    <w:rsid w:val="00E700F4"/>
    <w:pPr>
      <w:keepNext/>
      <w:numPr>
        <w:ilvl w:val="1"/>
        <w:numId w:val="2"/>
      </w:numPr>
      <w:suppressAutoHyphens/>
      <w:spacing w:before="480" w:after="240" w:line="240" w:lineRule="auto"/>
      <w:jc w:val="both"/>
      <w:outlineLvl w:val="1"/>
    </w:pPr>
    <w:rPr>
      <w:rFonts w:ascii="Times New Roman" w:eastAsia="Times New Roman" w:hAnsi="Times New Roman" w:cs="Times New Roman"/>
      <w:b/>
      <w:bCs/>
      <w:iCs/>
      <w:sz w:val="28"/>
      <w:szCs w:val="28"/>
      <w:lang w:val="it-IT"/>
    </w:rPr>
  </w:style>
  <w:style w:type="paragraph" w:styleId="Heading3">
    <w:name w:val="heading 3"/>
    <w:aliases w:val="CMFB Heading 3"/>
    <w:basedOn w:val="Normal"/>
    <w:next w:val="Normal"/>
    <w:link w:val="Heading3Char"/>
    <w:unhideWhenUsed/>
    <w:qFormat/>
    <w:rsid w:val="00E700F4"/>
    <w:pPr>
      <w:keepNext/>
      <w:numPr>
        <w:ilvl w:val="2"/>
        <w:numId w:val="2"/>
      </w:numPr>
      <w:suppressAutoHyphens/>
      <w:spacing w:before="480" w:after="240" w:line="240" w:lineRule="auto"/>
      <w:jc w:val="both"/>
      <w:outlineLvl w:val="2"/>
    </w:pPr>
    <w:rPr>
      <w:rFonts w:ascii="Times New Roman" w:eastAsia="Times New Roman" w:hAnsi="Times New Roman" w:cs="Times New Roman"/>
      <w:bCs/>
      <w:i/>
      <w:sz w:val="24"/>
      <w:szCs w:val="24"/>
    </w:rPr>
  </w:style>
  <w:style w:type="paragraph" w:styleId="Heading4">
    <w:name w:val="heading 4"/>
    <w:aliases w:val="CMFB Heading 4"/>
    <w:basedOn w:val="Normal"/>
    <w:next w:val="Normal"/>
    <w:link w:val="Heading4Char"/>
    <w:uiPriority w:val="9"/>
    <w:unhideWhenUsed/>
    <w:qFormat/>
    <w:rsid w:val="00E700F4"/>
    <w:pPr>
      <w:keepNext/>
      <w:keepLines/>
      <w:numPr>
        <w:ilvl w:val="3"/>
        <w:numId w:val="2"/>
      </w:numPr>
      <w:spacing w:before="200" w:after="0" w:line="276" w:lineRule="auto"/>
      <w:outlineLvl w:val="3"/>
    </w:pPr>
    <w:rPr>
      <w:rFonts w:ascii="Times New Roman" w:eastAsiaTheme="majorEastAsia" w:hAnsi="Times New Roman" w:cs="Times New Roman"/>
      <w:bCs/>
      <w:iCs/>
      <w:u w:val="single"/>
    </w:rPr>
  </w:style>
  <w:style w:type="paragraph" w:styleId="Heading5">
    <w:name w:val="heading 5"/>
    <w:basedOn w:val="Normal"/>
    <w:next w:val="Normal"/>
    <w:link w:val="Heading5Char"/>
    <w:uiPriority w:val="9"/>
    <w:unhideWhenUsed/>
    <w:qFormat/>
    <w:rsid w:val="00E700F4"/>
    <w:pPr>
      <w:keepNext/>
      <w:keepLines/>
      <w:numPr>
        <w:ilvl w:val="4"/>
        <w:numId w:val="2"/>
      </w:numPr>
      <w:spacing w:before="200" w:after="0" w:line="276" w:lineRule="auto"/>
      <w:outlineLvl w:val="4"/>
    </w:pPr>
    <w:rPr>
      <w:rFonts w:ascii="Times New Roman" w:eastAsiaTheme="majorEastAsia" w:hAnsi="Times New Roman" w:cs="Times New Roman"/>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MFB Heading 1 Char"/>
    <w:basedOn w:val="DefaultParagraphFont"/>
    <w:link w:val="Heading1"/>
    <w:rsid w:val="00E700F4"/>
    <w:rPr>
      <w:rFonts w:ascii="Times New Roman" w:eastAsia="Calibri" w:hAnsi="Times New Roman" w:cs="Times New Roman"/>
      <w:b/>
      <w:color w:val="44546A" w:themeColor="text2"/>
      <w:kern w:val="0"/>
      <w:sz w:val="28"/>
      <w:szCs w:val="28"/>
      <w:lang w:val="en-GB"/>
      <w14:ligatures w14:val="none"/>
    </w:rPr>
  </w:style>
  <w:style w:type="character" w:customStyle="1" w:styleId="Heading2Char">
    <w:name w:val="Heading 2 Char"/>
    <w:aliases w:val="CMFB Heading 2 Char"/>
    <w:basedOn w:val="DefaultParagraphFont"/>
    <w:link w:val="Heading2"/>
    <w:rsid w:val="00E700F4"/>
    <w:rPr>
      <w:rFonts w:ascii="Times New Roman" w:eastAsia="Times New Roman" w:hAnsi="Times New Roman" w:cs="Times New Roman"/>
      <w:b/>
      <w:bCs/>
      <w:iCs/>
      <w:kern w:val="0"/>
      <w:sz w:val="28"/>
      <w:szCs w:val="28"/>
      <w:lang w:val="it-IT"/>
      <w14:ligatures w14:val="none"/>
    </w:rPr>
  </w:style>
  <w:style w:type="character" w:customStyle="1" w:styleId="Heading3Char">
    <w:name w:val="Heading 3 Char"/>
    <w:aliases w:val="CMFB Heading 3 Char"/>
    <w:basedOn w:val="DefaultParagraphFont"/>
    <w:link w:val="Heading3"/>
    <w:rsid w:val="00E700F4"/>
    <w:rPr>
      <w:rFonts w:ascii="Times New Roman" w:eastAsia="Times New Roman" w:hAnsi="Times New Roman" w:cs="Times New Roman"/>
      <w:bCs/>
      <w:i/>
      <w:kern w:val="0"/>
      <w:sz w:val="24"/>
      <w:szCs w:val="24"/>
      <w:lang w:val="en-GB"/>
      <w14:ligatures w14:val="none"/>
    </w:rPr>
  </w:style>
  <w:style w:type="character" w:customStyle="1" w:styleId="Heading4Char">
    <w:name w:val="Heading 4 Char"/>
    <w:aliases w:val="CMFB Heading 4 Char"/>
    <w:basedOn w:val="DefaultParagraphFont"/>
    <w:link w:val="Heading4"/>
    <w:uiPriority w:val="9"/>
    <w:rsid w:val="00E700F4"/>
    <w:rPr>
      <w:rFonts w:ascii="Times New Roman" w:eastAsiaTheme="majorEastAsia" w:hAnsi="Times New Roman" w:cs="Times New Roman"/>
      <w:bCs/>
      <w:iCs/>
      <w:kern w:val="0"/>
      <w:u w:val="single"/>
      <w:lang w:val="en-GB"/>
      <w14:ligatures w14:val="none"/>
    </w:rPr>
  </w:style>
  <w:style w:type="character" w:customStyle="1" w:styleId="Heading5Char">
    <w:name w:val="Heading 5 Char"/>
    <w:basedOn w:val="DefaultParagraphFont"/>
    <w:link w:val="Heading5"/>
    <w:uiPriority w:val="9"/>
    <w:rsid w:val="00E700F4"/>
    <w:rPr>
      <w:rFonts w:ascii="Times New Roman" w:eastAsiaTheme="majorEastAsia" w:hAnsi="Times New Roman" w:cs="Times New Roman"/>
      <w:i/>
      <w:color w:val="000000" w:themeColor="text1"/>
      <w:kern w:val="0"/>
      <w:lang w:val="en-GB"/>
      <w14:ligatures w14:val="none"/>
    </w:rPr>
  </w:style>
  <w:style w:type="paragraph" w:customStyle="1" w:styleId="CMFBtextintable">
    <w:name w:val="CMFB text in table"/>
    <w:basedOn w:val="Normal"/>
    <w:link w:val="CMFBtextintableChar"/>
    <w:qFormat/>
    <w:rsid w:val="00E700F4"/>
    <w:pPr>
      <w:spacing w:after="60" w:line="276" w:lineRule="auto"/>
      <w:jc w:val="both"/>
    </w:pPr>
    <w:rPr>
      <w:rFonts w:ascii="Times New Roman" w:eastAsia="Calibri" w:hAnsi="Times New Roman" w:cs="Times New Roman"/>
    </w:rPr>
  </w:style>
  <w:style w:type="character" w:customStyle="1" w:styleId="CMFBtextintableChar">
    <w:name w:val="CMFB text in table Char"/>
    <w:basedOn w:val="DefaultParagraphFont"/>
    <w:link w:val="CMFBtextintable"/>
    <w:rsid w:val="00E700F4"/>
    <w:rPr>
      <w:rFonts w:ascii="Times New Roman" w:eastAsia="Calibri" w:hAnsi="Times New Roman" w:cs="Times New Roman"/>
      <w:kern w:val="0"/>
      <w:lang w:val="en-GB"/>
      <w14:ligatures w14:val="none"/>
    </w:rPr>
  </w:style>
  <w:style w:type="character" w:styleId="Hyperlink">
    <w:name w:val="Hyperlink"/>
    <w:basedOn w:val="DefaultParagraphFont"/>
    <w:uiPriority w:val="99"/>
    <w:unhideWhenUsed/>
    <w:rsid w:val="00E700F4"/>
    <w:rPr>
      <w:color w:val="0563C1" w:themeColor="hyperlink"/>
      <w:u w:val="single"/>
    </w:rPr>
  </w:style>
  <w:style w:type="paragraph" w:customStyle="1" w:styleId="Default">
    <w:name w:val="Default"/>
    <w:rsid w:val="00E700F4"/>
    <w:pPr>
      <w:autoSpaceDE w:val="0"/>
      <w:autoSpaceDN w:val="0"/>
      <w:adjustRightInd w:val="0"/>
      <w:spacing w:after="0" w:line="240" w:lineRule="auto"/>
    </w:pPr>
    <w:rPr>
      <w:rFonts w:ascii="EUAlbertina" w:hAnsi="EUAlbertina" w:cs="EUAlbertina"/>
      <w:color w:val="000000"/>
      <w:kern w:val="0"/>
      <w:sz w:val="24"/>
      <w:szCs w:val="24"/>
      <w:lang w:val="el-GR"/>
      <w14:ligatures w14:val="none"/>
    </w:rPr>
  </w:style>
  <w:style w:type="numbering" w:customStyle="1" w:styleId="CMFBTGreportnumbering">
    <w:name w:val="CMFB TG report numbering"/>
    <w:uiPriority w:val="99"/>
    <w:rsid w:val="00E700F4"/>
    <w:pPr>
      <w:numPr>
        <w:numId w:val="1"/>
      </w:numPr>
    </w:pPr>
  </w:style>
  <w:style w:type="paragraph" w:customStyle="1" w:styleId="CMFBText">
    <w:name w:val="CMFB Text"/>
    <w:basedOn w:val="Normal"/>
    <w:link w:val="CMFBTextChar"/>
    <w:qFormat/>
    <w:rsid w:val="00E700F4"/>
    <w:pPr>
      <w:spacing w:before="120" w:after="120" w:line="240" w:lineRule="auto"/>
      <w:jc w:val="both"/>
    </w:pPr>
    <w:rPr>
      <w:rFonts w:ascii="Times New Roman" w:eastAsia="Calibri" w:hAnsi="Times New Roman" w:cs="Times New Roman"/>
      <w:szCs w:val="24"/>
    </w:rPr>
  </w:style>
  <w:style w:type="character" w:customStyle="1" w:styleId="CMFBTextChar">
    <w:name w:val="CMFB Text Char"/>
    <w:link w:val="CMFBText"/>
    <w:rsid w:val="00E700F4"/>
    <w:rPr>
      <w:rFonts w:ascii="Times New Roman" w:eastAsia="Calibri" w:hAnsi="Times New Roman" w:cs="Times New Roman"/>
      <w:kern w:val="0"/>
      <w:szCs w:val="24"/>
      <w:lang w:val="en-GB"/>
      <w14:ligatures w14:val="none"/>
    </w:rPr>
  </w:style>
  <w:style w:type="paragraph" w:styleId="ListParagraph">
    <w:name w:val="List Paragraph"/>
    <w:basedOn w:val="Normal"/>
    <w:uiPriority w:val="34"/>
    <w:qFormat/>
    <w:rsid w:val="00E700F4"/>
    <w:pPr>
      <w:ind w:left="720"/>
      <w:contextualSpacing/>
    </w:pPr>
  </w:style>
  <w:style w:type="paragraph" w:styleId="CommentText">
    <w:name w:val="annotation text"/>
    <w:basedOn w:val="Normal"/>
    <w:link w:val="CommentTextChar"/>
    <w:uiPriority w:val="99"/>
    <w:semiHidden/>
    <w:unhideWhenUsed/>
    <w:rsid w:val="00E700F4"/>
    <w:pPr>
      <w:spacing w:line="240" w:lineRule="auto"/>
    </w:pPr>
    <w:rPr>
      <w:sz w:val="20"/>
      <w:szCs w:val="20"/>
    </w:rPr>
  </w:style>
  <w:style w:type="character" w:customStyle="1" w:styleId="CommentTextChar">
    <w:name w:val="Comment Text Char"/>
    <w:basedOn w:val="DefaultParagraphFont"/>
    <w:link w:val="CommentText"/>
    <w:uiPriority w:val="99"/>
    <w:semiHidden/>
    <w:rsid w:val="00E700F4"/>
    <w:rPr>
      <w:kern w:val="0"/>
      <w:sz w:val="20"/>
      <w:szCs w:val="20"/>
      <w:lang w:val="el-GR"/>
      <w14:ligatures w14:val="none"/>
    </w:rPr>
  </w:style>
  <w:style w:type="paragraph" w:styleId="Footer">
    <w:name w:val="footer"/>
    <w:basedOn w:val="Normal"/>
    <w:link w:val="FooterChar"/>
    <w:uiPriority w:val="99"/>
    <w:unhideWhenUsed/>
    <w:rsid w:val="00E700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E700F4"/>
    <w:rPr>
      <w:kern w:val="0"/>
      <w:lang w:val="el-GR"/>
      <w14:ligatures w14:val="none"/>
    </w:rPr>
  </w:style>
  <w:style w:type="paragraph" w:styleId="FootnoteText">
    <w:name w:val="footnote text"/>
    <w:basedOn w:val="Normal"/>
    <w:link w:val="FootnoteTextChar"/>
    <w:uiPriority w:val="99"/>
    <w:semiHidden/>
    <w:unhideWhenUsed/>
    <w:rsid w:val="00E700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00F4"/>
    <w:rPr>
      <w:kern w:val="0"/>
      <w:sz w:val="20"/>
      <w:szCs w:val="20"/>
      <w:lang w:val="el-GR"/>
      <w14:ligatures w14:val="none"/>
    </w:rPr>
  </w:style>
  <w:style w:type="character" w:styleId="FootnoteReference">
    <w:name w:val="footnote reference"/>
    <w:basedOn w:val="DefaultParagraphFont"/>
    <w:uiPriority w:val="99"/>
    <w:semiHidden/>
    <w:unhideWhenUsed/>
    <w:rsid w:val="00E700F4"/>
    <w:rPr>
      <w:vertAlign w:val="superscript"/>
    </w:rPr>
  </w:style>
  <w:style w:type="character" w:styleId="Strong">
    <w:name w:val="Strong"/>
    <w:basedOn w:val="DefaultParagraphFont"/>
    <w:uiPriority w:val="22"/>
    <w:qFormat/>
    <w:rsid w:val="003614D7"/>
    <w:rPr>
      <w:b/>
      <w:bCs/>
    </w:rPr>
  </w:style>
  <w:style w:type="paragraph" w:styleId="Header">
    <w:name w:val="header"/>
    <w:basedOn w:val="Normal"/>
    <w:link w:val="HeaderChar"/>
    <w:uiPriority w:val="99"/>
    <w:unhideWhenUsed/>
    <w:rsid w:val="003614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4D7"/>
    <w:rPr>
      <w:kern w:val="0"/>
      <w:lang w:val="el-GR"/>
      <w14:ligatures w14:val="none"/>
    </w:rPr>
  </w:style>
  <w:style w:type="character" w:styleId="UnresolvedMention">
    <w:name w:val="Unresolved Mention"/>
    <w:basedOn w:val="DefaultParagraphFont"/>
    <w:uiPriority w:val="99"/>
    <w:semiHidden/>
    <w:unhideWhenUsed/>
    <w:rsid w:val="00CE5E5F"/>
    <w:rPr>
      <w:color w:val="605E5C"/>
      <w:shd w:val="clear" w:color="auto" w:fill="E1DFDD"/>
    </w:rPr>
  </w:style>
  <w:style w:type="character" w:styleId="FollowedHyperlink">
    <w:name w:val="FollowedHyperlink"/>
    <w:basedOn w:val="DefaultParagraphFont"/>
    <w:uiPriority w:val="99"/>
    <w:semiHidden/>
    <w:unhideWhenUsed/>
    <w:rsid w:val="00CE5E5F"/>
    <w:rPr>
      <w:color w:val="954F72" w:themeColor="followedHyperlink"/>
      <w:u w:val="single"/>
    </w:rPr>
  </w:style>
  <w:style w:type="table" w:styleId="TableGrid">
    <w:name w:val="Table Grid"/>
    <w:basedOn w:val="TableNormal"/>
    <w:uiPriority w:val="59"/>
    <w:rsid w:val="00A6030C"/>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37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b.lt/uploads/documents/files/statistika/apie-statistika/Lietuvos%20bankas%20statistics%20work%20programme%20for%202026.pdf" TargetMode="External"/><Relationship Id="rId13" Type="http://schemas.openxmlformats.org/officeDocument/2006/relationships/hyperlink" Target="https://www.lb.lt/uploads/documents/files/statistika/metaduomenys/Metadata_Financial%20accounts.pdf" TargetMode="External"/><Relationship Id="rId18" Type="http://schemas.openxmlformats.org/officeDocument/2006/relationships/hyperlink" Target="http://stats.oecd.or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dliberiene@lb.lt" TargetMode="External"/><Relationship Id="rId7" Type="http://schemas.openxmlformats.org/officeDocument/2006/relationships/endnotes" Target="endnotes.xml"/><Relationship Id="rId12" Type="http://schemas.openxmlformats.org/officeDocument/2006/relationships/hyperlink" Target="https://www.lb.lt/en/data-revisions" TargetMode="External"/><Relationship Id="rId17" Type="http://schemas.openxmlformats.org/officeDocument/2006/relationships/hyperlink" Target="http://ec.europa.eu/eurostat/data/databas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sp.stat.gov.lt/statistiniu-rodikliu-analize" TargetMode="External"/><Relationship Id="rId20" Type="http://schemas.openxmlformats.org/officeDocument/2006/relationships/hyperlink" Target="https://osp.stat.gov.lt/documents/10180/5118910/Vald%C5%BEios+sektoriaus+finansin%C4%97s+s%C4%85skaitos+%5BEN%5D+125840000.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sp.stat.gov.lt/en/kalendoriai"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b.lt/en/statistics-data-in-brie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lb.lt/en/data-release-calendar" TargetMode="External"/><Relationship Id="rId19" Type="http://schemas.openxmlformats.org/officeDocument/2006/relationships/hyperlink" Target="https://www.lb.lt/uploads/documents/files/statistika/metaduomenys/Metadata_Financial%20accounts.pdf" TargetMode="External"/><Relationship Id="rId4" Type="http://schemas.openxmlformats.org/officeDocument/2006/relationships/settings" Target="settings.xml"/><Relationship Id="rId9" Type="http://schemas.openxmlformats.org/officeDocument/2006/relationships/hyperlink" Target="https://vda.lrv.lt/lt/administracine-informacija/planavimo-dokumentai/oficialiosios-statistikos-programos-ofsp/" TargetMode="External"/><Relationship Id="rId14" Type="http://schemas.openxmlformats.org/officeDocument/2006/relationships/hyperlink" Target="https://osp.stat.gov.lt/documents/10180/5118910/Vald%C5%BEios+sektoriaus+finansin%C4%97s+s%C4%85skaitos+%5BEN%5D+125840000.html" TargetMode="External"/><Relationship Id="rId22" Type="http://schemas.openxmlformats.org/officeDocument/2006/relationships/hyperlink" Target="mailto:mantas.malcius@stat.gov.lt"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12673-B58F-4196-9E8E-3868E53EE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17219</Words>
  <Characters>9815</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Peter (ESTAT)</dc:creator>
  <cp:keywords/>
  <dc:description/>
  <cp:lastModifiedBy>Diana Liberienė</cp:lastModifiedBy>
  <cp:revision>2</cp:revision>
  <dcterms:created xsi:type="dcterms:W3CDTF">2026-01-19T13:36:00Z</dcterms:created>
  <dcterms:modified xsi:type="dcterms:W3CDTF">2026-01-19T13:36:00Z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2024-11-06T08:58:31Z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77fa23e8-10ee-4cad-a37f-6f29cd5559f5</vt:lpwstr>
  </property>
  <property fmtid="{D5CDD505-2E9C-101B-9397-08002B2CF9AE}" pid="8" name="MSIP_Label_6bd9ddd1-4d20-43f6-abfa-fc3c07406f94_ContentBits">
    <vt:lpwstr>0</vt:lpwstr>
  </property>
  <property fmtid="{D5CDD505-2E9C-101B-9397-08002B2CF9AE}" pid="9" name="MSIP_Label_e2a09b59-4bfd-43f2-a2c2-5b6d8700d3c9_Enabled">
    <vt:lpwstr>true</vt:lpwstr>
  </property>
  <property fmtid="{D5CDD505-2E9C-101B-9397-08002B2CF9AE}" pid="10" name="MSIP_Label_e2a09b59-4bfd-43f2-a2c2-5b6d8700d3c9_SetDate">
    <vt:lpwstr>2025-07-08T06:14:13Z</vt:lpwstr>
  </property>
  <property fmtid="{D5CDD505-2E9C-101B-9397-08002B2CF9AE}" pid="11" name="MSIP_Label_e2a09b59-4bfd-43f2-a2c2-5b6d8700d3c9_Method">
    <vt:lpwstr>Privileged</vt:lpwstr>
  </property>
  <property fmtid="{D5CDD505-2E9C-101B-9397-08002B2CF9AE}" pid="12" name="MSIP_Label_e2a09b59-4bfd-43f2-a2c2-5b6d8700d3c9_Name">
    <vt:lpwstr>LB NEVIEŠA Nematoma (Invisible)</vt:lpwstr>
  </property>
  <property fmtid="{D5CDD505-2E9C-101B-9397-08002B2CF9AE}" pid="13" name="MSIP_Label_e2a09b59-4bfd-43f2-a2c2-5b6d8700d3c9_SiteId">
    <vt:lpwstr>5a40b399-6903-4594-ad73-dc4ed7ed91c0</vt:lpwstr>
  </property>
  <property fmtid="{D5CDD505-2E9C-101B-9397-08002B2CF9AE}" pid="14" name="MSIP_Label_e2a09b59-4bfd-43f2-a2c2-5b6d8700d3c9_ActionId">
    <vt:lpwstr>620e6817-41ad-4d56-a637-d29109190fdd</vt:lpwstr>
  </property>
  <property fmtid="{D5CDD505-2E9C-101B-9397-08002B2CF9AE}" pid="15" name="MSIP_Label_e2a09b59-4bfd-43f2-a2c2-5b6d8700d3c9_ContentBits">
    <vt:lpwstr>0</vt:lpwstr>
  </property>
</Properties>
</file>