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66D" w:rsidRPr="00385B50" w:rsidRDefault="001D466D" w:rsidP="001D466D">
      <w:pPr>
        <w:spacing w:before="120" w:after="120" w:line="312" w:lineRule="auto"/>
        <w:jc w:val="right"/>
        <w:rPr>
          <w:rFonts w:ascii="Arial" w:eastAsia="Calibri" w:hAnsi="Arial" w:cs="Arial"/>
          <w:sz w:val="20"/>
          <w:szCs w:val="20"/>
        </w:rPr>
      </w:pPr>
      <w:r w:rsidRPr="00385B50">
        <w:rPr>
          <w:rFonts w:ascii="Arial" w:hAnsi="Arial" w:cs="Arial"/>
          <w:sz w:val="20"/>
          <w:szCs w:val="20"/>
        </w:rPr>
        <w:t>27/06/2016</w:t>
      </w:r>
    </w:p>
    <w:p w:rsidR="001D466D" w:rsidRPr="005D082D" w:rsidRDefault="001D466D" w:rsidP="001D466D">
      <w:pPr>
        <w:autoSpaceDE w:val="0"/>
        <w:autoSpaceDN w:val="0"/>
        <w:adjustRightInd w:val="0"/>
        <w:spacing w:before="120" w:after="120" w:line="312" w:lineRule="auto"/>
        <w:jc w:val="center"/>
        <w:rPr>
          <w:rFonts w:ascii="Arial" w:hAnsi="Arial" w:cs="Arial"/>
          <w:b/>
          <w:bCs/>
          <w:caps/>
          <w:sz w:val="22"/>
          <w:szCs w:val="20"/>
        </w:rPr>
      </w:pPr>
      <w:r w:rsidRPr="005D082D">
        <w:rPr>
          <w:rFonts w:ascii="Arial" w:hAnsi="Arial" w:cs="Arial"/>
          <w:b/>
          <w:caps/>
          <w:sz w:val="22"/>
          <w:szCs w:val="20"/>
        </w:rPr>
        <w:t>SURVEY OF THE BALANCE SHEET OF MONETARY FINANCIAL INSTITUTIONS, MAY 2016</w:t>
      </w:r>
    </w:p>
    <w:p w:rsidR="001D466D" w:rsidRPr="00385B50" w:rsidRDefault="001D466D" w:rsidP="001D466D">
      <w:pPr>
        <w:spacing w:before="60" w:after="60" w:line="312" w:lineRule="auto"/>
        <w:jc w:val="both"/>
        <w:rPr>
          <w:rFonts w:ascii="Arial" w:hAnsi="Arial" w:cs="Arial"/>
          <w:i/>
          <w:sz w:val="20"/>
          <w:szCs w:val="20"/>
        </w:rPr>
      </w:pPr>
      <w:r w:rsidRPr="00385B50">
        <w:rPr>
          <w:rFonts w:ascii="Arial" w:hAnsi="Arial" w:cs="Arial"/>
          <w:i/>
          <w:sz w:val="20"/>
          <w:szCs w:val="20"/>
        </w:rPr>
        <w:t>Over the month, the Bank of Lithuania</w:t>
      </w:r>
      <w:r>
        <w:rPr>
          <w:rFonts w:ascii="Arial" w:hAnsi="Arial" w:cs="Arial"/>
          <w:i/>
          <w:sz w:val="20"/>
          <w:szCs w:val="20"/>
        </w:rPr>
        <w:t>’</w:t>
      </w:r>
      <w:r w:rsidRPr="00385B50">
        <w:rPr>
          <w:rFonts w:ascii="Arial" w:hAnsi="Arial" w:cs="Arial"/>
          <w:i/>
          <w:sz w:val="20"/>
          <w:szCs w:val="20"/>
        </w:rPr>
        <w:t xml:space="preserve">s holdings of debt securities issued by euro area residents and loans to euro area residents increased by EUR 336.9 million and EUR 3.2 million respectively. These indicators amounted to EUR 4.4 billion and EUR 591.5 million respectively at the end of the month. Euro area resident deposits held with the Bank of Lithuania over the month increased by </w:t>
      </w:r>
      <w:r w:rsidR="005D082D">
        <w:rPr>
          <w:rFonts w:ascii="Arial" w:hAnsi="Arial" w:cs="Arial"/>
          <w:i/>
          <w:sz w:val="20"/>
          <w:szCs w:val="20"/>
        </w:rPr>
        <w:t xml:space="preserve">EUR </w:t>
      </w:r>
      <w:r w:rsidRPr="00385B50">
        <w:rPr>
          <w:rFonts w:ascii="Arial" w:hAnsi="Arial" w:cs="Arial"/>
          <w:i/>
          <w:sz w:val="20"/>
          <w:szCs w:val="20"/>
        </w:rPr>
        <w:t xml:space="preserve">553.7 million — to EUR 4.0 billion. </w:t>
      </w:r>
      <w:proofErr w:type="gramStart"/>
      <w:r w:rsidRPr="00385B50">
        <w:rPr>
          <w:rFonts w:ascii="Arial" w:hAnsi="Arial" w:cs="Arial"/>
          <w:i/>
          <w:sz w:val="20"/>
          <w:szCs w:val="20"/>
        </w:rPr>
        <w:t>Loans of other monetary financial institutions (MFIs) to Lithuanian residents, excluding MFIs, increased by EUR 321.0 million, to EUR 18.0 billion at the end of the month.</w:t>
      </w:r>
      <w:proofErr w:type="gramEnd"/>
      <w:r w:rsidRPr="00385B50">
        <w:rPr>
          <w:rFonts w:ascii="Arial" w:hAnsi="Arial" w:cs="Arial"/>
          <w:i/>
          <w:sz w:val="20"/>
          <w:szCs w:val="20"/>
        </w:rPr>
        <w:t xml:space="preserve"> The deposits of Lithuanian residents, excluding MFIs, with other MFIs decreased by EUR 100.0 million — to EUR 16.8 billion. Loans of other MFIs to Lithuanian households for house purchase, consumption and other purposes increased by EUR 43.5 million, EUR 9.2 million and EUR 20.4 million respectively over the month.</w:t>
      </w:r>
    </w:p>
    <w:p w:rsidR="001D466D" w:rsidRPr="00385B50" w:rsidRDefault="001D466D" w:rsidP="001D466D">
      <w:pPr>
        <w:spacing w:before="240" w:after="60" w:line="312" w:lineRule="auto"/>
        <w:jc w:val="both"/>
        <w:rPr>
          <w:rFonts w:ascii="Arial" w:hAnsi="Arial" w:cs="Arial"/>
          <w:b/>
          <w:sz w:val="20"/>
          <w:szCs w:val="20"/>
        </w:rPr>
      </w:pPr>
      <w:r w:rsidRPr="00385B50">
        <w:rPr>
          <w:rFonts w:ascii="Arial" w:hAnsi="Arial" w:cs="Arial"/>
          <w:b/>
          <w:sz w:val="20"/>
          <w:szCs w:val="20"/>
        </w:rPr>
        <w:t>Survey of the balance sheet of the Bank of Lithuania</w:t>
      </w:r>
    </w:p>
    <w:p w:rsidR="001D466D" w:rsidRPr="00385B50" w:rsidRDefault="001D466D" w:rsidP="001D466D">
      <w:pPr>
        <w:spacing w:before="60" w:after="60" w:line="312" w:lineRule="auto"/>
        <w:jc w:val="both"/>
        <w:rPr>
          <w:rFonts w:ascii="Arial" w:hAnsi="Arial" w:cs="Arial"/>
          <w:sz w:val="20"/>
          <w:szCs w:val="20"/>
        </w:rPr>
      </w:pPr>
      <w:r w:rsidRPr="00385B50">
        <w:rPr>
          <w:rFonts w:ascii="Arial" w:hAnsi="Arial" w:cs="Arial"/>
          <w:sz w:val="20"/>
          <w:szCs w:val="20"/>
        </w:rPr>
        <w:t>Euro area external assets increased by EUR 285.1 million, while external liabilities dropped by EUR 10.1 million over the month. At the end of the month, these indicators amounted to EUR 1.8 billion and EUR 256.3 million respectively.</w:t>
      </w:r>
    </w:p>
    <w:p w:rsidR="001D466D" w:rsidRPr="00385B50" w:rsidRDefault="001D466D" w:rsidP="001D466D">
      <w:pPr>
        <w:spacing w:before="60" w:after="60" w:line="312" w:lineRule="auto"/>
        <w:jc w:val="both"/>
        <w:rPr>
          <w:rFonts w:ascii="Arial" w:hAnsi="Arial" w:cs="Arial"/>
          <w:sz w:val="20"/>
          <w:szCs w:val="20"/>
        </w:rPr>
      </w:pPr>
      <w:r w:rsidRPr="00385B50">
        <w:rPr>
          <w:rFonts w:ascii="Arial" w:hAnsi="Arial" w:cs="Arial"/>
          <w:sz w:val="20"/>
          <w:szCs w:val="20"/>
        </w:rPr>
        <w:t xml:space="preserve">Over the month, the holdings of debt securities issued by euro area residents and loans to euro area residents increased by EUR 336.9 million and EUR 3.2 </w:t>
      </w:r>
      <w:r w:rsidR="005D082D">
        <w:rPr>
          <w:rFonts w:ascii="Arial" w:hAnsi="Arial" w:cs="Arial"/>
          <w:sz w:val="20"/>
          <w:szCs w:val="20"/>
        </w:rPr>
        <w:t>m</w:t>
      </w:r>
      <w:r w:rsidRPr="00385B50">
        <w:rPr>
          <w:rFonts w:ascii="Arial" w:hAnsi="Arial" w:cs="Arial"/>
          <w:sz w:val="20"/>
          <w:szCs w:val="20"/>
        </w:rPr>
        <w:t>illion respectively — to EUR 4.4 billion and EUR</w:t>
      </w:r>
      <w:r w:rsidR="005D082D">
        <w:rPr>
          <w:rFonts w:ascii="Arial" w:hAnsi="Arial" w:cs="Arial"/>
          <w:sz w:val="20"/>
          <w:szCs w:val="20"/>
        </w:rPr>
        <w:t> </w:t>
      </w:r>
      <w:r w:rsidRPr="00385B50">
        <w:rPr>
          <w:rFonts w:ascii="Arial" w:hAnsi="Arial" w:cs="Arial"/>
          <w:sz w:val="20"/>
          <w:szCs w:val="20"/>
        </w:rPr>
        <w:t>591.5 million respectively. Over the month the Bank of Lithuania</w:t>
      </w:r>
      <w:r>
        <w:rPr>
          <w:rFonts w:ascii="Arial" w:hAnsi="Arial" w:cs="Arial"/>
          <w:sz w:val="20"/>
          <w:szCs w:val="20"/>
        </w:rPr>
        <w:t>’</w:t>
      </w:r>
      <w:r w:rsidRPr="00385B50">
        <w:rPr>
          <w:rFonts w:ascii="Arial" w:hAnsi="Arial" w:cs="Arial"/>
          <w:sz w:val="20"/>
          <w:szCs w:val="20"/>
        </w:rPr>
        <w:t>s holdings of investment fund units/shares, issued by euro area residents, contracted by EUR 22.0 million, while</w:t>
      </w:r>
      <w:r w:rsidR="005D082D">
        <w:rPr>
          <w:rFonts w:ascii="Arial" w:hAnsi="Arial" w:cs="Arial"/>
          <w:sz w:val="20"/>
          <w:szCs w:val="20"/>
        </w:rPr>
        <w:t xml:space="preserve"> holdings of equity instruments</w:t>
      </w:r>
      <w:r w:rsidRPr="00385B50">
        <w:rPr>
          <w:rFonts w:ascii="Arial" w:hAnsi="Arial" w:cs="Arial"/>
          <w:sz w:val="20"/>
          <w:szCs w:val="20"/>
        </w:rPr>
        <w:t xml:space="preserve"> remained unchanged. At the end of the month these indicators amounted to EUR 482.6 million and EUR 207.2 million respectively.</w:t>
      </w:r>
    </w:p>
    <w:p w:rsidR="001D466D" w:rsidRPr="00385B50" w:rsidRDefault="005D082D" w:rsidP="001D466D">
      <w:pPr>
        <w:spacing w:before="60" w:after="60" w:line="312" w:lineRule="auto"/>
        <w:jc w:val="both"/>
        <w:rPr>
          <w:rFonts w:ascii="Arial" w:hAnsi="Arial" w:cs="Arial"/>
          <w:sz w:val="20"/>
          <w:szCs w:val="20"/>
        </w:rPr>
      </w:pPr>
      <w:r>
        <w:rPr>
          <w:rFonts w:ascii="Arial" w:hAnsi="Arial" w:cs="Arial"/>
          <w:sz w:val="20"/>
          <w:szCs w:val="20"/>
        </w:rPr>
        <w:t>Currency</w:t>
      </w:r>
      <w:r w:rsidR="001D466D" w:rsidRPr="00385B50">
        <w:rPr>
          <w:rFonts w:ascii="Arial" w:hAnsi="Arial" w:cs="Arial"/>
          <w:sz w:val="20"/>
          <w:szCs w:val="20"/>
        </w:rPr>
        <w:t xml:space="preserve"> in circulation (the definition is provided in the section </w:t>
      </w:r>
      <w:r w:rsidR="001D466D">
        <w:rPr>
          <w:rFonts w:ascii="Arial" w:hAnsi="Arial" w:cs="Arial"/>
          <w:sz w:val="20"/>
          <w:szCs w:val="20"/>
        </w:rPr>
        <w:t>‘</w:t>
      </w:r>
      <w:r w:rsidR="001D466D" w:rsidRPr="00385B50">
        <w:rPr>
          <w:rFonts w:ascii="Arial" w:hAnsi="Arial" w:cs="Arial"/>
          <w:sz w:val="20"/>
          <w:szCs w:val="20"/>
        </w:rPr>
        <w:t>Notes</w:t>
      </w:r>
      <w:r w:rsidR="001D466D">
        <w:rPr>
          <w:rFonts w:ascii="Arial" w:hAnsi="Arial" w:cs="Arial"/>
          <w:sz w:val="20"/>
          <w:szCs w:val="20"/>
        </w:rPr>
        <w:t>’</w:t>
      </w:r>
      <w:r w:rsidR="001D466D" w:rsidRPr="00385B50">
        <w:rPr>
          <w:rFonts w:ascii="Arial" w:hAnsi="Arial" w:cs="Arial"/>
          <w:sz w:val="20"/>
          <w:szCs w:val="20"/>
        </w:rPr>
        <w:t xml:space="preserve"> of this Survey) grew by EUR 23.0 million over the month, to EUR 5.9 billion at the end of the month. Euro area resident deposits held with the Bank of Lithuania over the month increased by 553.7 million — to EUR 4.0 billion. The Bank of Lithuania</w:t>
      </w:r>
      <w:r w:rsidR="001D466D">
        <w:rPr>
          <w:rFonts w:ascii="Arial" w:hAnsi="Arial" w:cs="Arial"/>
          <w:sz w:val="20"/>
          <w:szCs w:val="20"/>
        </w:rPr>
        <w:t>’</w:t>
      </w:r>
      <w:r w:rsidR="001D466D" w:rsidRPr="00385B50">
        <w:rPr>
          <w:rFonts w:ascii="Arial" w:hAnsi="Arial" w:cs="Arial"/>
          <w:sz w:val="20"/>
          <w:szCs w:val="20"/>
        </w:rPr>
        <w:t>s capital and reserves grew by EUR 0.9 million, amounting to EUR 740.8 million at the end of the month.</w:t>
      </w:r>
    </w:p>
    <w:p w:rsidR="001D466D" w:rsidRPr="00385B50" w:rsidRDefault="001D466D" w:rsidP="001D466D">
      <w:pPr>
        <w:spacing w:before="240" w:after="60" w:line="312" w:lineRule="auto"/>
        <w:jc w:val="both"/>
        <w:rPr>
          <w:rFonts w:ascii="Arial" w:hAnsi="Arial" w:cs="Arial"/>
          <w:b/>
          <w:sz w:val="20"/>
          <w:szCs w:val="20"/>
        </w:rPr>
      </w:pPr>
      <w:r w:rsidRPr="00385B50">
        <w:rPr>
          <w:rFonts w:ascii="Arial" w:hAnsi="Arial" w:cs="Arial"/>
          <w:b/>
          <w:sz w:val="20"/>
          <w:szCs w:val="20"/>
        </w:rPr>
        <w:t xml:space="preserve">Survey of the Balance Sheet of Other MFIs </w:t>
      </w:r>
    </w:p>
    <w:p w:rsidR="001D466D" w:rsidRPr="00385B50" w:rsidRDefault="001D466D" w:rsidP="001D466D">
      <w:pPr>
        <w:spacing w:before="60" w:after="60" w:line="312" w:lineRule="auto"/>
        <w:jc w:val="both"/>
        <w:rPr>
          <w:rFonts w:ascii="Arial" w:hAnsi="Arial" w:cs="Arial"/>
          <w:bCs/>
          <w:iCs/>
          <w:sz w:val="20"/>
          <w:szCs w:val="20"/>
        </w:rPr>
      </w:pPr>
      <w:r w:rsidRPr="00385B50">
        <w:rPr>
          <w:rFonts w:ascii="Arial" w:hAnsi="Arial" w:cs="Arial"/>
          <w:sz w:val="20"/>
          <w:szCs w:val="20"/>
        </w:rPr>
        <w:t>Loans to Lithuanian residents, excluding MFIs, grew by EUR 321.0 million over the month, as loans to non-financial corporations, households, investment funds and other financial intermediaries, as well as loans to general government grew by EUR 217.1 million, EUR 73.1 million, EUR 30.7 million and EUR 0.5 million respectively — to EUR 8.1 billion, EUR 8.0 billion, EUR 1.0 billion and EUR 890.4 million respectively at the end of the month. Loans to insurance corporations and pension funds contracted by EUR 0.3 million, to EUR 3.4 million at the end of the month.</w:t>
      </w:r>
    </w:p>
    <w:p w:rsidR="001D466D" w:rsidRPr="00385B50" w:rsidRDefault="001D466D" w:rsidP="001D466D">
      <w:pPr>
        <w:spacing w:before="60" w:after="60" w:line="312" w:lineRule="auto"/>
        <w:jc w:val="both"/>
        <w:rPr>
          <w:rFonts w:ascii="Arial" w:hAnsi="Arial" w:cs="Arial"/>
          <w:bCs/>
          <w:iCs/>
          <w:sz w:val="20"/>
          <w:szCs w:val="20"/>
        </w:rPr>
      </w:pPr>
      <w:r w:rsidRPr="00385B50">
        <w:rPr>
          <w:rFonts w:ascii="Arial" w:hAnsi="Arial" w:cs="Arial"/>
          <w:sz w:val="20"/>
          <w:szCs w:val="20"/>
        </w:rPr>
        <w:t>Loans to Lithuanian non-financial corporations with the initial maturity of up to 1 and from 1 to 5 years increased by EUR 7.3 million and EUR 268.6 million respectively, while loans with a maturity over 5 years decreased by EUR 58.9 million. At the end of the month, loans to non-financial corporations with an agreed maturity of up to 1 year, of over 1 up to 5 years, and of over 5 years amounted to EUR 1.1 billion, EUR 4.3 billion and EUR 2.6 billion respectively. Loans to Lithuanian households for house purchase, consumption and other purposes increased by EUR 43.5 million, EUR 9.2 million and EUR 20.4 million respectively over the month — to EUR 6.3 billion, EUR 691.4 million and EUR 948.2 million.</w:t>
      </w:r>
    </w:p>
    <w:p w:rsidR="001D466D" w:rsidRPr="00385B50" w:rsidRDefault="001D466D" w:rsidP="001D466D">
      <w:pPr>
        <w:spacing w:before="60" w:after="60" w:line="312" w:lineRule="auto"/>
        <w:jc w:val="both"/>
        <w:rPr>
          <w:rFonts w:ascii="Arial" w:hAnsi="Arial" w:cs="Arial"/>
          <w:sz w:val="20"/>
          <w:szCs w:val="20"/>
        </w:rPr>
      </w:pPr>
      <w:r w:rsidRPr="00385B50">
        <w:rPr>
          <w:rFonts w:ascii="Arial" w:hAnsi="Arial" w:cs="Arial"/>
          <w:sz w:val="20"/>
          <w:szCs w:val="20"/>
        </w:rPr>
        <w:t>Holdings of debt securities of other MFIs issued by Lithuanian residents, excluding MFIs, decreased by EUR</w:t>
      </w:r>
      <w:r w:rsidR="005D082D">
        <w:rPr>
          <w:rFonts w:ascii="Arial" w:hAnsi="Arial" w:cs="Arial"/>
          <w:sz w:val="20"/>
          <w:szCs w:val="20"/>
        </w:rPr>
        <w:t> </w:t>
      </w:r>
      <w:r w:rsidRPr="00385B50">
        <w:rPr>
          <w:rFonts w:ascii="Arial" w:hAnsi="Arial" w:cs="Arial"/>
          <w:sz w:val="20"/>
          <w:szCs w:val="20"/>
        </w:rPr>
        <w:t xml:space="preserve">55.8 million over the month, while holdings of equity instruments remained unchanged. At the end of the month, these indicators stood at EUR 1.2 billion and EUR 340.4 million respectively. </w:t>
      </w:r>
    </w:p>
    <w:p w:rsidR="001D466D" w:rsidRPr="00385B50" w:rsidRDefault="001D466D" w:rsidP="001D466D">
      <w:pPr>
        <w:spacing w:before="240" w:after="60"/>
        <w:rPr>
          <w:rFonts w:ascii="Arial" w:hAnsi="Arial" w:cs="Arial"/>
          <w:bCs/>
          <w:i/>
          <w:iCs/>
          <w:sz w:val="20"/>
          <w:szCs w:val="20"/>
        </w:rPr>
      </w:pPr>
      <w:r w:rsidRPr="00385B50">
        <w:rPr>
          <w:rFonts w:ascii="Arial" w:hAnsi="Arial" w:cs="Arial"/>
          <w:sz w:val="20"/>
          <w:szCs w:val="20"/>
        </w:rPr>
        <w:br w:type="page"/>
      </w:r>
      <w:proofErr w:type="gramStart"/>
      <w:r w:rsidRPr="00385B50">
        <w:rPr>
          <w:rFonts w:ascii="Arial" w:hAnsi="Arial" w:cs="Arial"/>
          <w:i/>
          <w:sz w:val="20"/>
          <w:szCs w:val="20"/>
        </w:rPr>
        <w:lastRenderedPageBreak/>
        <w:t>Chart 1.</w:t>
      </w:r>
      <w:proofErr w:type="gramEnd"/>
      <w:r w:rsidRPr="00385B50">
        <w:rPr>
          <w:rFonts w:ascii="Arial" w:hAnsi="Arial" w:cs="Arial"/>
          <w:i/>
          <w:sz w:val="20"/>
          <w:szCs w:val="20"/>
        </w:rPr>
        <w:t xml:space="preserve"> Loans of other MFIs to Lithuanian residents, excluding MFIs</w:t>
      </w:r>
    </w:p>
    <w:p w:rsidR="001D466D" w:rsidRPr="00385B50" w:rsidRDefault="001D466D" w:rsidP="001D466D">
      <w:pPr>
        <w:rPr>
          <w:rFonts w:ascii="Arial" w:hAnsi="Arial" w:cs="Arial"/>
          <w:bCs/>
          <w:iCs/>
          <w:sz w:val="20"/>
          <w:szCs w:val="20"/>
        </w:rPr>
      </w:pPr>
      <w:r w:rsidRPr="00385B50">
        <w:rPr>
          <w:rFonts w:ascii="Arial" w:hAnsi="Arial" w:cs="Arial"/>
          <w:sz w:val="20"/>
          <w:szCs w:val="20"/>
        </w:rPr>
        <w:t>(</w:t>
      </w:r>
      <w:proofErr w:type="gramStart"/>
      <w:r w:rsidRPr="00385B50">
        <w:rPr>
          <w:rFonts w:ascii="Arial" w:hAnsi="Arial" w:cs="Arial"/>
          <w:sz w:val="20"/>
          <w:szCs w:val="20"/>
        </w:rPr>
        <w:t>outstanding</w:t>
      </w:r>
      <w:proofErr w:type="gramEnd"/>
      <w:r w:rsidRPr="00385B50">
        <w:rPr>
          <w:rFonts w:ascii="Arial" w:hAnsi="Arial" w:cs="Arial"/>
          <w:sz w:val="20"/>
          <w:szCs w:val="20"/>
        </w:rPr>
        <w:t xml:space="preserve"> amounts, end-of-period)</w:t>
      </w:r>
    </w:p>
    <w:p w:rsidR="001D466D" w:rsidRPr="00385B50" w:rsidRDefault="005D082D" w:rsidP="001D466D">
      <w:pPr>
        <w:spacing w:before="60" w:after="60" w:line="312" w:lineRule="auto"/>
        <w:jc w:val="both"/>
        <w:rPr>
          <w:rFonts w:ascii="Arial" w:hAnsi="Arial" w:cs="Arial"/>
          <w:sz w:val="20"/>
          <w:szCs w:val="20"/>
        </w:rPr>
      </w:pPr>
      <w:r w:rsidRPr="005D082D">
        <w:drawing>
          <wp:inline distT="0" distB="0" distL="0" distR="0">
            <wp:extent cx="5055079" cy="30755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6906" cy="3076652"/>
                    </a:xfrm>
                    <a:prstGeom prst="rect">
                      <a:avLst/>
                    </a:prstGeom>
                    <a:noFill/>
                    <a:ln>
                      <a:noFill/>
                    </a:ln>
                  </pic:spPr>
                </pic:pic>
              </a:graphicData>
            </a:graphic>
          </wp:inline>
        </w:drawing>
      </w:r>
    </w:p>
    <w:p w:rsidR="001D466D" w:rsidRPr="00385B50" w:rsidRDefault="001D466D" w:rsidP="001D466D">
      <w:pPr>
        <w:spacing w:before="60" w:after="60" w:line="312" w:lineRule="auto"/>
        <w:jc w:val="both"/>
        <w:rPr>
          <w:rFonts w:ascii="Arial" w:hAnsi="Arial" w:cs="Arial"/>
          <w:i/>
          <w:sz w:val="20"/>
          <w:szCs w:val="20"/>
        </w:rPr>
      </w:pPr>
      <w:r w:rsidRPr="00385B50">
        <w:rPr>
          <w:rFonts w:ascii="Arial" w:hAnsi="Arial" w:cs="Arial"/>
          <w:i/>
          <w:sz w:val="20"/>
          <w:szCs w:val="20"/>
        </w:rPr>
        <w:t>Source: Bank of Lithuania.</w:t>
      </w:r>
    </w:p>
    <w:p w:rsidR="001D466D" w:rsidRPr="00385B50" w:rsidRDefault="001D466D" w:rsidP="001D466D">
      <w:pPr>
        <w:spacing w:before="60" w:after="60" w:line="312" w:lineRule="auto"/>
        <w:jc w:val="both"/>
        <w:rPr>
          <w:rFonts w:ascii="Arial" w:hAnsi="Arial" w:cs="Arial"/>
          <w:sz w:val="20"/>
          <w:szCs w:val="20"/>
        </w:rPr>
      </w:pPr>
    </w:p>
    <w:p w:rsidR="001D466D" w:rsidRPr="00385B50" w:rsidRDefault="001D466D" w:rsidP="001D466D">
      <w:pPr>
        <w:spacing w:before="60" w:after="60" w:line="312" w:lineRule="auto"/>
        <w:jc w:val="both"/>
        <w:rPr>
          <w:rFonts w:ascii="Arial" w:hAnsi="Arial" w:cs="Arial"/>
          <w:sz w:val="20"/>
          <w:szCs w:val="20"/>
        </w:rPr>
      </w:pPr>
      <w:r w:rsidRPr="00385B50">
        <w:rPr>
          <w:rFonts w:ascii="Arial" w:hAnsi="Arial" w:cs="Arial"/>
          <w:sz w:val="20"/>
          <w:szCs w:val="20"/>
        </w:rPr>
        <w:t xml:space="preserve">The deposits of Lithuanian residents, excluding MFIs, decreased by EUR 100.0 million — to EUR 16.7 billion at the end of the month. Overnight deposits, deposits with agreed maturity and deposits redeemable at notice contracted by EUR 51.5 million, EUR 41.5 million and EUR 7.1 million respectively. Deposits of non-financial corporations and households decreased by EUR 230.0 million, while deposits of the </w:t>
      </w:r>
      <w:r w:rsidR="005C6DA4">
        <w:rPr>
          <w:rFonts w:ascii="Arial" w:hAnsi="Arial" w:cs="Arial"/>
          <w:sz w:val="20"/>
          <w:szCs w:val="20"/>
        </w:rPr>
        <w:t xml:space="preserve">general </w:t>
      </w:r>
      <w:r w:rsidRPr="00385B50">
        <w:rPr>
          <w:rFonts w:ascii="Arial" w:hAnsi="Arial" w:cs="Arial"/>
          <w:sz w:val="20"/>
          <w:szCs w:val="20"/>
        </w:rPr>
        <w:t>government sector, investment funds and other financial intermediaries, as well as insurance corporations and pension funds increased by EUR 114.6 million, EUR 11.6 million and EUR 3.8 million respectively — to EUR 1.2 billion, EUR 173.0 billion and EUR 270.0 million.</w:t>
      </w:r>
    </w:p>
    <w:p w:rsidR="001D466D" w:rsidRPr="00385B50" w:rsidRDefault="001D466D" w:rsidP="001D466D">
      <w:pPr>
        <w:spacing w:before="240" w:after="60" w:line="20" w:lineRule="atLeast"/>
        <w:jc w:val="both"/>
        <w:rPr>
          <w:rFonts w:ascii="Arial" w:hAnsi="Arial" w:cs="Arial"/>
          <w:i/>
          <w:sz w:val="20"/>
          <w:szCs w:val="20"/>
        </w:rPr>
      </w:pPr>
      <w:proofErr w:type="gramStart"/>
      <w:r w:rsidRPr="00385B50">
        <w:rPr>
          <w:rFonts w:ascii="Arial" w:hAnsi="Arial" w:cs="Arial"/>
          <w:i/>
          <w:sz w:val="20"/>
          <w:szCs w:val="20"/>
        </w:rPr>
        <w:t>Chart 2.</w:t>
      </w:r>
      <w:proofErr w:type="gramEnd"/>
      <w:r w:rsidRPr="00385B50">
        <w:rPr>
          <w:rFonts w:ascii="Arial" w:hAnsi="Arial" w:cs="Arial"/>
          <w:i/>
          <w:sz w:val="20"/>
          <w:szCs w:val="20"/>
        </w:rPr>
        <w:t xml:space="preserve"> Deposits of Lithuanian residents, excluding MFIs</w:t>
      </w:r>
    </w:p>
    <w:p w:rsidR="001D466D" w:rsidRPr="00385B50" w:rsidRDefault="001D466D" w:rsidP="001D466D">
      <w:pPr>
        <w:spacing w:line="20" w:lineRule="atLeast"/>
        <w:rPr>
          <w:rFonts w:ascii="Arial" w:hAnsi="Arial" w:cs="Arial"/>
          <w:bCs/>
          <w:iCs/>
          <w:sz w:val="20"/>
          <w:szCs w:val="20"/>
        </w:rPr>
      </w:pPr>
      <w:r w:rsidRPr="00385B50">
        <w:rPr>
          <w:rFonts w:ascii="Arial" w:hAnsi="Arial" w:cs="Arial"/>
          <w:sz w:val="20"/>
          <w:szCs w:val="20"/>
        </w:rPr>
        <w:t>(</w:t>
      </w:r>
      <w:proofErr w:type="gramStart"/>
      <w:r w:rsidRPr="00385B50">
        <w:rPr>
          <w:rFonts w:ascii="Arial" w:hAnsi="Arial" w:cs="Arial"/>
          <w:sz w:val="20"/>
          <w:szCs w:val="20"/>
        </w:rPr>
        <w:t>outstanding</w:t>
      </w:r>
      <w:proofErr w:type="gramEnd"/>
      <w:r w:rsidRPr="00385B50">
        <w:rPr>
          <w:rFonts w:ascii="Arial" w:hAnsi="Arial" w:cs="Arial"/>
          <w:sz w:val="20"/>
          <w:szCs w:val="20"/>
        </w:rPr>
        <w:t xml:space="preserve"> amounts, end-of-period)</w:t>
      </w:r>
    </w:p>
    <w:p w:rsidR="001D466D" w:rsidRPr="00385B50" w:rsidRDefault="005D082D" w:rsidP="001D466D">
      <w:pPr>
        <w:spacing w:before="60" w:after="60" w:line="312" w:lineRule="auto"/>
        <w:jc w:val="both"/>
        <w:rPr>
          <w:rFonts w:ascii="Arial" w:hAnsi="Arial" w:cs="Arial"/>
          <w:sz w:val="20"/>
          <w:szCs w:val="20"/>
        </w:rPr>
      </w:pPr>
      <w:r w:rsidRPr="005D082D">
        <w:drawing>
          <wp:inline distT="0" distB="0" distL="0" distR="0">
            <wp:extent cx="5056625" cy="304512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6844" cy="3045256"/>
                    </a:xfrm>
                    <a:prstGeom prst="rect">
                      <a:avLst/>
                    </a:prstGeom>
                    <a:noFill/>
                    <a:ln>
                      <a:noFill/>
                    </a:ln>
                  </pic:spPr>
                </pic:pic>
              </a:graphicData>
            </a:graphic>
          </wp:inline>
        </w:drawing>
      </w:r>
    </w:p>
    <w:p w:rsidR="001D466D" w:rsidRPr="00385B50" w:rsidRDefault="001D466D" w:rsidP="001D466D">
      <w:pPr>
        <w:spacing w:before="60" w:after="60" w:line="312" w:lineRule="auto"/>
        <w:jc w:val="both"/>
        <w:rPr>
          <w:rFonts w:ascii="Arial" w:hAnsi="Arial" w:cs="Arial"/>
          <w:i/>
          <w:sz w:val="20"/>
          <w:szCs w:val="20"/>
        </w:rPr>
      </w:pPr>
      <w:r w:rsidRPr="00385B50">
        <w:rPr>
          <w:rFonts w:ascii="Arial" w:hAnsi="Arial" w:cs="Arial"/>
          <w:i/>
          <w:sz w:val="20"/>
          <w:szCs w:val="20"/>
        </w:rPr>
        <w:t>Source: Bank of Lithuania.</w:t>
      </w:r>
    </w:p>
    <w:p w:rsidR="001D466D" w:rsidRPr="00385B50" w:rsidRDefault="001D466D" w:rsidP="001D466D">
      <w:pPr>
        <w:spacing w:before="60" w:after="60" w:line="312" w:lineRule="auto"/>
        <w:jc w:val="both"/>
        <w:rPr>
          <w:rFonts w:ascii="Arial" w:hAnsi="Arial" w:cs="Arial"/>
          <w:i/>
          <w:sz w:val="20"/>
          <w:szCs w:val="20"/>
        </w:rPr>
      </w:pPr>
    </w:p>
    <w:p w:rsidR="001D466D" w:rsidRPr="00385B50" w:rsidRDefault="001D466D" w:rsidP="001D466D">
      <w:pPr>
        <w:spacing w:before="60" w:after="60" w:line="312" w:lineRule="auto"/>
        <w:jc w:val="both"/>
        <w:rPr>
          <w:rFonts w:ascii="Arial" w:hAnsi="Arial" w:cs="Arial"/>
          <w:sz w:val="20"/>
          <w:szCs w:val="20"/>
        </w:rPr>
      </w:pPr>
      <w:r w:rsidRPr="00385B50">
        <w:rPr>
          <w:rFonts w:ascii="Arial" w:hAnsi="Arial" w:cs="Arial"/>
          <w:sz w:val="20"/>
          <w:szCs w:val="20"/>
        </w:rPr>
        <w:t>Overnight deposits, deposits with agreed maturity and deposits redeemable at notice of Lithuanian non-financial corporations contracted by EUR 267</w:t>
      </w:r>
      <w:r w:rsidR="005C6DA4">
        <w:rPr>
          <w:rFonts w:ascii="Arial" w:hAnsi="Arial" w:cs="Arial"/>
          <w:sz w:val="20"/>
          <w:szCs w:val="20"/>
        </w:rPr>
        <w:t>.0</w:t>
      </w:r>
      <w:r w:rsidRPr="00385B50">
        <w:rPr>
          <w:rFonts w:ascii="Arial" w:hAnsi="Arial" w:cs="Arial"/>
          <w:sz w:val="20"/>
          <w:szCs w:val="20"/>
        </w:rPr>
        <w:t xml:space="preserve"> million, EUR 16.7 million and EUR 4.6 million respectively over the month — to EUR 4.5 </w:t>
      </w:r>
      <w:r w:rsidR="005C6DA4">
        <w:rPr>
          <w:rFonts w:ascii="Arial" w:hAnsi="Arial" w:cs="Arial"/>
          <w:sz w:val="20"/>
          <w:szCs w:val="20"/>
        </w:rPr>
        <w:t>b</w:t>
      </w:r>
      <w:r w:rsidRPr="00385B50">
        <w:rPr>
          <w:rFonts w:ascii="Arial" w:hAnsi="Arial" w:cs="Arial"/>
          <w:sz w:val="20"/>
          <w:szCs w:val="20"/>
        </w:rPr>
        <w:t>illion, EUR 165.6 million and EUR 37.0 million respectively. Lithuanian households</w:t>
      </w:r>
      <w:r>
        <w:rPr>
          <w:rFonts w:ascii="Arial" w:hAnsi="Arial" w:cs="Arial"/>
          <w:sz w:val="20"/>
          <w:szCs w:val="20"/>
        </w:rPr>
        <w:t>’</w:t>
      </w:r>
      <w:r w:rsidRPr="00385B50">
        <w:rPr>
          <w:rFonts w:ascii="Arial" w:hAnsi="Arial" w:cs="Arial"/>
          <w:sz w:val="20"/>
          <w:szCs w:val="20"/>
        </w:rPr>
        <w:t xml:space="preserve"> overnight deposits grew by EUR 84.0 million, while deposits with agreed maturity and deposits redeemable at notice decreased by EUR 23.2 million and EUR 2.5 million over the month. At the end of the month, these household deposits amounted to EUR 6.6 billion, EUR 3.7 billion and EUR 221.5 million respectively. </w:t>
      </w:r>
    </w:p>
    <w:p w:rsidR="001D466D" w:rsidRPr="00385B50" w:rsidRDefault="001D466D" w:rsidP="001D466D">
      <w:pPr>
        <w:spacing w:before="60" w:after="60" w:line="312" w:lineRule="auto"/>
        <w:jc w:val="both"/>
        <w:rPr>
          <w:rFonts w:ascii="Arial" w:hAnsi="Arial" w:cs="Arial"/>
          <w:sz w:val="20"/>
          <w:szCs w:val="20"/>
        </w:rPr>
      </w:pPr>
      <w:r w:rsidRPr="00385B50">
        <w:rPr>
          <w:rFonts w:ascii="Arial" w:hAnsi="Arial" w:cs="Arial"/>
          <w:sz w:val="20"/>
          <w:szCs w:val="20"/>
        </w:rPr>
        <w:t>Deposits of Lithuanian non-financial corporations with an agreed maturity of up to 1 year, of over 1 up to 2 years and of over 2 years decreased by EUR 10.1 million, EUR 5.8 million and EUR 0.7 million respectively over the month — to EUR 86.7 million, EUR 60.4 million and EUR 18.6 million respectively at the end of the month. Deposits of Lithuanian households with an agreed maturity of up to 1 year contracted by EUR 37.6 million, while deposits with an agreed maturity of over 1 and up to 2 years and of over 2 years increased by EUR 11.1 million and EUR 3.3 million respectively. At the end of the month, household deposits with an agreed maturity of up to 1 year, of over 1 and up to 2 years and of over 2 years amounted to EUR 2.7 billion, EUR 748.4 million and EUR 281.0 million respectively.</w:t>
      </w:r>
    </w:p>
    <w:p w:rsidR="001D466D" w:rsidRPr="00385B50" w:rsidRDefault="001D466D" w:rsidP="001D466D">
      <w:pPr>
        <w:spacing w:before="240" w:line="276" w:lineRule="auto"/>
        <w:jc w:val="both"/>
        <w:rPr>
          <w:rFonts w:ascii="Arial" w:hAnsi="Arial" w:cs="Arial"/>
          <w:sz w:val="20"/>
          <w:szCs w:val="20"/>
        </w:rPr>
      </w:pPr>
      <w:r w:rsidRPr="00385B50">
        <w:rPr>
          <w:rFonts w:ascii="Arial" w:hAnsi="Arial" w:cs="Arial"/>
          <w:b/>
          <w:sz w:val="20"/>
          <w:szCs w:val="20"/>
        </w:rPr>
        <w:t>Notes</w:t>
      </w:r>
    </w:p>
    <w:p w:rsidR="001D466D" w:rsidRPr="00385B50" w:rsidRDefault="001D466D" w:rsidP="001D466D">
      <w:pPr>
        <w:numPr>
          <w:ilvl w:val="0"/>
          <w:numId w:val="2"/>
        </w:numPr>
        <w:spacing w:before="60" w:after="60" w:line="312" w:lineRule="auto"/>
        <w:ind w:left="567" w:hanging="567"/>
        <w:jc w:val="both"/>
        <w:rPr>
          <w:rFonts w:ascii="Arial" w:hAnsi="Arial" w:cs="Arial"/>
          <w:sz w:val="20"/>
          <w:szCs w:val="20"/>
        </w:rPr>
      </w:pPr>
      <w:r w:rsidRPr="00385B50">
        <w:rPr>
          <w:rFonts w:ascii="Arial" w:hAnsi="Arial" w:cs="Arial"/>
          <w:sz w:val="20"/>
          <w:szCs w:val="20"/>
        </w:rPr>
        <w:t>Unless otherwise specified, monthly changes in euro are presented in the Survey as transactions, i.e. they are calculated by taking the difference between end-of-month outstanding amounts and then removing the effects of revaluation adjustments, exchange rate adjustments, writing loans off and reclassifications.</w:t>
      </w:r>
    </w:p>
    <w:p w:rsidR="001D466D" w:rsidRPr="00385B50" w:rsidRDefault="005C6DA4" w:rsidP="001D466D">
      <w:pPr>
        <w:numPr>
          <w:ilvl w:val="0"/>
          <w:numId w:val="2"/>
        </w:numPr>
        <w:spacing w:before="60" w:after="60" w:line="312" w:lineRule="auto"/>
        <w:ind w:left="567" w:hanging="567"/>
        <w:jc w:val="both"/>
        <w:rPr>
          <w:rFonts w:ascii="Arial" w:hAnsi="Arial" w:cs="Arial"/>
          <w:sz w:val="20"/>
          <w:szCs w:val="20"/>
        </w:rPr>
      </w:pPr>
      <w:r>
        <w:rPr>
          <w:rFonts w:ascii="Arial" w:hAnsi="Arial" w:cs="Arial"/>
          <w:sz w:val="20"/>
          <w:szCs w:val="20"/>
        </w:rPr>
        <w:t>Currency</w:t>
      </w:r>
      <w:r w:rsidR="001D466D" w:rsidRPr="00385B50">
        <w:rPr>
          <w:rFonts w:ascii="Arial" w:hAnsi="Arial" w:cs="Arial"/>
          <w:sz w:val="20"/>
          <w:szCs w:val="20"/>
        </w:rPr>
        <w:t xml:space="preserve"> in circulation (definition for statistical purposes) — the share of the Bank of Lithuania in the </w:t>
      </w:r>
      <w:proofErr w:type="spellStart"/>
      <w:r w:rsidR="001D466D" w:rsidRPr="00385B50">
        <w:rPr>
          <w:rFonts w:ascii="Arial" w:hAnsi="Arial" w:cs="Arial"/>
          <w:sz w:val="20"/>
          <w:szCs w:val="20"/>
        </w:rPr>
        <w:t>Eurosystem</w:t>
      </w:r>
      <w:r w:rsidR="001D466D">
        <w:rPr>
          <w:rFonts w:ascii="Arial" w:hAnsi="Arial" w:cs="Arial"/>
          <w:sz w:val="20"/>
          <w:szCs w:val="20"/>
        </w:rPr>
        <w:t>’</w:t>
      </w:r>
      <w:r w:rsidR="001D466D" w:rsidRPr="00385B50">
        <w:rPr>
          <w:rFonts w:ascii="Arial" w:hAnsi="Arial" w:cs="Arial"/>
          <w:sz w:val="20"/>
          <w:szCs w:val="20"/>
        </w:rPr>
        <w:t>s</w:t>
      </w:r>
      <w:proofErr w:type="spellEnd"/>
      <w:r w:rsidR="001D466D" w:rsidRPr="00385B50">
        <w:rPr>
          <w:rFonts w:ascii="Arial" w:hAnsi="Arial" w:cs="Arial"/>
          <w:sz w:val="20"/>
          <w:szCs w:val="20"/>
        </w:rPr>
        <w:t xml:space="preserve"> total issue of euro banknotes and the euro coins issued by the Bank of Lithuania. The total value of euro banknotes is allocated to each central bank, a participant of the </w:t>
      </w:r>
      <w:proofErr w:type="spellStart"/>
      <w:r w:rsidR="001D466D" w:rsidRPr="00385B50">
        <w:rPr>
          <w:rFonts w:ascii="Arial" w:hAnsi="Arial" w:cs="Arial"/>
          <w:sz w:val="20"/>
          <w:szCs w:val="20"/>
        </w:rPr>
        <w:t>Eurosystem</w:t>
      </w:r>
      <w:proofErr w:type="spellEnd"/>
      <w:r w:rsidR="001D466D" w:rsidRPr="00385B50">
        <w:rPr>
          <w:rFonts w:ascii="Arial" w:hAnsi="Arial" w:cs="Arial"/>
          <w:sz w:val="20"/>
          <w:szCs w:val="20"/>
        </w:rPr>
        <w:t xml:space="preserve">, by applying the subscribed capital key, as provided for in the 13 December 2010 Decision ECB/2010/29 on the issue of euro banknotes (and its subsequent amendments). Until December 2015 </w:t>
      </w:r>
      <w:r>
        <w:rPr>
          <w:rFonts w:ascii="Arial" w:hAnsi="Arial" w:cs="Arial"/>
          <w:sz w:val="20"/>
          <w:szCs w:val="20"/>
        </w:rPr>
        <w:t>currency</w:t>
      </w:r>
      <w:r w:rsidR="001D466D" w:rsidRPr="00385B50">
        <w:rPr>
          <w:rFonts w:ascii="Arial" w:hAnsi="Arial" w:cs="Arial"/>
          <w:sz w:val="20"/>
          <w:szCs w:val="20"/>
        </w:rPr>
        <w:t xml:space="preserve"> in circulation included </w:t>
      </w:r>
      <w:proofErr w:type="spellStart"/>
      <w:r w:rsidR="001D466D" w:rsidRPr="00385B50">
        <w:rPr>
          <w:rFonts w:ascii="Arial" w:hAnsi="Arial" w:cs="Arial"/>
          <w:sz w:val="20"/>
          <w:szCs w:val="20"/>
        </w:rPr>
        <w:t>litas</w:t>
      </w:r>
      <w:proofErr w:type="spellEnd"/>
      <w:r w:rsidR="001D466D" w:rsidRPr="00385B50">
        <w:rPr>
          <w:rFonts w:ascii="Arial" w:hAnsi="Arial" w:cs="Arial"/>
          <w:sz w:val="20"/>
          <w:szCs w:val="20"/>
        </w:rPr>
        <w:t xml:space="preserve"> banknotes and coins that had not been withdrawn from circulation.</w:t>
      </w:r>
    </w:p>
    <w:p w:rsidR="001D466D" w:rsidRPr="00385B50" w:rsidRDefault="001D466D" w:rsidP="001D466D">
      <w:pPr>
        <w:numPr>
          <w:ilvl w:val="0"/>
          <w:numId w:val="2"/>
        </w:numPr>
        <w:spacing w:before="60" w:after="60" w:line="312" w:lineRule="auto"/>
        <w:ind w:left="567" w:hanging="567"/>
        <w:jc w:val="both"/>
        <w:rPr>
          <w:rFonts w:ascii="Arial" w:hAnsi="Arial" w:cs="Arial"/>
          <w:sz w:val="20"/>
          <w:szCs w:val="20"/>
        </w:rPr>
      </w:pPr>
      <w:r w:rsidRPr="00385B50">
        <w:rPr>
          <w:rFonts w:ascii="Arial" w:hAnsi="Arial" w:cs="Arial"/>
          <w:sz w:val="20"/>
          <w:szCs w:val="20"/>
        </w:rPr>
        <w:t>In Charts 1 and 2, the financial sector consists of Lithuania</w:t>
      </w:r>
      <w:r>
        <w:rPr>
          <w:rFonts w:ascii="Arial" w:hAnsi="Arial" w:cs="Arial"/>
          <w:sz w:val="20"/>
          <w:szCs w:val="20"/>
        </w:rPr>
        <w:t>’</w:t>
      </w:r>
      <w:r w:rsidRPr="00385B50">
        <w:rPr>
          <w:rFonts w:ascii="Arial" w:hAnsi="Arial" w:cs="Arial"/>
          <w:sz w:val="20"/>
          <w:szCs w:val="20"/>
        </w:rPr>
        <w:t xml:space="preserve">s investment funds and other financial intermediaries, as well as insurance corporations and pension funds. </w:t>
      </w:r>
    </w:p>
    <w:p w:rsidR="001D466D" w:rsidRPr="00385B50" w:rsidRDefault="001D466D" w:rsidP="001D466D">
      <w:pPr>
        <w:numPr>
          <w:ilvl w:val="0"/>
          <w:numId w:val="2"/>
        </w:numPr>
        <w:spacing w:before="60" w:after="60" w:line="312" w:lineRule="auto"/>
        <w:ind w:left="567" w:hanging="567"/>
        <w:jc w:val="both"/>
        <w:rPr>
          <w:rFonts w:ascii="Arial" w:hAnsi="Arial" w:cs="Arial"/>
          <w:sz w:val="20"/>
          <w:szCs w:val="20"/>
        </w:rPr>
      </w:pPr>
      <w:r w:rsidRPr="00385B50">
        <w:rPr>
          <w:rFonts w:ascii="Arial" w:hAnsi="Arial" w:cs="Arial"/>
          <w:sz w:val="20"/>
          <w:szCs w:val="20"/>
        </w:rPr>
        <w:t>For the terms used in the Survey and detailed data see the website of the Bank of Lithuania (</w:t>
      </w:r>
      <w:hyperlink r:id="rId11" w:history="1">
        <w:r w:rsidR="005C6DA4" w:rsidRPr="00937F17">
          <w:rPr>
            <w:rStyle w:val="Hyperlink"/>
            <w:rFonts w:ascii="Arial" w:hAnsi="Arial" w:cs="Arial"/>
            <w:sz w:val="20"/>
            <w:szCs w:val="20"/>
          </w:rPr>
          <w:t>http://www.lb.lt/methodological_notes_2</w:t>
        </w:r>
      </w:hyperlink>
      <w:r w:rsidRPr="00385B50">
        <w:rPr>
          <w:rFonts w:ascii="Arial" w:hAnsi="Arial" w:cs="Arial"/>
          <w:sz w:val="20"/>
          <w:szCs w:val="20"/>
        </w:rPr>
        <w:t>).</w:t>
      </w:r>
    </w:p>
    <w:p w:rsidR="001D466D" w:rsidRPr="00385B50" w:rsidRDefault="001D466D" w:rsidP="001D466D">
      <w:pPr>
        <w:spacing w:after="200" w:line="276" w:lineRule="auto"/>
        <w:jc w:val="right"/>
        <w:rPr>
          <w:rFonts w:ascii="Arial" w:eastAsia="Calibri" w:hAnsi="Arial" w:cs="Arial"/>
          <w:sz w:val="20"/>
          <w:szCs w:val="20"/>
        </w:rPr>
      </w:pPr>
      <w:bookmarkStart w:id="0" w:name="_GoBack"/>
      <w:bookmarkEnd w:id="0"/>
    </w:p>
    <w:p w:rsidR="001D466D" w:rsidRPr="00385B50" w:rsidRDefault="001D466D" w:rsidP="001D466D">
      <w:pPr>
        <w:spacing w:after="200" w:line="276" w:lineRule="auto"/>
        <w:jc w:val="right"/>
        <w:rPr>
          <w:rFonts w:ascii="Arial" w:eastAsia="Calibri" w:hAnsi="Arial" w:cs="Arial"/>
          <w:sz w:val="20"/>
          <w:szCs w:val="20"/>
        </w:rPr>
      </w:pPr>
    </w:p>
    <w:p w:rsidR="001D466D" w:rsidRPr="00385B50" w:rsidRDefault="001D466D" w:rsidP="001D466D">
      <w:pPr>
        <w:spacing w:after="200" w:line="276" w:lineRule="auto"/>
        <w:jc w:val="right"/>
        <w:rPr>
          <w:rFonts w:ascii="Arial" w:eastAsia="Calibri" w:hAnsi="Arial" w:cs="Arial"/>
          <w:sz w:val="20"/>
          <w:szCs w:val="20"/>
        </w:rPr>
      </w:pPr>
      <w:r w:rsidRPr="00385B50">
        <w:rPr>
          <w:rFonts w:ascii="Arial" w:hAnsi="Arial" w:cs="Arial"/>
          <w:sz w:val="20"/>
          <w:szCs w:val="20"/>
        </w:rPr>
        <w:t>Statistics Department</w:t>
      </w:r>
    </w:p>
    <w:p w:rsidR="001D466D" w:rsidRPr="00385B50" w:rsidRDefault="001D466D" w:rsidP="001D466D">
      <w:pPr>
        <w:spacing w:after="200" w:line="276" w:lineRule="auto"/>
        <w:jc w:val="right"/>
        <w:rPr>
          <w:rFonts w:ascii="Arial" w:eastAsia="Calibri" w:hAnsi="Arial" w:cs="Arial"/>
          <w:sz w:val="20"/>
          <w:szCs w:val="20"/>
        </w:rPr>
      </w:pPr>
      <w:r w:rsidRPr="00385B50">
        <w:rPr>
          <w:rFonts w:ascii="Arial" w:hAnsi="Arial" w:cs="Arial"/>
          <w:sz w:val="20"/>
          <w:szCs w:val="20"/>
        </w:rPr>
        <w:t>Economics and Financial Stability Service</w:t>
      </w:r>
    </w:p>
    <w:p w:rsidR="001D466D" w:rsidRPr="00385B50" w:rsidRDefault="001D466D" w:rsidP="001D466D">
      <w:pPr>
        <w:spacing w:after="200" w:line="276" w:lineRule="auto"/>
        <w:rPr>
          <w:rFonts w:ascii="Arial" w:eastAsia="Calibri" w:hAnsi="Arial" w:cs="Arial"/>
          <w:sz w:val="20"/>
          <w:szCs w:val="20"/>
        </w:rPr>
      </w:pPr>
    </w:p>
    <w:p w:rsidR="001D466D" w:rsidRPr="00385B50" w:rsidRDefault="001D466D" w:rsidP="001D466D">
      <w:pPr>
        <w:rPr>
          <w:rFonts w:ascii="Arial" w:hAnsi="Arial" w:cs="Arial"/>
          <w:sz w:val="20"/>
          <w:szCs w:val="20"/>
        </w:rPr>
      </w:pPr>
    </w:p>
    <w:p w:rsidR="00211928" w:rsidRPr="001D466D" w:rsidRDefault="00211928" w:rsidP="001D466D">
      <w:pPr>
        <w:rPr>
          <w:rFonts w:eastAsia="Calibri"/>
        </w:rPr>
      </w:pPr>
    </w:p>
    <w:sectPr w:rsidR="00211928" w:rsidRPr="001D466D" w:rsidSect="00211928">
      <w:footerReference w:type="default" r:id="rId12"/>
      <w:headerReference w:type="first" r:id="rId13"/>
      <w:pgSz w:w="11906" w:h="16838"/>
      <w:pgMar w:top="1078" w:right="566" w:bottom="993"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28B" w:rsidRDefault="0098328B">
      <w:r>
        <w:separator/>
      </w:r>
    </w:p>
  </w:endnote>
  <w:endnote w:type="continuationSeparator" w:id="0">
    <w:p w:rsidR="0098328B" w:rsidRDefault="0098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928" w:rsidRDefault="00211928">
    <w:pPr>
      <w:pStyle w:val="Footer"/>
      <w:jc w:val="right"/>
    </w:pPr>
    <w:r>
      <w:fldChar w:fldCharType="begin"/>
    </w:r>
    <w:r>
      <w:instrText xml:space="preserve"> PAGE   \* MERGEFORMAT </w:instrText>
    </w:r>
    <w:r>
      <w:fldChar w:fldCharType="separate"/>
    </w:r>
    <w:r w:rsidR="005C6DA4">
      <w:rPr>
        <w:noProof/>
      </w:rPr>
      <w:t>3</w:t>
    </w:r>
    <w:r>
      <w:fldChar w:fldCharType="end"/>
    </w:r>
  </w:p>
  <w:p w:rsidR="00211928" w:rsidRDefault="002119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28B" w:rsidRDefault="0098328B">
      <w:r>
        <w:separator/>
      </w:r>
    </w:p>
  </w:footnote>
  <w:footnote w:type="continuationSeparator" w:id="0">
    <w:p w:rsidR="0098328B" w:rsidRDefault="009832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928" w:rsidRDefault="00BC0259" w:rsidP="00211928">
    <w:pPr>
      <w:pStyle w:val="Header"/>
      <w:jc w:val="center"/>
    </w:pPr>
    <w:r>
      <w:rPr>
        <w:noProof/>
        <w:lang w:val="lt-LT" w:eastAsia="lt-LT"/>
      </w:rPr>
      <w:drawing>
        <wp:inline distT="0" distB="0" distL="0" distR="0">
          <wp:extent cx="6193766" cy="9352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1550" cy="9363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D5A1E"/>
    <w:multiLevelType w:val="hybridMultilevel"/>
    <w:tmpl w:val="EA765D8A"/>
    <w:lvl w:ilvl="0" w:tplc="C3CE487C">
      <w:start w:val="1"/>
      <w:numFmt w:val="decimal"/>
      <w:lvlText w:val="%1."/>
      <w:lvlJc w:val="left"/>
      <w:pPr>
        <w:ind w:left="1287" w:hanging="360"/>
      </w:pPr>
    </w:lvl>
    <w:lvl w:ilvl="1" w:tplc="321CD9B0" w:tentative="1">
      <w:start w:val="1"/>
      <w:numFmt w:val="lowerLetter"/>
      <w:lvlText w:val="%2."/>
      <w:lvlJc w:val="left"/>
      <w:pPr>
        <w:ind w:left="2007" w:hanging="360"/>
      </w:pPr>
    </w:lvl>
    <w:lvl w:ilvl="2" w:tplc="C7DE0526" w:tentative="1">
      <w:start w:val="1"/>
      <w:numFmt w:val="lowerRoman"/>
      <w:lvlText w:val="%3."/>
      <w:lvlJc w:val="right"/>
      <w:pPr>
        <w:ind w:left="2727" w:hanging="180"/>
      </w:pPr>
    </w:lvl>
    <w:lvl w:ilvl="3" w:tplc="EB94245E" w:tentative="1">
      <w:start w:val="1"/>
      <w:numFmt w:val="decimal"/>
      <w:lvlText w:val="%4."/>
      <w:lvlJc w:val="left"/>
      <w:pPr>
        <w:ind w:left="3447" w:hanging="360"/>
      </w:pPr>
    </w:lvl>
    <w:lvl w:ilvl="4" w:tplc="85C0BB20" w:tentative="1">
      <w:start w:val="1"/>
      <w:numFmt w:val="lowerLetter"/>
      <w:lvlText w:val="%5."/>
      <w:lvlJc w:val="left"/>
      <w:pPr>
        <w:ind w:left="4167" w:hanging="360"/>
      </w:pPr>
    </w:lvl>
    <w:lvl w:ilvl="5" w:tplc="6BD2F0B8" w:tentative="1">
      <w:start w:val="1"/>
      <w:numFmt w:val="lowerRoman"/>
      <w:lvlText w:val="%6."/>
      <w:lvlJc w:val="right"/>
      <w:pPr>
        <w:ind w:left="4887" w:hanging="180"/>
      </w:pPr>
    </w:lvl>
    <w:lvl w:ilvl="6" w:tplc="736453DE" w:tentative="1">
      <w:start w:val="1"/>
      <w:numFmt w:val="decimal"/>
      <w:lvlText w:val="%7."/>
      <w:lvlJc w:val="left"/>
      <w:pPr>
        <w:ind w:left="5607" w:hanging="360"/>
      </w:pPr>
    </w:lvl>
    <w:lvl w:ilvl="7" w:tplc="DF6E1CE6" w:tentative="1">
      <w:start w:val="1"/>
      <w:numFmt w:val="lowerLetter"/>
      <w:lvlText w:val="%8."/>
      <w:lvlJc w:val="left"/>
      <w:pPr>
        <w:ind w:left="6327" w:hanging="360"/>
      </w:pPr>
    </w:lvl>
    <w:lvl w:ilvl="8" w:tplc="F9CA71DC" w:tentative="1">
      <w:start w:val="1"/>
      <w:numFmt w:val="lowerRoman"/>
      <w:lvlText w:val="%9."/>
      <w:lvlJc w:val="right"/>
      <w:pPr>
        <w:ind w:left="7047" w:hanging="180"/>
      </w:pPr>
    </w:lvl>
  </w:abstractNum>
  <w:abstractNum w:abstractNumId="1">
    <w:nsid w:val="73F4272F"/>
    <w:multiLevelType w:val="hybridMultilevel"/>
    <w:tmpl w:val="C8841B94"/>
    <w:lvl w:ilvl="0" w:tplc="BE6498A8">
      <w:start w:val="1"/>
      <w:numFmt w:val="decimal"/>
      <w:lvlText w:val="%1."/>
      <w:lvlJc w:val="left"/>
      <w:pPr>
        <w:tabs>
          <w:tab w:val="num" w:pos="1699"/>
        </w:tabs>
        <w:ind w:left="1699" w:hanging="990"/>
      </w:pPr>
      <w:rPr>
        <w:rFonts w:hint="default"/>
      </w:rPr>
    </w:lvl>
    <w:lvl w:ilvl="1" w:tplc="F00A31F4" w:tentative="1">
      <w:start w:val="1"/>
      <w:numFmt w:val="lowerLetter"/>
      <w:lvlText w:val="%2."/>
      <w:lvlJc w:val="left"/>
      <w:pPr>
        <w:tabs>
          <w:tab w:val="num" w:pos="1789"/>
        </w:tabs>
        <w:ind w:left="1789" w:hanging="360"/>
      </w:pPr>
    </w:lvl>
    <w:lvl w:ilvl="2" w:tplc="A94EBA22" w:tentative="1">
      <w:start w:val="1"/>
      <w:numFmt w:val="lowerRoman"/>
      <w:lvlText w:val="%3."/>
      <w:lvlJc w:val="right"/>
      <w:pPr>
        <w:tabs>
          <w:tab w:val="num" w:pos="2509"/>
        </w:tabs>
        <w:ind w:left="2509" w:hanging="180"/>
      </w:pPr>
    </w:lvl>
    <w:lvl w:ilvl="3" w:tplc="49FA90C4" w:tentative="1">
      <w:start w:val="1"/>
      <w:numFmt w:val="decimal"/>
      <w:lvlText w:val="%4."/>
      <w:lvlJc w:val="left"/>
      <w:pPr>
        <w:tabs>
          <w:tab w:val="num" w:pos="3229"/>
        </w:tabs>
        <w:ind w:left="3229" w:hanging="360"/>
      </w:pPr>
    </w:lvl>
    <w:lvl w:ilvl="4" w:tplc="422CE04A" w:tentative="1">
      <w:start w:val="1"/>
      <w:numFmt w:val="lowerLetter"/>
      <w:lvlText w:val="%5."/>
      <w:lvlJc w:val="left"/>
      <w:pPr>
        <w:tabs>
          <w:tab w:val="num" w:pos="3949"/>
        </w:tabs>
        <w:ind w:left="3949" w:hanging="360"/>
      </w:pPr>
    </w:lvl>
    <w:lvl w:ilvl="5" w:tplc="2C7CFF9E" w:tentative="1">
      <w:start w:val="1"/>
      <w:numFmt w:val="lowerRoman"/>
      <w:lvlText w:val="%6."/>
      <w:lvlJc w:val="right"/>
      <w:pPr>
        <w:tabs>
          <w:tab w:val="num" w:pos="4669"/>
        </w:tabs>
        <w:ind w:left="4669" w:hanging="180"/>
      </w:pPr>
    </w:lvl>
    <w:lvl w:ilvl="6" w:tplc="EE002246" w:tentative="1">
      <w:start w:val="1"/>
      <w:numFmt w:val="decimal"/>
      <w:lvlText w:val="%7."/>
      <w:lvlJc w:val="left"/>
      <w:pPr>
        <w:tabs>
          <w:tab w:val="num" w:pos="5389"/>
        </w:tabs>
        <w:ind w:left="5389" w:hanging="360"/>
      </w:pPr>
    </w:lvl>
    <w:lvl w:ilvl="7" w:tplc="27E294C0" w:tentative="1">
      <w:start w:val="1"/>
      <w:numFmt w:val="lowerLetter"/>
      <w:lvlText w:val="%8."/>
      <w:lvlJc w:val="left"/>
      <w:pPr>
        <w:tabs>
          <w:tab w:val="num" w:pos="6109"/>
        </w:tabs>
        <w:ind w:left="6109" w:hanging="360"/>
      </w:pPr>
    </w:lvl>
    <w:lvl w:ilvl="8" w:tplc="05606BE8" w:tentative="1">
      <w:start w:val="1"/>
      <w:numFmt w:val="lowerRoman"/>
      <w:lvlText w:val="%9."/>
      <w:lvlJc w:val="right"/>
      <w:pPr>
        <w:tabs>
          <w:tab w:val="num" w:pos="6829"/>
        </w:tabs>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298"/>
  <w:hyphenationZone w:val="396"/>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479"/>
    <w:rsid w:val="000609E7"/>
    <w:rsid w:val="000B28E3"/>
    <w:rsid w:val="001031DF"/>
    <w:rsid w:val="001622F4"/>
    <w:rsid w:val="001D466D"/>
    <w:rsid w:val="00211928"/>
    <w:rsid w:val="00212AB0"/>
    <w:rsid w:val="00216480"/>
    <w:rsid w:val="0022011D"/>
    <w:rsid w:val="002B0A75"/>
    <w:rsid w:val="002B0F02"/>
    <w:rsid w:val="002E494B"/>
    <w:rsid w:val="002F0E5E"/>
    <w:rsid w:val="00367EC5"/>
    <w:rsid w:val="003D1D08"/>
    <w:rsid w:val="00400A46"/>
    <w:rsid w:val="00444479"/>
    <w:rsid w:val="004534FD"/>
    <w:rsid w:val="00493B59"/>
    <w:rsid w:val="004A1293"/>
    <w:rsid w:val="004C43B7"/>
    <w:rsid w:val="004C4875"/>
    <w:rsid w:val="004E28C9"/>
    <w:rsid w:val="004F5D45"/>
    <w:rsid w:val="005A47E5"/>
    <w:rsid w:val="005B7854"/>
    <w:rsid w:val="005C6DA4"/>
    <w:rsid w:val="005D082D"/>
    <w:rsid w:val="00616084"/>
    <w:rsid w:val="00620DE3"/>
    <w:rsid w:val="006D3C09"/>
    <w:rsid w:val="00716BEE"/>
    <w:rsid w:val="00743B0D"/>
    <w:rsid w:val="0078744A"/>
    <w:rsid w:val="007B6B0E"/>
    <w:rsid w:val="007F5647"/>
    <w:rsid w:val="00830FFF"/>
    <w:rsid w:val="0095755C"/>
    <w:rsid w:val="00972899"/>
    <w:rsid w:val="0098328B"/>
    <w:rsid w:val="00983980"/>
    <w:rsid w:val="009B324F"/>
    <w:rsid w:val="00A11BAA"/>
    <w:rsid w:val="00A12FA4"/>
    <w:rsid w:val="00B009C2"/>
    <w:rsid w:val="00B85204"/>
    <w:rsid w:val="00BC0259"/>
    <w:rsid w:val="00BC31BB"/>
    <w:rsid w:val="00BC6DA6"/>
    <w:rsid w:val="00BD016B"/>
    <w:rsid w:val="00C00CC7"/>
    <w:rsid w:val="00C16161"/>
    <w:rsid w:val="00C57DCE"/>
    <w:rsid w:val="00C67DBB"/>
    <w:rsid w:val="00D355D6"/>
    <w:rsid w:val="00D704D9"/>
    <w:rsid w:val="00D96327"/>
    <w:rsid w:val="00DB623D"/>
    <w:rsid w:val="00E15372"/>
    <w:rsid w:val="00E558EF"/>
    <w:rsid w:val="00EA6A36"/>
    <w:rsid w:val="00F11D26"/>
    <w:rsid w:val="00F57CA5"/>
    <w:rsid w:val="00F64CEA"/>
    <w:rsid w:val="00F947B8"/>
    <w:rsid w:val="00FE1CBB"/>
    <w:rsid w:val="00FE40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GB"/>
    </w:rPr>
  </w:style>
  <w:style w:type="paragraph" w:styleId="Heading1">
    <w:name w:val="heading 1"/>
    <w:basedOn w:val="Normal"/>
    <w:next w:val="Normal"/>
    <w:qFormat/>
    <w:pPr>
      <w:keepNext/>
      <w:outlineLvl w:val="0"/>
    </w:pPr>
    <w:rPr>
      <w:b/>
      <w:bCs/>
      <w:sz w:val="16"/>
      <w:szCs w:val="20"/>
    </w:rPr>
  </w:style>
  <w:style w:type="paragraph" w:styleId="Heading2">
    <w:name w:val="heading 2"/>
    <w:basedOn w:val="Normal"/>
    <w:next w:val="Normal"/>
    <w:qFormat/>
    <w:pPr>
      <w:keepNext/>
      <w:outlineLvl w:val="1"/>
    </w:pPr>
    <w:rPr>
      <w:b/>
      <w:bCs/>
      <w:sz w:val="20"/>
      <w:szCs w:val="20"/>
    </w:rPr>
  </w:style>
  <w:style w:type="paragraph" w:styleId="Heading3">
    <w:name w:val="heading 3"/>
    <w:basedOn w:val="Normal"/>
    <w:next w:val="Normal"/>
    <w:qFormat/>
    <w:pPr>
      <w:keepNext/>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819"/>
        <w:tab w:val="right" w:pos="9638"/>
      </w:tabs>
    </w:pPr>
  </w:style>
  <w:style w:type="paragraph" w:styleId="Footer">
    <w:name w:val="footer"/>
    <w:basedOn w:val="Normal"/>
    <w:link w:val="FooterChar"/>
    <w:uiPriority w:val="99"/>
    <w:pPr>
      <w:tabs>
        <w:tab w:val="center" w:pos="4819"/>
        <w:tab w:val="right" w:pos="9638"/>
      </w:tabs>
    </w:pPr>
  </w:style>
  <w:style w:type="paragraph" w:styleId="BodyText">
    <w:name w:val="Body Text"/>
    <w:basedOn w:val="Normal"/>
    <w:link w:val="BodyTextChar"/>
    <w:semiHidden/>
    <w:pPr>
      <w:jc w:val="both"/>
    </w:pPr>
    <w:rPr>
      <w:rFonts w:ascii="TimesLT" w:hAnsi="TimesLT"/>
      <w:noProof/>
      <w:szCs w:val="20"/>
    </w:rPr>
  </w:style>
  <w:style w:type="paragraph" w:styleId="BodyTextIndent">
    <w:name w:val="Body Text Indent"/>
    <w:basedOn w:val="Normal"/>
    <w:semiHidden/>
    <w:pPr>
      <w:ind w:firstLine="709"/>
      <w:jc w:val="both"/>
    </w:pPr>
  </w:style>
  <w:style w:type="paragraph" w:customStyle="1" w:styleId="BodyText1">
    <w:name w:val="Body Text1"/>
    <w:pPr>
      <w:ind w:firstLine="312"/>
      <w:jc w:val="both"/>
    </w:pPr>
    <w:rPr>
      <w:rFonts w:ascii="TimesLT" w:hAnsi="TimesLT"/>
      <w:snapToGrid w:val="0"/>
      <w:lang w:val="en-GB" w:eastAsia="en-GB"/>
    </w:rPr>
  </w:style>
  <w:style w:type="paragraph" w:styleId="BodyText2">
    <w:name w:val="Body Text 2"/>
    <w:basedOn w:val="Normal"/>
    <w:link w:val="BodyText2Char"/>
    <w:semiHidden/>
    <w:rPr>
      <w:b/>
      <w:bCs/>
    </w:rPr>
  </w:style>
  <w:style w:type="paragraph" w:customStyle="1" w:styleId="font5">
    <w:name w:val="font5"/>
    <w:basedOn w:val="Normal"/>
    <w:pPr>
      <w:spacing w:before="100" w:beforeAutospacing="1" w:after="100" w:afterAutospacing="1"/>
    </w:pPr>
    <w:rPr>
      <w:sz w:val="20"/>
      <w:szCs w:val="20"/>
    </w:rPr>
  </w:style>
  <w:style w:type="paragraph" w:customStyle="1" w:styleId="xl28">
    <w:name w:val="xl28"/>
    <w:basedOn w:val="Normal"/>
    <w:pPr>
      <w:spacing w:before="100" w:beforeAutospacing="1" w:after="100" w:afterAutospacing="1"/>
      <w:textAlignment w:val="center"/>
    </w:pPr>
    <w:rPr>
      <w:b/>
      <w:bCs/>
    </w:rPr>
  </w:style>
  <w:style w:type="paragraph" w:customStyle="1" w:styleId="xl29">
    <w:name w:val="xl29"/>
    <w:basedOn w:val="Normal"/>
    <w:pPr>
      <w:pBdr>
        <w:right w:val="single" w:sz="4" w:space="0" w:color="auto"/>
      </w:pBdr>
      <w:spacing w:before="100" w:beforeAutospacing="1" w:after="100" w:afterAutospacing="1"/>
      <w:textAlignment w:val="center"/>
    </w:pPr>
  </w:style>
  <w:style w:type="paragraph" w:customStyle="1" w:styleId="xl32">
    <w:name w:val="xl32"/>
    <w:basedOn w:val="Normal"/>
    <w:pPr>
      <w:pBdr>
        <w:bottom w:val="single" w:sz="4" w:space="0" w:color="auto"/>
        <w:right w:val="single" w:sz="4" w:space="0" w:color="auto"/>
      </w:pBdr>
      <w:spacing w:before="100" w:beforeAutospacing="1" w:after="100" w:afterAutospacing="1"/>
    </w:pPr>
  </w:style>
  <w:style w:type="paragraph" w:customStyle="1" w:styleId="Default">
    <w:name w:val="Default"/>
    <w:pPr>
      <w:autoSpaceDE w:val="0"/>
      <w:autoSpaceDN w:val="0"/>
      <w:adjustRightInd w:val="0"/>
    </w:pPr>
    <w:rPr>
      <w:color w:val="000000"/>
      <w:sz w:val="24"/>
      <w:szCs w:val="24"/>
      <w:lang w:val="en-GB" w:eastAsia="en-GB"/>
    </w:rPr>
  </w:style>
  <w:style w:type="paragraph" w:customStyle="1" w:styleId="xl30">
    <w:name w:val="xl30"/>
    <w:basedOn w:val="Normal"/>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
    <w:name w:val="xl26"/>
    <w:basedOn w:val="Normal"/>
    <w:pPr>
      <w:pBdr>
        <w:left w:val="single" w:sz="4" w:space="14" w:color="auto"/>
        <w:right w:val="single" w:sz="4" w:space="0" w:color="auto"/>
      </w:pBdr>
      <w:spacing w:before="100" w:beforeAutospacing="1" w:after="100" w:afterAutospacing="1"/>
      <w:ind w:firstLineChars="200" w:firstLine="200"/>
    </w:pPr>
    <w:rPr>
      <w:rFonts w:ascii="Arial" w:hAnsi="Arial" w:cs="Arial"/>
      <w:b/>
      <w:bCs/>
    </w:rPr>
  </w:style>
  <w:style w:type="paragraph" w:customStyle="1" w:styleId="xl27">
    <w:name w:val="xl27"/>
    <w:basedOn w:val="Normal"/>
    <w:pPr>
      <w:pBdr>
        <w:left w:val="single" w:sz="4" w:space="27" w:color="auto"/>
        <w:right w:val="single" w:sz="4" w:space="0" w:color="auto"/>
      </w:pBdr>
      <w:spacing w:before="100" w:beforeAutospacing="1" w:after="100" w:afterAutospacing="1"/>
      <w:ind w:firstLineChars="400" w:firstLine="400"/>
    </w:pPr>
    <w:rPr>
      <w:rFonts w:ascii="Arial" w:hAnsi="Arial" w:cs="Arial"/>
      <w:b/>
      <w:bCs/>
    </w:rPr>
  </w:style>
  <w:style w:type="paragraph" w:customStyle="1" w:styleId="xl31">
    <w:name w:val="xl31"/>
    <w:basedOn w:val="Normal"/>
    <w:pPr>
      <w:pBdr>
        <w:left w:val="single" w:sz="4" w:space="0" w:color="auto"/>
      </w:pBdr>
      <w:spacing w:before="100" w:beforeAutospacing="1" w:after="100" w:afterAutospacing="1"/>
      <w:jc w:val="right"/>
    </w:pPr>
    <w:rPr>
      <w:rFonts w:ascii="Arial" w:hAnsi="Arial" w:cs="Arial"/>
    </w:rPr>
  </w:style>
  <w:style w:type="paragraph" w:customStyle="1" w:styleId="xl33">
    <w:name w:val="xl33"/>
    <w:basedOn w:val="Normal"/>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pPr>
      <w:pBdr>
        <w:left w:val="single" w:sz="4" w:space="7" w:color="auto"/>
        <w:right w:val="single" w:sz="4" w:space="0" w:color="auto"/>
      </w:pBdr>
      <w:spacing w:before="100" w:beforeAutospacing="1" w:after="100" w:afterAutospacing="1"/>
      <w:ind w:firstLineChars="100" w:firstLine="100"/>
    </w:pPr>
    <w:rPr>
      <w:rFonts w:ascii="Arial" w:hAnsi="Arial" w:cs="Arial"/>
      <w:b/>
      <w:bCs/>
    </w:rPr>
  </w:style>
  <w:style w:type="paragraph" w:customStyle="1" w:styleId="xl35">
    <w:name w:val="xl35"/>
    <w:basedOn w:val="Normal"/>
    <w:pPr>
      <w:pBdr>
        <w:left w:val="single" w:sz="4" w:space="20" w:color="auto"/>
        <w:right w:val="single" w:sz="4" w:space="0" w:color="auto"/>
      </w:pBdr>
      <w:spacing w:before="100" w:beforeAutospacing="1" w:after="100" w:afterAutospacing="1"/>
      <w:ind w:firstLineChars="300" w:firstLine="300"/>
    </w:pPr>
    <w:rPr>
      <w:rFonts w:ascii="Arial" w:hAnsi="Arial" w:cs="Arial"/>
    </w:rPr>
  </w:style>
  <w:style w:type="paragraph" w:customStyle="1" w:styleId="xl36">
    <w:name w:val="xl36"/>
    <w:basedOn w:val="Normal"/>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7">
    <w:name w:val="xl37"/>
    <w:basedOn w:val="Normal"/>
    <w:pPr>
      <w:pBdr>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38">
    <w:name w:val="xl38"/>
    <w:basedOn w:val="Normal"/>
    <w:pPr>
      <w:spacing w:before="100" w:beforeAutospacing="1" w:after="100" w:afterAutospacing="1"/>
    </w:pPr>
    <w:rPr>
      <w:rFonts w:ascii="Arial" w:hAnsi="Arial" w:cs="Arial"/>
      <w:b/>
      <w:bCs/>
    </w:rPr>
  </w:style>
  <w:style w:type="paragraph" w:customStyle="1" w:styleId="xl39">
    <w:name w:val="xl39"/>
    <w:basedOn w:val="Normal"/>
    <w:pPr>
      <w:spacing w:before="100" w:beforeAutospacing="1" w:after="100" w:afterAutospacing="1"/>
    </w:pPr>
    <w:rPr>
      <w:rFonts w:ascii="Arial" w:hAnsi="Arial" w:cs="Arial"/>
    </w:rPr>
  </w:style>
  <w:style w:type="paragraph" w:customStyle="1" w:styleId="xl40">
    <w:name w:val="xl40"/>
    <w:basedOn w:val="Normal"/>
    <w:pPr>
      <w:pBdr>
        <w:top w:val="single" w:sz="4" w:space="0" w:color="auto"/>
        <w:left w:val="single" w:sz="4" w:space="0" w:color="auto"/>
      </w:pBdr>
      <w:spacing w:before="100" w:beforeAutospacing="1" w:after="100" w:afterAutospacing="1"/>
      <w:jc w:val="right"/>
    </w:pPr>
    <w:rPr>
      <w:rFonts w:ascii="Arial" w:hAnsi="Arial" w:cs="Arial"/>
    </w:rPr>
  </w:style>
  <w:style w:type="paragraph" w:customStyle="1" w:styleId="xl41">
    <w:name w:val="xl41"/>
    <w:basedOn w:val="Normal"/>
    <w:pPr>
      <w:pBdr>
        <w:top w:val="single" w:sz="4" w:space="0" w:color="auto"/>
        <w:right w:val="single" w:sz="4" w:space="0" w:color="auto"/>
      </w:pBdr>
      <w:spacing w:before="100" w:beforeAutospacing="1" w:after="100" w:afterAutospacing="1"/>
      <w:jc w:val="right"/>
    </w:pPr>
    <w:rPr>
      <w:rFonts w:ascii="Arial" w:hAnsi="Arial" w:cs="Arial"/>
    </w:rPr>
  </w:style>
  <w:style w:type="paragraph" w:customStyle="1" w:styleId="xl42">
    <w:name w:val="xl42"/>
    <w:basedOn w:val="Normal"/>
    <w:pPr>
      <w:pBdr>
        <w:top w:val="single" w:sz="4" w:space="0" w:color="auto"/>
      </w:pBdr>
      <w:spacing w:before="100" w:beforeAutospacing="1" w:after="100" w:afterAutospacing="1"/>
      <w:jc w:val="right"/>
    </w:pPr>
    <w:rPr>
      <w:rFonts w:ascii="Arial" w:hAnsi="Arial" w:cs="Arial"/>
    </w:rPr>
  </w:style>
  <w:style w:type="paragraph" w:customStyle="1" w:styleId="xl43">
    <w:name w:val="xl43"/>
    <w:basedOn w:val="Normal"/>
    <w:pPr>
      <w:pBdr>
        <w:left w:val="single" w:sz="4" w:space="0" w:color="auto"/>
      </w:pBdr>
      <w:spacing w:before="100" w:beforeAutospacing="1" w:after="100" w:afterAutospacing="1"/>
      <w:jc w:val="right"/>
    </w:pPr>
    <w:rPr>
      <w:rFonts w:ascii="Arial" w:hAnsi="Arial" w:cs="Arial"/>
      <w:b/>
      <w:bCs/>
    </w:rPr>
  </w:style>
  <w:style w:type="paragraph" w:customStyle="1" w:styleId="xl44">
    <w:name w:val="xl44"/>
    <w:basedOn w:val="Normal"/>
    <w:pPr>
      <w:pBdr>
        <w:right w:val="single" w:sz="4" w:space="0" w:color="auto"/>
      </w:pBdr>
      <w:spacing w:before="100" w:beforeAutospacing="1" w:after="100" w:afterAutospacing="1"/>
      <w:jc w:val="right"/>
    </w:pPr>
    <w:rPr>
      <w:rFonts w:ascii="Arial" w:hAnsi="Arial" w:cs="Arial"/>
      <w:b/>
      <w:bCs/>
    </w:rPr>
  </w:style>
  <w:style w:type="paragraph" w:customStyle="1" w:styleId="xl45">
    <w:name w:val="xl45"/>
    <w:basedOn w:val="Normal"/>
    <w:pPr>
      <w:spacing w:before="100" w:beforeAutospacing="1" w:after="100" w:afterAutospacing="1"/>
      <w:jc w:val="right"/>
    </w:pPr>
    <w:rPr>
      <w:rFonts w:ascii="Arial" w:hAnsi="Arial" w:cs="Arial"/>
      <w:b/>
      <w:bCs/>
    </w:rPr>
  </w:style>
  <w:style w:type="paragraph" w:customStyle="1" w:styleId="xl46">
    <w:name w:val="xl46"/>
    <w:basedOn w:val="Normal"/>
    <w:pPr>
      <w:pBdr>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47">
    <w:name w:val="xl47"/>
    <w:basedOn w:val="Normal"/>
    <w:pPr>
      <w:pBdr>
        <w:bottom w:val="single" w:sz="4" w:space="0" w:color="auto"/>
      </w:pBdr>
      <w:spacing w:before="100" w:beforeAutospacing="1" w:after="100" w:afterAutospacing="1"/>
      <w:jc w:val="right"/>
    </w:pPr>
    <w:rPr>
      <w:rFonts w:ascii="Arial" w:hAnsi="Arial" w:cs="Arial"/>
      <w:b/>
      <w:bCs/>
    </w:rPr>
  </w:style>
  <w:style w:type="paragraph" w:customStyle="1" w:styleId="xl48">
    <w:name w:val="xl48"/>
    <w:basedOn w:val="Normal"/>
    <w:pPr>
      <w:pBdr>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49">
    <w:name w:val="xl49"/>
    <w:basedOn w:val="Normal"/>
    <w:pPr>
      <w:pBdr>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50">
    <w:name w:val="xl50"/>
    <w:basedOn w:val="Normal"/>
    <w:pPr>
      <w:pBdr>
        <w:top w:val="single" w:sz="4" w:space="0" w:color="auto"/>
        <w:left w:val="single" w:sz="4" w:space="0" w:color="auto"/>
      </w:pBdr>
      <w:spacing w:before="100" w:beforeAutospacing="1" w:after="100" w:afterAutospacing="1"/>
      <w:jc w:val="center"/>
    </w:pPr>
    <w:rPr>
      <w:rFonts w:ascii="Arial" w:hAnsi="Arial" w:cs="Arial"/>
    </w:rPr>
  </w:style>
  <w:style w:type="paragraph" w:customStyle="1" w:styleId="xl51">
    <w:name w:val="xl51"/>
    <w:basedOn w:val="Normal"/>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rPr>
  </w:style>
  <w:style w:type="paragraph" w:customStyle="1" w:styleId="xl53">
    <w:name w:val="xl53"/>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4">
    <w:name w:val="xl54"/>
    <w:basedOn w:val="Normal"/>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5">
    <w:name w:val="xl55"/>
    <w:basedOn w:val="Normal"/>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6">
    <w:name w:val="xl56"/>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7">
    <w:name w:val="xl57"/>
    <w:basedOn w:val="Normal"/>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8">
    <w:name w:val="xl58"/>
    <w:basedOn w:val="Normal"/>
    <w:pPr>
      <w:pBdr>
        <w:top w:val="single" w:sz="4" w:space="0" w:color="auto"/>
        <w:bottom w:val="single" w:sz="4" w:space="0" w:color="auto"/>
      </w:pBdr>
      <w:spacing w:before="100" w:beforeAutospacing="1" w:after="100" w:afterAutospacing="1"/>
    </w:pPr>
    <w:rPr>
      <w:b/>
      <w:bCs/>
    </w:rPr>
  </w:style>
  <w:style w:type="paragraph" w:customStyle="1" w:styleId="xl59">
    <w:name w:val="xl5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0">
    <w:name w:val="xl60"/>
    <w:basedOn w:val="Normal"/>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1">
    <w:name w:val="xl61"/>
    <w:basedOn w:val="Normal"/>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62">
    <w:name w:val="xl62"/>
    <w:basedOn w:val="Normal"/>
    <w:pPr>
      <w:pBdr>
        <w:left w:val="single" w:sz="4" w:space="0" w:color="auto"/>
        <w:right w:val="single" w:sz="4" w:space="0" w:color="auto"/>
      </w:pBdr>
      <w:spacing w:before="100" w:beforeAutospacing="1" w:after="100" w:afterAutospacing="1"/>
      <w:textAlignment w:val="center"/>
    </w:pPr>
  </w:style>
  <w:style w:type="paragraph" w:customStyle="1" w:styleId="xl63">
    <w:name w:val="xl63"/>
    <w:basedOn w:val="Normal"/>
    <w:pPr>
      <w:pBdr>
        <w:left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pPr>
      <w:pBdr>
        <w:left w:val="single" w:sz="4" w:space="0" w:color="auto"/>
        <w:right w:val="single" w:sz="4" w:space="0" w:color="auto"/>
      </w:pBdr>
      <w:spacing w:before="100" w:beforeAutospacing="1" w:after="100" w:afterAutospacing="1"/>
      <w:jc w:val="right"/>
      <w:textAlignment w:val="center"/>
    </w:p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Normal"/>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69">
    <w:name w:val="xl69"/>
    <w:basedOn w:val="Normal"/>
    <w:pPr>
      <w:pBdr>
        <w:left w:val="single" w:sz="4" w:space="0" w:color="auto"/>
        <w:right w:val="single" w:sz="4" w:space="0" w:color="auto"/>
      </w:pBdr>
      <w:spacing w:before="100" w:beforeAutospacing="1" w:after="100" w:afterAutospacing="1"/>
      <w:textAlignment w:val="center"/>
    </w:pPr>
  </w:style>
  <w:style w:type="paragraph" w:customStyle="1" w:styleId="xl70">
    <w:name w:val="xl70"/>
    <w:basedOn w:val="Normal"/>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
    <w:pPr>
      <w:pBdr>
        <w:left w:val="single" w:sz="4" w:space="0" w:color="auto"/>
        <w:bottom w:val="single" w:sz="4" w:space="0" w:color="auto"/>
        <w:right w:val="single" w:sz="4" w:space="0" w:color="auto"/>
      </w:pBdr>
      <w:spacing w:before="100" w:beforeAutospacing="1" w:after="100" w:afterAutospacing="1"/>
    </w:pPr>
  </w:style>
  <w:style w:type="paragraph" w:styleId="BodyTextIndent2">
    <w:name w:val="Body Text Indent 2"/>
    <w:basedOn w:val="Normal"/>
    <w:link w:val="BodyTextIndent2Char"/>
    <w:semiHidden/>
    <w:pPr>
      <w:ind w:firstLine="720"/>
      <w:jc w:val="both"/>
    </w:pPr>
  </w:style>
  <w:style w:type="character" w:styleId="CommentReference">
    <w:name w:val="annotation reference"/>
    <w:semiHidden/>
    <w:rPr>
      <w:sz w:val="16"/>
      <w:szCs w:val="16"/>
      <w:lang w:val="en-GB" w:eastAsia="en-GB"/>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lang w:val="en-GB" w:eastAsia="en-GB"/>
    </w:rPr>
  </w:style>
  <w:style w:type="character" w:customStyle="1" w:styleId="BodyTextIndentChar">
    <w:name w:val="Body Text Indent Char"/>
    <w:semiHidden/>
    <w:rPr>
      <w:sz w:val="24"/>
      <w:szCs w:val="24"/>
      <w:lang w:val="en-GB" w:eastAsia="en-GB"/>
    </w:rPr>
  </w:style>
  <w:style w:type="paragraph" w:styleId="Revision">
    <w:name w:val="Revision"/>
    <w:hidden/>
    <w:semiHidden/>
    <w:rPr>
      <w:sz w:val="24"/>
      <w:szCs w:val="24"/>
      <w:lang w:val="en-GB" w:eastAsia="en-GB"/>
    </w:rPr>
  </w:style>
  <w:style w:type="character" w:customStyle="1" w:styleId="FooterChar">
    <w:name w:val="Footer Char"/>
    <w:link w:val="Footer"/>
    <w:uiPriority w:val="99"/>
    <w:rsid w:val="00980A9B"/>
    <w:rPr>
      <w:sz w:val="24"/>
      <w:szCs w:val="24"/>
      <w:lang w:val="en-GB" w:eastAsia="en-GB"/>
    </w:rPr>
  </w:style>
  <w:style w:type="numbering" w:customStyle="1" w:styleId="NoList1">
    <w:name w:val="No List1"/>
    <w:next w:val="NoList"/>
    <w:uiPriority w:val="99"/>
    <w:semiHidden/>
    <w:unhideWhenUsed/>
    <w:rsid w:val="00985CD0"/>
  </w:style>
  <w:style w:type="character" w:customStyle="1" w:styleId="BodyTextChar">
    <w:name w:val="Body Text Char"/>
    <w:link w:val="BodyText"/>
    <w:semiHidden/>
    <w:rsid w:val="00985CD0"/>
    <w:rPr>
      <w:rFonts w:ascii="TimesLT" w:hAnsi="TimesLT"/>
      <w:noProof/>
      <w:sz w:val="24"/>
      <w:lang w:val="en-GB" w:eastAsia="en-GB"/>
    </w:rPr>
  </w:style>
  <w:style w:type="character" w:customStyle="1" w:styleId="BodyText2Char">
    <w:name w:val="Body Text 2 Char"/>
    <w:link w:val="BodyText2"/>
    <w:semiHidden/>
    <w:rsid w:val="00985CD0"/>
    <w:rPr>
      <w:b/>
      <w:bCs/>
      <w:sz w:val="24"/>
      <w:szCs w:val="24"/>
      <w:lang w:val="en-GB" w:eastAsia="en-GB"/>
    </w:rPr>
  </w:style>
  <w:style w:type="character" w:customStyle="1" w:styleId="BodyTextIndent2Char">
    <w:name w:val="Body Text Indent 2 Char"/>
    <w:link w:val="BodyTextIndent2"/>
    <w:semiHidden/>
    <w:rsid w:val="00985CD0"/>
    <w:rPr>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GB"/>
    </w:rPr>
  </w:style>
  <w:style w:type="paragraph" w:styleId="Heading1">
    <w:name w:val="heading 1"/>
    <w:basedOn w:val="Normal"/>
    <w:next w:val="Normal"/>
    <w:qFormat/>
    <w:pPr>
      <w:keepNext/>
      <w:outlineLvl w:val="0"/>
    </w:pPr>
    <w:rPr>
      <w:b/>
      <w:bCs/>
      <w:sz w:val="16"/>
      <w:szCs w:val="20"/>
    </w:rPr>
  </w:style>
  <w:style w:type="paragraph" w:styleId="Heading2">
    <w:name w:val="heading 2"/>
    <w:basedOn w:val="Normal"/>
    <w:next w:val="Normal"/>
    <w:qFormat/>
    <w:pPr>
      <w:keepNext/>
      <w:outlineLvl w:val="1"/>
    </w:pPr>
    <w:rPr>
      <w:b/>
      <w:bCs/>
      <w:sz w:val="20"/>
      <w:szCs w:val="20"/>
    </w:rPr>
  </w:style>
  <w:style w:type="paragraph" w:styleId="Heading3">
    <w:name w:val="heading 3"/>
    <w:basedOn w:val="Normal"/>
    <w:next w:val="Normal"/>
    <w:qFormat/>
    <w:pPr>
      <w:keepNext/>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819"/>
        <w:tab w:val="right" w:pos="9638"/>
      </w:tabs>
    </w:pPr>
  </w:style>
  <w:style w:type="paragraph" w:styleId="Footer">
    <w:name w:val="footer"/>
    <w:basedOn w:val="Normal"/>
    <w:link w:val="FooterChar"/>
    <w:uiPriority w:val="99"/>
    <w:pPr>
      <w:tabs>
        <w:tab w:val="center" w:pos="4819"/>
        <w:tab w:val="right" w:pos="9638"/>
      </w:tabs>
    </w:pPr>
  </w:style>
  <w:style w:type="paragraph" w:styleId="BodyText">
    <w:name w:val="Body Text"/>
    <w:basedOn w:val="Normal"/>
    <w:link w:val="BodyTextChar"/>
    <w:semiHidden/>
    <w:pPr>
      <w:jc w:val="both"/>
    </w:pPr>
    <w:rPr>
      <w:rFonts w:ascii="TimesLT" w:hAnsi="TimesLT"/>
      <w:noProof/>
      <w:szCs w:val="20"/>
    </w:rPr>
  </w:style>
  <w:style w:type="paragraph" w:styleId="BodyTextIndent">
    <w:name w:val="Body Text Indent"/>
    <w:basedOn w:val="Normal"/>
    <w:semiHidden/>
    <w:pPr>
      <w:ind w:firstLine="709"/>
      <w:jc w:val="both"/>
    </w:pPr>
  </w:style>
  <w:style w:type="paragraph" w:customStyle="1" w:styleId="BodyText1">
    <w:name w:val="Body Text1"/>
    <w:pPr>
      <w:ind w:firstLine="312"/>
      <w:jc w:val="both"/>
    </w:pPr>
    <w:rPr>
      <w:rFonts w:ascii="TimesLT" w:hAnsi="TimesLT"/>
      <w:snapToGrid w:val="0"/>
      <w:lang w:val="en-GB" w:eastAsia="en-GB"/>
    </w:rPr>
  </w:style>
  <w:style w:type="paragraph" w:styleId="BodyText2">
    <w:name w:val="Body Text 2"/>
    <w:basedOn w:val="Normal"/>
    <w:link w:val="BodyText2Char"/>
    <w:semiHidden/>
    <w:rPr>
      <w:b/>
      <w:bCs/>
    </w:rPr>
  </w:style>
  <w:style w:type="paragraph" w:customStyle="1" w:styleId="font5">
    <w:name w:val="font5"/>
    <w:basedOn w:val="Normal"/>
    <w:pPr>
      <w:spacing w:before="100" w:beforeAutospacing="1" w:after="100" w:afterAutospacing="1"/>
    </w:pPr>
    <w:rPr>
      <w:sz w:val="20"/>
      <w:szCs w:val="20"/>
    </w:rPr>
  </w:style>
  <w:style w:type="paragraph" w:customStyle="1" w:styleId="xl28">
    <w:name w:val="xl28"/>
    <w:basedOn w:val="Normal"/>
    <w:pPr>
      <w:spacing w:before="100" w:beforeAutospacing="1" w:after="100" w:afterAutospacing="1"/>
      <w:textAlignment w:val="center"/>
    </w:pPr>
    <w:rPr>
      <w:b/>
      <w:bCs/>
    </w:rPr>
  </w:style>
  <w:style w:type="paragraph" w:customStyle="1" w:styleId="xl29">
    <w:name w:val="xl29"/>
    <w:basedOn w:val="Normal"/>
    <w:pPr>
      <w:pBdr>
        <w:right w:val="single" w:sz="4" w:space="0" w:color="auto"/>
      </w:pBdr>
      <w:spacing w:before="100" w:beforeAutospacing="1" w:after="100" w:afterAutospacing="1"/>
      <w:textAlignment w:val="center"/>
    </w:pPr>
  </w:style>
  <w:style w:type="paragraph" w:customStyle="1" w:styleId="xl32">
    <w:name w:val="xl32"/>
    <w:basedOn w:val="Normal"/>
    <w:pPr>
      <w:pBdr>
        <w:bottom w:val="single" w:sz="4" w:space="0" w:color="auto"/>
        <w:right w:val="single" w:sz="4" w:space="0" w:color="auto"/>
      </w:pBdr>
      <w:spacing w:before="100" w:beforeAutospacing="1" w:after="100" w:afterAutospacing="1"/>
    </w:pPr>
  </w:style>
  <w:style w:type="paragraph" w:customStyle="1" w:styleId="Default">
    <w:name w:val="Default"/>
    <w:pPr>
      <w:autoSpaceDE w:val="0"/>
      <w:autoSpaceDN w:val="0"/>
      <w:adjustRightInd w:val="0"/>
    </w:pPr>
    <w:rPr>
      <w:color w:val="000000"/>
      <w:sz w:val="24"/>
      <w:szCs w:val="24"/>
      <w:lang w:val="en-GB" w:eastAsia="en-GB"/>
    </w:rPr>
  </w:style>
  <w:style w:type="paragraph" w:customStyle="1" w:styleId="xl30">
    <w:name w:val="xl30"/>
    <w:basedOn w:val="Normal"/>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
    <w:name w:val="xl26"/>
    <w:basedOn w:val="Normal"/>
    <w:pPr>
      <w:pBdr>
        <w:left w:val="single" w:sz="4" w:space="14" w:color="auto"/>
        <w:right w:val="single" w:sz="4" w:space="0" w:color="auto"/>
      </w:pBdr>
      <w:spacing w:before="100" w:beforeAutospacing="1" w:after="100" w:afterAutospacing="1"/>
      <w:ind w:firstLineChars="200" w:firstLine="200"/>
    </w:pPr>
    <w:rPr>
      <w:rFonts w:ascii="Arial" w:hAnsi="Arial" w:cs="Arial"/>
      <w:b/>
      <w:bCs/>
    </w:rPr>
  </w:style>
  <w:style w:type="paragraph" w:customStyle="1" w:styleId="xl27">
    <w:name w:val="xl27"/>
    <w:basedOn w:val="Normal"/>
    <w:pPr>
      <w:pBdr>
        <w:left w:val="single" w:sz="4" w:space="27" w:color="auto"/>
        <w:right w:val="single" w:sz="4" w:space="0" w:color="auto"/>
      </w:pBdr>
      <w:spacing w:before="100" w:beforeAutospacing="1" w:after="100" w:afterAutospacing="1"/>
      <w:ind w:firstLineChars="400" w:firstLine="400"/>
    </w:pPr>
    <w:rPr>
      <w:rFonts w:ascii="Arial" w:hAnsi="Arial" w:cs="Arial"/>
      <w:b/>
      <w:bCs/>
    </w:rPr>
  </w:style>
  <w:style w:type="paragraph" w:customStyle="1" w:styleId="xl31">
    <w:name w:val="xl31"/>
    <w:basedOn w:val="Normal"/>
    <w:pPr>
      <w:pBdr>
        <w:left w:val="single" w:sz="4" w:space="0" w:color="auto"/>
      </w:pBdr>
      <w:spacing w:before="100" w:beforeAutospacing="1" w:after="100" w:afterAutospacing="1"/>
      <w:jc w:val="right"/>
    </w:pPr>
    <w:rPr>
      <w:rFonts w:ascii="Arial" w:hAnsi="Arial" w:cs="Arial"/>
    </w:rPr>
  </w:style>
  <w:style w:type="paragraph" w:customStyle="1" w:styleId="xl33">
    <w:name w:val="xl33"/>
    <w:basedOn w:val="Normal"/>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pPr>
      <w:pBdr>
        <w:left w:val="single" w:sz="4" w:space="7" w:color="auto"/>
        <w:right w:val="single" w:sz="4" w:space="0" w:color="auto"/>
      </w:pBdr>
      <w:spacing w:before="100" w:beforeAutospacing="1" w:after="100" w:afterAutospacing="1"/>
      <w:ind w:firstLineChars="100" w:firstLine="100"/>
    </w:pPr>
    <w:rPr>
      <w:rFonts w:ascii="Arial" w:hAnsi="Arial" w:cs="Arial"/>
      <w:b/>
      <w:bCs/>
    </w:rPr>
  </w:style>
  <w:style w:type="paragraph" w:customStyle="1" w:styleId="xl35">
    <w:name w:val="xl35"/>
    <w:basedOn w:val="Normal"/>
    <w:pPr>
      <w:pBdr>
        <w:left w:val="single" w:sz="4" w:space="20" w:color="auto"/>
        <w:right w:val="single" w:sz="4" w:space="0" w:color="auto"/>
      </w:pBdr>
      <w:spacing w:before="100" w:beforeAutospacing="1" w:after="100" w:afterAutospacing="1"/>
      <w:ind w:firstLineChars="300" w:firstLine="300"/>
    </w:pPr>
    <w:rPr>
      <w:rFonts w:ascii="Arial" w:hAnsi="Arial" w:cs="Arial"/>
    </w:rPr>
  </w:style>
  <w:style w:type="paragraph" w:customStyle="1" w:styleId="xl36">
    <w:name w:val="xl36"/>
    <w:basedOn w:val="Normal"/>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7">
    <w:name w:val="xl37"/>
    <w:basedOn w:val="Normal"/>
    <w:pPr>
      <w:pBdr>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38">
    <w:name w:val="xl38"/>
    <w:basedOn w:val="Normal"/>
    <w:pPr>
      <w:spacing w:before="100" w:beforeAutospacing="1" w:after="100" w:afterAutospacing="1"/>
    </w:pPr>
    <w:rPr>
      <w:rFonts w:ascii="Arial" w:hAnsi="Arial" w:cs="Arial"/>
      <w:b/>
      <w:bCs/>
    </w:rPr>
  </w:style>
  <w:style w:type="paragraph" w:customStyle="1" w:styleId="xl39">
    <w:name w:val="xl39"/>
    <w:basedOn w:val="Normal"/>
    <w:pPr>
      <w:spacing w:before="100" w:beforeAutospacing="1" w:after="100" w:afterAutospacing="1"/>
    </w:pPr>
    <w:rPr>
      <w:rFonts w:ascii="Arial" w:hAnsi="Arial" w:cs="Arial"/>
    </w:rPr>
  </w:style>
  <w:style w:type="paragraph" w:customStyle="1" w:styleId="xl40">
    <w:name w:val="xl40"/>
    <w:basedOn w:val="Normal"/>
    <w:pPr>
      <w:pBdr>
        <w:top w:val="single" w:sz="4" w:space="0" w:color="auto"/>
        <w:left w:val="single" w:sz="4" w:space="0" w:color="auto"/>
      </w:pBdr>
      <w:spacing w:before="100" w:beforeAutospacing="1" w:after="100" w:afterAutospacing="1"/>
      <w:jc w:val="right"/>
    </w:pPr>
    <w:rPr>
      <w:rFonts w:ascii="Arial" w:hAnsi="Arial" w:cs="Arial"/>
    </w:rPr>
  </w:style>
  <w:style w:type="paragraph" w:customStyle="1" w:styleId="xl41">
    <w:name w:val="xl41"/>
    <w:basedOn w:val="Normal"/>
    <w:pPr>
      <w:pBdr>
        <w:top w:val="single" w:sz="4" w:space="0" w:color="auto"/>
        <w:right w:val="single" w:sz="4" w:space="0" w:color="auto"/>
      </w:pBdr>
      <w:spacing w:before="100" w:beforeAutospacing="1" w:after="100" w:afterAutospacing="1"/>
      <w:jc w:val="right"/>
    </w:pPr>
    <w:rPr>
      <w:rFonts w:ascii="Arial" w:hAnsi="Arial" w:cs="Arial"/>
    </w:rPr>
  </w:style>
  <w:style w:type="paragraph" w:customStyle="1" w:styleId="xl42">
    <w:name w:val="xl42"/>
    <w:basedOn w:val="Normal"/>
    <w:pPr>
      <w:pBdr>
        <w:top w:val="single" w:sz="4" w:space="0" w:color="auto"/>
      </w:pBdr>
      <w:spacing w:before="100" w:beforeAutospacing="1" w:after="100" w:afterAutospacing="1"/>
      <w:jc w:val="right"/>
    </w:pPr>
    <w:rPr>
      <w:rFonts w:ascii="Arial" w:hAnsi="Arial" w:cs="Arial"/>
    </w:rPr>
  </w:style>
  <w:style w:type="paragraph" w:customStyle="1" w:styleId="xl43">
    <w:name w:val="xl43"/>
    <w:basedOn w:val="Normal"/>
    <w:pPr>
      <w:pBdr>
        <w:left w:val="single" w:sz="4" w:space="0" w:color="auto"/>
      </w:pBdr>
      <w:spacing w:before="100" w:beforeAutospacing="1" w:after="100" w:afterAutospacing="1"/>
      <w:jc w:val="right"/>
    </w:pPr>
    <w:rPr>
      <w:rFonts w:ascii="Arial" w:hAnsi="Arial" w:cs="Arial"/>
      <w:b/>
      <w:bCs/>
    </w:rPr>
  </w:style>
  <w:style w:type="paragraph" w:customStyle="1" w:styleId="xl44">
    <w:name w:val="xl44"/>
    <w:basedOn w:val="Normal"/>
    <w:pPr>
      <w:pBdr>
        <w:right w:val="single" w:sz="4" w:space="0" w:color="auto"/>
      </w:pBdr>
      <w:spacing w:before="100" w:beforeAutospacing="1" w:after="100" w:afterAutospacing="1"/>
      <w:jc w:val="right"/>
    </w:pPr>
    <w:rPr>
      <w:rFonts w:ascii="Arial" w:hAnsi="Arial" w:cs="Arial"/>
      <w:b/>
      <w:bCs/>
    </w:rPr>
  </w:style>
  <w:style w:type="paragraph" w:customStyle="1" w:styleId="xl45">
    <w:name w:val="xl45"/>
    <w:basedOn w:val="Normal"/>
    <w:pPr>
      <w:spacing w:before="100" w:beforeAutospacing="1" w:after="100" w:afterAutospacing="1"/>
      <w:jc w:val="right"/>
    </w:pPr>
    <w:rPr>
      <w:rFonts w:ascii="Arial" w:hAnsi="Arial" w:cs="Arial"/>
      <w:b/>
      <w:bCs/>
    </w:rPr>
  </w:style>
  <w:style w:type="paragraph" w:customStyle="1" w:styleId="xl46">
    <w:name w:val="xl46"/>
    <w:basedOn w:val="Normal"/>
    <w:pPr>
      <w:pBdr>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47">
    <w:name w:val="xl47"/>
    <w:basedOn w:val="Normal"/>
    <w:pPr>
      <w:pBdr>
        <w:bottom w:val="single" w:sz="4" w:space="0" w:color="auto"/>
      </w:pBdr>
      <w:spacing w:before="100" w:beforeAutospacing="1" w:after="100" w:afterAutospacing="1"/>
      <w:jc w:val="right"/>
    </w:pPr>
    <w:rPr>
      <w:rFonts w:ascii="Arial" w:hAnsi="Arial" w:cs="Arial"/>
      <w:b/>
      <w:bCs/>
    </w:rPr>
  </w:style>
  <w:style w:type="paragraph" w:customStyle="1" w:styleId="xl48">
    <w:name w:val="xl48"/>
    <w:basedOn w:val="Normal"/>
    <w:pPr>
      <w:pBdr>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49">
    <w:name w:val="xl49"/>
    <w:basedOn w:val="Normal"/>
    <w:pPr>
      <w:pBdr>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50">
    <w:name w:val="xl50"/>
    <w:basedOn w:val="Normal"/>
    <w:pPr>
      <w:pBdr>
        <w:top w:val="single" w:sz="4" w:space="0" w:color="auto"/>
        <w:left w:val="single" w:sz="4" w:space="0" w:color="auto"/>
      </w:pBdr>
      <w:spacing w:before="100" w:beforeAutospacing="1" w:after="100" w:afterAutospacing="1"/>
      <w:jc w:val="center"/>
    </w:pPr>
    <w:rPr>
      <w:rFonts w:ascii="Arial" w:hAnsi="Arial" w:cs="Arial"/>
    </w:rPr>
  </w:style>
  <w:style w:type="paragraph" w:customStyle="1" w:styleId="xl51">
    <w:name w:val="xl51"/>
    <w:basedOn w:val="Normal"/>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2">
    <w:name w:val="xl52"/>
    <w:basedOn w:val="Normal"/>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w:hAnsi="Arial" w:cs="Arial"/>
    </w:rPr>
  </w:style>
  <w:style w:type="paragraph" w:customStyle="1" w:styleId="xl53">
    <w:name w:val="xl53"/>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4">
    <w:name w:val="xl54"/>
    <w:basedOn w:val="Normal"/>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5">
    <w:name w:val="xl55"/>
    <w:basedOn w:val="Normal"/>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6">
    <w:name w:val="xl56"/>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7">
    <w:name w:val="xl57"/>
    <w:basedOn w:val="Normal"/>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8">
    <w:name w:val="xl58"/>
    <w:basedOn w:val="Normal"/>
    <w:pPr>
      <w:pBdr>
        <w:top w:val="single" w:sz="4" w:space="0" w:color="auto"/>
        <w:bottom w:val="single" w:sz="4" w:space="0" w:color="auto"/>
      </w:pBdr>
      <w:spacing w:before="100" w:beforeAutospacing="1" w:after="100" w:afterAutospacing="1"/>
    </w:pPr>
    <w:rPr>
      <w:b/>
      <w:bCs/>
    </w:rPr>
  </w:style>
  <w:style w:type="paragraph" w:customStyle="1" w:styleId="xl59">
    <w:name w:val="xl5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0">
    <w:name w:val="xl60"/>
    <w:basedOn w:val="Normal"/>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1">
    <w:name w:val="xl61"/>
    <w:basedOn w:val="Normal"/>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62">
    <w:name w:val="xl62"/>
    <w:basedOn w:val="Normal"/>
    <w:pPr>
      <w:pBdr>
        <w:left w:val="single" w:sz="4" w:space="0" w:color="auto"/>
        <w:right w:val="single" w:sz="4" w:space="0" w:color="auto"/>
      </w:pBdr>
      <w:spacing w:before="100" w:beforeAutospacing="1" w:after="100" w:afterAutospacing="1"/>
      <w:textAlignment w:val="center"/>
    </w:pPr>
  </w:style>
  <w:style w:type="paragraph" w:customStyle="1" w:styleId="xl63">
    <w:name w:val="xl63"/>
    <w:basedOn w:val="Normal"/>
    <w:pPr>
      <w:pBdr>
        <w:left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pPr>
      <w:pBdr>
        <w:left w:val="single" w:sz="4" w:space="0" w:color="auto"/>
        <w:right w:val="single" w:sz="4" w:space="0" w:color="auto"/>
      </w:pBdr>
      <w:spacing w:before="100" w:beforeAutospacing="1" w:after="100" w:afterAutospacing="1"/>
      <w:jc w:val="right"/>
      <w:textAlignment w:val="center"/>
    </w:p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Normal"/>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69">
    <w:name w:val="xl69"/>
    <w:basedOn w:val="Normal"/>
    <w:pPr>
      <w:pBdr>
        <w:left w:val="single" w:sz="4" w:space="0" w:color="auto"/>
        <w:right w:val="single" w:sz="4" w:space="0" w:color="auto"/>
      </w:pBdr>
      <w:spacing w:before="100" w:beforeAutospacing="1" w:after="100" w:afterAutospacing="1"/>
      <w:textAlignment w:val="center"/>
    </w:pPr>
  </w:style>
  <w:style w:type="paragraph" w:customStyle="1" w:styleId="xl70">
    <w:name w:val="xl70"/>
    <w:basedOn w:val="Normal"/>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
    <w:pPr>
      <w:pBdr>
        <w:left w:val="single" w:sz="4" w:space="0" w:color="auto"/>
        <w:bottom w:val="single" w:sz="4" w:space="0" w:color="auto"/>
        <w:right w:val="single" w:sz="4" w:space="0" w:color="auto"/>
      </w:pBdr>
      <w:spacing w:before="100" w:beforeAutospacing="1" w:after="100" w:afterAutospacing="1"/>
    </w:pPr>
  </w:style>
  <w:style w:type="paragraph" w:styleId="BodyTextIndent2">
    <w:name w:val="Body Text Indent 2"/>
    <w:basedOn w:val="Normal"/>
    <w:link w:val="BodyTextIndent2Char"/>
    <w:semiHidden/>
    <w:pPr>
      <w:ind w:firstLine="720"/>
      <w:jc w:val="both"/>
    </w:pPr>
  </w:style>
  <w:style w:type="character" w:styleId="CommentReference">
    <w:name w:val="annotation reference"/>
    <w:semiHidden/>
    <w:rPr>
      <w:sz w:val="16"/>
      <w:szCs w:val="16"/>
      <w:lang w:val="en-GB" w:eastAsia="en-GB"/>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lang w:val="en-GB" w:eastAsia="en-GB"/>
    </w:rPr>
  </w:style>
  <w:style w:type="character" w:customStyle="1" w:styleId="BodyTextIndentChar">
    <w:name w:val="Body Text Indent Char"/>
    <w:semiHidden/>
    <w:rPr>
      <w:sz w:val="24"/>
      <w:szCs w:val="24"/>
      <w:lang w:val="en-GB" w:eastAsia="en-GB"/>
    </w:rPr>
  </w:style>
  <w:style w:type="paragraph" w:styleId="Revision">
    <w:name w:val="Revision"/>
    <w:hidden/>
    <w:semiHidden/>
    <w:rPr>
      <w:sz w:val="24"/>
      <w:szCs w:val="24"/>
      <w:lang w:val="en-GB" w:eastAsia="en-GB"/>
    </w:rPr>
  </w:style>
  <w:style w:type="character" w:customStyle="1" w:styleId="FooterChar">
    <w:name w:val="Footer Char"/>
    <w:link w:val="Footer"/>
    <w:uiPriority w:val="99"/>
    <w:rsid w:val="00980A9B"/>
    <w:rPr>
      <w:sz w:val="24"/>
      <w:szCs w:val="24"/>
      <w:lang w:val="en-GB" w:eastAsia="en-GB"/>
    </w:rPr>
  </w:style>
  <w:style w:type="numbering" w:customStyle="1" w:styleId="NoList1">
    <w:name w:val="No List1"/>
    <w:next w:val="NoList"/>
    <w:uiPriority w:val="99"/>
    <w:semiHidden/>
    <w:unhideWhenUsed/>
    <w:rsid w:val="00985CD0"/>
  </w:style>
  <w:style w:type="character" w:customStyle="1" w:styleId="BodyTextChar">
    <w:name w:val="Body Text Char"/>
    <w:link w:val="BodyText"/>
    <w:semiHidden/>
    <w:rsid w:val="00985CD0"/>
    <w:rPr>
      <w:rFonts w:ascii="TimesLT" w:hAnsi="TimesLT"/>
      <w:noProof/>
      <w:sz w:val="24"/>
      <w:lang w:val="en-GB" w:eastAsia="en-GB"/>
    </w:rPr>
  </w:style>
  <w:style w:type="character" w:customStyle="1" w:styleId="BodyText2Char">
    <w:name w:val="Body Text 2 Char"/>
    <w:link w:val="BodyText2"/>
    <w:semiHidden/>
    <w:rsid w:val="00985CD0"/>
    <w:rPr>
      <w:b/>
      <w:bCs/>
      <w:sz w:val="24"/>
      <w:szCs w:val="24"/>
      <w:lang w:val="en-GB" w:eastAsia="en-GB"/>
    </w:rPr>
  </w:style>
  <w:style w:type="character" w:customStyle="1" w:styleId="BodyTextIndent2Char">
    <w:name w:val="Body Text Indent 2 Char"/>
    <w:link w:val="BodyTextIndent2"/>
    <w:semiHidden/>
    <w:rsid w:val="00985CD0"/>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b.lt/methodological_notes_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E48A9-E97A-4039-A6C7-6C933D03A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1211</Words>
  <Characters>6389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Pinigų ir kitų PFI balanso apžvalga</vt:lpstr>
    </vt:vector>
  </TitlesOfParts>
  <Company>Lietuvos bankas</Company>
  <LinksUpToDate>false</LinksUpToDate>
  <CharactersWithSpaces>7585</CharactersWithSpaces>
  <SharedDoc>false</SharedDoc>
  <HLinks>
    <vt:vector size="6" baseType="variant">
      <vt:variant>
        <vt:i4>6881383</vt:i4>
      </vt:variant>
      <vt:variant>
        <vt:i4>0</vt:i4>
      </vt:variant>
      <vt:variant>
        <vt:i4>0</vt:i4>
      </vt:variant>
      <vt:variant>
        <vt:i4>5</vt:i4>
      </vt:variant>
      <vt:variant>
        <vt:lpwstr>http://www.lb.lt/pinigu_finansiniu_instituciju_balanso_ir_pinigu_statistika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Pinigų ir kitų PFI balanso apžvalga</dc:title>
  <dc:creator>PFSS</dc:creator>
  <cp:lastModifiedBy>Zilvinas Kalinauskas</cp:lastModifiedBy>
  <cp:revision>11</cp:revision>
  <cp:lastPrinted>2014-07-25T10:56:00Z</cp:lastPrinted>
  <dcterms:created xsi:type="dcterms:W3CDTF">2015-12-29T12:57:00Z</dcterms:created>
  <dcterms:modified xsi:type="dcterms:W3CDTF">2016-06-23T09:04:00Z</dcterms:modified>
</cp:coreProperties>
</file>