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923" w:type="dxa"/>
        <w:tblInd w:w="-284" w:type="dxa"/>
        <w:tblLayout w:type="fixed"/>
        <w:tblLook w:val="00A0" w:firstRow="1" w:lastRow="0" w:firstColumn="1" w:lastColumn="0" w:noHBand="0" w:noVBand="0"/>
      </w:tblPr>
      <w:tblGrid>
        <w:gridCol w:w="3826"/>
        <w:gridCol w:w="283"/>
        <w:gridCol w:w="5245"/>
        <w:gridCol w:w="428"/>
        <w:gridCol w:w="141"/>
      </w:tblGrid>
      <w:tr w:rsidR="00C82218" w:rsidRPr="00CB7341" w14:paraId="146A8FB3" w14:textId="77777777" w:rsidTr="72E1C63A">
        <w:trPr>
          <w:gridAfter w:val="1"/>
          <w:wAfter w:w="141" w:type="dxa"/>
          <w:trHeight w:hRule="exact" w:val="1020"/>
        </w:trPr>
        <w:tc>
          <w:tcPr>
            <w:tcW w:w="9782" w:type="dxa"/>
            <w:gridSpan w:val="4"/>
          </w:tcPr>
          <w:p w14:paraId="43E07162" w14:textId="34EF28D1" w:rsidR="00C82218" w:rsidRPr="00CB7341" w:rsidRDefault="00C82218" w:rsidP="00F30B3B">
            <w:pPr>
              <w:jc w:val="center"/>
              <w:rPr>
                <w:color w:val="000000"/>
              </w:rPr>
            </w:pPr>
            <w:r w:rsidRPr="00CB7341">
              <w:rPr>
                <w:noProof/>
              </w:rPr>
              <w:drawing>
                <wp:inline distT="0" distB="0" distL="0" distR="0" wp14:anchorId="2BD692D6" wp14:editId="61CBEE89">
                  <wp:extent cx="504825" cy="571500"/>
                  <wp:effectExtent l="0" t="0" r="9525" b="0"/>
                  <wp:docPr id="2" name="Picture 2" descr="herbas-L_spalvot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erbas-L_spalvotas"/>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04825" cy="571500"/>
                          </a:xfrm>
                          <a:prstGeom prst="rect">
                            <a:avLst/>
                          </a:prstGeom>
                          <a:noFill/>
                          <a:ln>
                            <a:noFill/>
                          </a:ln>
                        </pic:spPr>
                      </pic:pic>
                    </a:graphicData>
                  </a:graphic>
                </wp:inline>
              </w:drawing>
            </w:r>
          </w:p>
        </w:tc>
      </w:tr>
      <w:tr w:rsidR="00C82218" w:rsidRPr="00CB7341" w14:paraId="77F4E0BD" w14:textId="77777777" w:rsidTr="72E1C63A">
        <w:trPr>
          <w:gridAfter w:val="1"/>
          <w:wAfter w:w="141" w:type="dxa"/>
          <w:trHeight w:hRule="exact" w:val="1134"/>
        </w:trPr>
        <w:tc>
          <w:tcPr>
            <w:tcW w:w="9782" w:type="dxa"/>
            <w:gridSpan w:val="4"/>
          </w:tcPr>
          <w:p w14:paraId="57178A5C" w14:textId="77777777" w:rsidR="00C82218" w:rsidRPr="00CB7341" w:rsidRDefault="00C82218" w:rsidP="00F30B3B">
            <w:pPr>
              <w:pStyle w:val="Heading1"/>
              <w:rPr>
                <w:szCs w:val="24"/>
              </w:rPr>
            </w:pPr>
            <w:r w:rsidRPr="00CB7341">
              <w:t>LIETUVOS BANKAS</w:t>
            </w:r>
          </w:p>
          <w:p w14:paraId="3D23DE70" w14:textId="6F7056E5" w:rsidR="00C82218" w:rsidRPr="00CB7341" w:rsidRDefault="00C82218" w:rsidP="00F30B3B">
            <w:pPr>
              <w:pStyle w:val="Heading1"/>
              <w:rPr>
                <w:szCs w:val="24"/>
              </w:rPr>
            </w:pPr>
            <w:r w:rsidRPr="00CB7341">
              <w:t>FINANCIAL MARKET SUPERVISION DEPARTMENT</w:t>
            </w:r>
          </w:p>
          <w:p w14:paraId="2419418F" w14:textId="77777777" w:rsidR="008267C3" w:rsidRPr="00CB7341" w:rsidRDefault="008267C3" w:rsidP="00F30B3B"/>
        </w:tc>
      </w:tr>
      <w:tr w:rsidR="00C82218" w:rsidRPr="00CB7341" w14:paraId="33E0FB61" w14:textId="77777777" w:rsidTr="009F402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gridAfter w:val="2"/>
          <w:wAfter w:w="569" w:type="dxa"/>
          <w:trHeight w:val="680"/>
        </w:trPr>
        <w:tc>
          <w:tcPr>
            <w:tcW w:w="9354" w:type="dxa"/>
            <w:gridSpan w:val="3"/>
            <w:tcBorders>
              <w:top w:val="nil"/>
              <w:left w:val="nil"/>
              <w:bottom w:val="nil"/>
              <w:right w:val="nil"/>
            </w:tcBorders>
          </w:tcPr>
          <w:p w14:paraId="085EB20B" w14:textId="77777777" w:rsidR="00C82218" w:rsidRPr="00CB7341" w:rsidRDefault="00C82218" w:rsidP="00F30B3B">
            <w:pPr>
              <w:rPr>
                <w:b/>
                <w:bCs/>
              </w:rPr>
            </w:pPr>
          </w:p>
        </w:tc>
      </w:tr>
      <w:tr w:rsidR="00C82218" w:rsidRPr="00CB7341" w14:paraId="5CBA9E61" w14:textId="77777777" w:rsidTr="72E1C63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gridAfter w:val="2"/>
          <w:wAfter w:w="569" w:type="dxa"/>
          <w:cantSplit/>
          <w:trHeight w:val="685"/>
        </w:trPr>
        <w:tc>
          <w:tcPr>
            <w:tcW w:w="3826" w:type="dxa"/>
            <w:tcBorders>
              <w:top w:val="nil"/>
              <w:left w:val="nil"/>
              <w:bottom w:val="nil"/>
              <w:right w:val="nil"/>
            </w:tcBorders>
          </w:tcPr>
          <w:p w14:paraId="1FA2EFB0" w14:textId="722DCC53" w:rsidR="00AF5CEF" w:rsidRPr="00CB7341" w:rsidRDefault="0008316B" w:rsidP="72E1C63A">
            <w:r w:rsidRPr="00CB7341">
              <w:t>To credit institutions on the list</w:t>
            </w:r>
          </w:p>
        </w:tc>
        <w:tc>
          <w:tcPr>
            <w:tcW w:w="283" w:type="dxa"/>
            <w:tcBorders>
              <w:top w:val="nil"/>
              <w:left w:val="nil"/>
              <w:bottom w:val="nil"/>
              <w:right w:val="nil"/>
            </w:tcBorders>
          </w:tcPr>
          <w:p w14:paraId="48D1FF10" w14:textId="77777777" w:rsidR="00C82218" w:rsidRPr="00CB7341" w:rsidRDefault="00C82218" w:rsidP="00F30B3B">
            <w:pPr>
              <w:pStyle w:val="Heading2"/>
              <w:rPr>
                <w:sz w:val="20"/>
              </w:rPr>
            </w:pPr>
          </w:p>
          <w:p w14:paraId="3B32F7A2" w14:textId="77777777" w:rsidR="00C82218" w:rsidRPr="00CB7341" w:rsidRDefault="00C82218" w:rsidP="00F30B3B">
            <w:pPr>
              <w:pStyle w:val="Heading2"/>
              <w:rPr>
                <w:sz w:val="20"/>
              </w:rPr>
            </w:pPr>
          </w:p>
        </w:tc>
        <w:tc>
          <w:tcPr>
            <w:tcW w:w="5245" w:type="dxa"/>
            <w:tcBorders>
              <w:top w:val="nil"/>
              <w:left w:val="nil"/>
              <w:bottom w:val="nil"/>
              <w:right w:val="nil"/>
            </w:tcBorders>
          </w:tcPr>
          <w:p w14:paraId="2D52CE21" w14:textId="4CD0D5BD" w:rsidR="00C82218" w:rsidRPr="00CB7341" w:rsidRDefault="00C82218" w:rsidP="00F30B3B">
            <w:r w:rsidRPr="00CB7341">
              <w:t xml:space="preserve">                No </w:t>
            </w:r>
          </w:p>
        </w:tc>
      </w:tr>
      <w:tr w:rsidR="00C82218" w:rsidRPr="00CB7341" w14:paraId="7E5C195A" w14:textId="77777777" w:rsidTr="72E1C63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gridAfter w:val="2"/>
          <w:wAfter w:w="569" w:type="dxa"/>
          <w:trHeight w:val="68"/>
        </w:trPr>
        <w:tc>
          <w:tcPr>
            <w:tcW w:w="9354" w:type="dxa"/>
            <w:gridSpan w:val="3"/>
            <w:tcBorders>
              <w:top w:val="nil"/>
              <w:left w:val="nil"/>
              <w:bottom w:val="nil"/>
              <w:right w:val="nil"/>
            </w:tcBorders>
          </w:tcPr>
          <w:p w14:paraId="7E5AD9A2" w14:textId="77777777" w:rsidR="00C82218" w:rsidRPr="00CB7341" w:rsidRDefault="00C82218" w:rsidP="00F30B3B">
            <w:pPr>
              <w:rPr>
                <w:b/>
                <w:bCs/>
              </w:rPr>
            </w:pPr>
          </w:p>
        </w:tc>
      </w:tr>
      <w:tr w:rsidR="00A176D5" w:rsidRPr="00CB7341" w14:paraId="01108267" w14:textId="77777777" w:rsidTr="72E1C63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trHeight w:val="134"/>
        </w:trPr>
        <w:tc>
          <w:tcPr>
            <w:tcW w:w="9923" w:type="dxa"/>
            <w:gridSpan w:val="5"/>
            <w:tcBorders>
              <w:top w:val="nil"/>
              <w:left w:val="nil"/>
              <w:bottom w:val="nil"/>
              <w:right w:val="nil"/>
            </w:tcBorders>
          </w:tcPr>
          <w:p w14:paraId="2E459B7D" w14:textId="62048E73" w:rsidR="00C82218" w:rsidRPr="00CB7341" w:rsidRDefault="00C82218" w:rsidP="001D7B10">
            <w:pPr>
              <w:jc w:val="both"/>
              <w:rPr>
                <w:b/>
              </w:rPr>
            </w:pPr>
            <w:r w:rsidRPr="00CB7341">
              <w:rPr>
                <w:b/>
              </w:rPr>
              <w:t xml:space="preserve">REGARDING INFORMATION ON AND AVAILABILITY OF THE BASIC PAYMENT ACCOUNT SERVICE </w:t>
            </w:r>
          </w:p>
          <w:p w14:paraId="3F6AE5C0" w14:textId="77777777" w:rsidR="00C82218" w:rsidRPr="00CB7341" w:rsidRDefault="00C82218" w:rsidP="001D7B10">
            <w:pPr>
              <w:ind w:firstLine="567"/>
              <w:jc w:val="both"/>
            </w:pPr>
          </w:p>
          <w:p w14:paraId="26065AAC" w14:textId="21BABF40" w:rsidR="009D57C0" w:rsidRPr="00CB7341" w:rsidRDefault="00C82218" w:rsidP="001D7B10">
            <w:pPr>
              <w:ind w:firstLine="493"/>
              <w:jc w:val="both"/>
            </w:pPr>
            <w:r w:rsidRPr="00CB7341">
              <w:t>Lietuvos bankas, exercising the powers conferred upon it by the Republic of Lithuania Law on the Bank of Lithuania (hereinafter, the Law on the Bank of Lithuania) and supervising the compliance of financial market participants, including credit institutions, with the requirements set out in the legal acts governing the financial market, in accordance with Article 42(4)(5) of the Law on the Bank of Lithuania, hereby draws the attention of the credit institutions providing the basic payment account service to the requirements set out in the Republic of Lithuania Law on Payments (hereinafter, the Law) and the provisions of the Guidelines for the Provision of Payment Services (hereinafter, the Guidelines) approved by Decision No V 2021/(34.3.E-3400)-419-30 of the Director of the Financial Market Supervision Service of Lietuvos bankas of 15 February 2021.</w:t>
            </w:r>
            <w:r w:rsidR="00FB666C" w:rsidRPr="00CB7341">
              <w:rPr>
                <w:vertAlign w:val="superscript"/>
              </w:rPr>
              <w:footnoteReference w:id="2"/>
            </w:r>
            <w:r w:rsidRPr="00CB7341">
              <w:t xml:space="preserve"> </w:t>
            </w:r>
          </w:p>
          <w:p w14:paraId="28264BA1" w14:textId="7E5CD4C4" w:rsidR="009E2032" w:rsidRPr="00CB7341" w:rsidRDefault="001647A8" w:rsidP="001D7B10">
            <w:pPr>
              <w:ind w:firstLine="493"/>
              <w:jc w:val="both"/>
            </w:pPr>
            <w:r w:rsidRPr="00CB7341">
              <w:t>Taking into account the applications received by Lietuvos bankas from payment service users (natural persons) and having randomly evaluated the information publicly available on the websites of the respective credit institutions about the basic payment account service provided by the credit institutions, Lietuvos bankas hereby draws your attention to the requirements for information on the said service, in order to ensure that the Law is not violated, the examples of good practice are followed and the protection of consumer rights and legitimate interests is ensured.</w:t>
            </w:r>
          </w:p>
          <w:p w14:paraId="348548F0" w14:textId="77777777" w:rsidR="00C82218" w:rsidRPr="00CB7341" w:rsidRDefault="00C82218" w:rsidP="001D7B10">
            <w:pPr>
              <w:ind w:firstLine="493"/>
              <w:jc w:val="both"/>
            </w:pPr>
          </w:p>
          <w:p w14:paraId="44153B76" w14:textId="1AECFA83" w:rsidR="004F1F61" w:rsidRPr="00CB7341" w:rsidRDefault="0064282D" w:rsidP="0064282D">
            <w:pPr>
              <w:tabs>
                <w:tab w:val="left" w:pos="918"/>
                <w:tab w:val="left" w:pos="1060"/>
              </w:tabs>
              <w:jc w:val="both"/>
              <w:rPr>
                <w:b/>
                <w:bCs/>
                <w:i/>
                <w:iCs/>
              </w:rPr>
            </w:pPr>
            <w:r w:rsidRPr="00CB7341">
              <w:rPr>
                <w:b/>
                <w:i/>
              </w:rPr>
              <w:t xml:space="preserve">I. On the provision of information in a clear and comprehensible manner </w:t>
            </w:r>
          </w:p>
          <w:p w14:paraId="40D7DC56" w14:textId="558FD557" w:rsidR="00746854" w:rsidRPr="00CB7341" w:rsidRDefault="00A73E77" w:rsidP="001D7B10">
            <w:pPr>
              <w:pStyle w:val="ListParagraph"/>
              <w:tabs>
                <w:tab w:val="left" w:pos="918"/>
                <w:tab w:val="left" w:pos="1060"/>
              </w:tabs>
              <w:ind w:left="606"/>
              <w:jc w:val="both"/>
              <w:rPr>
                <w:b/>
                <w:bCs/>
                <w:i/>
                <w:iCs/>
              </w:rPr>
            </w:pPr>
            <w:r w:rsidRPr="00CB7341">
              <w:rPr>
                <w:b/>
                <w:i/>
              </w:rPr>
              <w:t xml:space="preserve"> </w:t>
            </w:r>
          </w:p>
          <w:p w14:paraId="609CE9F5" w14:textId="43D2BAA0" w:rsidR="00DE2EB2" w:rsidRPr="00CB7341" w:rsidRDefault="00EC5148" w:rsidP="00DE2EB2">
            <w:pPr>
              <w:tabs>
                <w:tab w:val="left" w:pos="918"/>
                <w:tab w:val="left" w:pos="1060"/>
              </w:tabs>
              <w:ind w:firstLine="606"/>
              <w:jc w:val="both"/>
            </w:pPr>
            <w:r w:rsidRPr="00CB7341">
              <w:t>Please be reminded that Article 13(1) of the Law obliges payment service providers (PSPs), including credit institutions, to present the terms of provision of payment services, framework contracts for payment services, their annexes, other documents which are an integral part of the contracts (hereinafter collectively or individually, the Documents), information published on websites, including the names of the payment services and the fees for them in such a way that all the information provided to the payment service user (PSU) is comprehensible and clear. Lietuvos bankas has already drawn the attention of supervised PSPs in its 2023 Dear CEO letter</w:t>
            </w:r>
            <w:r w:rsidR="005A0E70" w:rsidRPr="00CB7341">
              <w:rPr>
                <w:rStyle w:val="FootnoteReference"/>
                <w:bCs/>
              </w:rPr>
              <w:footnoteReference w:id="3"/>
            </w:r>
            <w:r w:rsidRPr="00CB7341">
              <w:t xml:space="preserve"> that PSPs should not only ensure that certain information is provided to PSUs, but also that it should be presented in such a way that the PSU can </w:t>
            </w:r>
            <w:r w:rsidRPr="00CB7341">
              <w:rPr>
                <w:b/>
              </w:rPr>
              <w:t>easily grasp</w:t>
            </w:r>
            <w:r w:rsidRPr="00CB7341">
              <w:t xml:space="preserve"> the substance of the information provided and that </w:t>
            </w:r>
            <w:r w:rsidRPr="00CB7341">
              <w:rPr>
                <w:b/>
              </w:rPr>
              <w:t>any misleading is avoided</w:t>
            </w:r>
            <w:r w:rsidRPr="00CB7341">
              <w:t xml:space="preserve">. </w:t>
            </w:r>
          </w:p>
          <w:p w14:paraId="3A0C0B35" w14:textId="77777777" w:rsidR="00DE2EB2" w:rsidRPr="00CB7341" w:rsidRDefault="00DE2EB2" w:rsidP="00DE2EB2">
            <w:pPr>
              <w:tabs>
                <w:tab w:val="left" w:pos="918"/>
                <w:tab w:val="left" w:pos="1060"/>
              </w:tabs>
              <w:ind w:firstLine="606"/>
              <w:jc w:val="both"/>
              <w:rPr>
                <w:b/>
                <w:bCs/>
                <w:i/>
                <w:iCs/>
              </w:rPr>
            </w:pPr>
          </w:p>
          <w:p w14:paraId="7592645C" w14:textId="4F49CCD3" w:rsidR="00E850B1" w:rsidRPr="00CB7341" w:rsidRDefault="00DE2EB2" w:rsidP="72E1C63A">
            <w:pPr>
              <w:tabs>
                <w:tab w:val="left" w:pos="918"/>
                <w:tab w:val="left" w:pos="1060"/>
              </w:tabs>
              <w:jc w:val="both"/>
              <w:rPr>
                <w:b/>
                <w:bCs/>
                <w:i/>
                <w:iCs/>
              </w:rPr>
            </w:pPr>
            <w:r w:rsidRPr="00CB7341">
              <w:rPr>
                <w:b/>
                <w:i/>
              </w:rPr>
              <w:t>II. On the provision of information on the basic payment account service</w:t>
            </w:r>
          </w:p>
          <w:p w14:paraId="3B24ACF6" w14:textId="759627F1" w:rsidR="00EB3CB9" w:rsidRPr="00CB7341" w:rsidRDefault="00EB3CB9" w:rsidP="00E850B1">
            <w:pPr>
              <w:pStyle w:val="ListParagraph"/>
              <w:tabs>
                <w:tab w:val="left" w:pos="918"/>
                <w:tab w:val="left" w:pos="1060"/>
              </w:tabs>
              <w:ind w:left="1287"/>
              <w:jc w:val="both"/>
              <w:rPr>
                <w:b/>
                <w:bCs/>
                <w:i/>
                <w:iCs/>
              </w:rPr>
            </w:pPr>
          </w:p>
          <w:p w14:paraId="33C62ED2" w14:textId="63827FF3" w:rsidR="00E85F9A" w:rsidRPr="00CB7341" w:rsidRDefault="0058202D" w:rsidP="00A21A0F">
            <w:pPr>
              <w:tabs>
                <w:tab w:val="left" w:pos="918"/>
                <w:tab w:val="left" w:pos="1060"/>
              </w:tabs>
              <w:ind w:firstLine="606"/>
              <w:jc w:val="both"/>
            </w:pPr>
            <w:r w:rsidRPr="00CB7341">
              <w:t xml:space="preserve">According to Article 2(44) of the Law, a basic payment account means a payment account opened with a credit institution in the name of one or more consumers, which is used for the execution of the payment transactions and the provision of the services referred to in Article 72(1) of the Law and is subject to the commission fee referred to in Article 73 of the Law. </w:t>
            </w:r>
          </w:p>
          <w:p w14:paraId="580F4262" w14:textId="064E6299" w:rsidR="00A21A0F" w:rsidRPr="00CB7341" w:rsidRDefault="00A50377" w:rsidP="00A21A0F">
            <w:pPr>
              <w:tabs>
                <w:tab w:val="left" w:pos="918"/>
                <w:tab w:val="left" w:pos="1060"/>
              </w:tabs>
              <w:ind w:firstLine="606"/>
              <w:jc w:val="both"/>
            </w:pPr>
            <w:r w:rsidRPr="00CB7341">
              <w:t xml:space="preserve">Please note that on 1 January 2025 amendments to the Law entered into force concerning the determination of the new </w:t>
            </w:r>
            <w:r w:rsidRPr="00CB7341">
              <w:rPr>
                <w:b/>
              </w:rPr>
              <w:t>scope of the basic payment account</w:t>
            </w:r>
            <w:r w:rsidR="00A21A0F" w:rsidRPr="00CB7341">
              <w:rPr>
                <w:vertAlign w:val="superscript"/>
              </w:rPr>
              <w:footnoteReference w:id="4"/>
            </w:r>
            <w:r w:rsidRPr="00CB7341">
              <w:t xml:space="preserve"> and</w:t>
            </w:r>
            <w:r w:rsidRPr="00CB7341">
              <w:rPr>
                <w:b/>
              </w:rPr>
              <w:t xml:space="preserve"> the commission fee for the basic payment account service, and the provision of general information on the basic payment account</w:t>
            </w:r>
            <w:r w:rsidRPr="00CB7341">
              <w:t>.</w:t>
            </w:r>
            <w:r w:rsidRPr="00CB7341">
              <w:rPr>
                <w:b/>
              </w:rPr>
              <w:t xml:space="preserve"> </w:t>
            </w:r>
            <w:r w:rsidRPr="00CB7341">
              <w:t>Lietuvos bankas publishes in its public communications</w:t>
            </w:r>
            <w:r w:rsidR="00A21A0F" w:rsidRPr="00CB7341">
              <w:rPr>
                <w:vertAlign w:val="superscript"/>
              </w:rPr>
              <w:footnoteReference w:id="5"/>
            </w:r>
            <w:r w:rsidRPr="00CB7341">
              <w:t xml:space="preserve"> all relevant information on the composition of the basic payment account package and the applicable fee for private customers, as well as other relevant information related to the characteristics and conditions of application of this service. </w:t>
            </w:r>
          </w:p>
          <w:p w14:paraId="7FDC6420" w14:textId="3F89184D" w:rsidR="00F1476A" w:rsidRPr="00CB7341" w:rsidRDefault="00F1476A" w:rsidP="00F1476A">
            <w:pPr>
              <w:tabs>
                <w:tab w:val="left" w:pos="918"/>
                <w:tab w:val="left" w:pos="1060"/>
              </w:tabs>
              <w:ind w:firstLine="606"/>
              <w:jc w:val="both"/>
            </w:pPr>
            <w:r w:rsidRPr="00CB7341">
              <w:t>It should be noted that Article 71 of the Law stipulates that credit institutions</w:t>
            </w:r>
            <w:r w:rsidRPr="00CB7341">
              <w:rPr>
                <w:vertAlign w:val="superscript"/>
              </w:rPr>
              <w:footnoteReference w:id="6"/>
            </w:r>
            <w:r w:rsidRPr="00CB7341">
              <w:t xml:space="preserve"> which normally provide to consumers the services included in the payment service package (other than cash deposit services) </w:t>
            </w:r>
            <w:r w:rsidRPr="00CB7341">
              <w:rPr>
                <w:b/>
                <w:bCs/>
              </w:rPr>
              <w:t>are obliged to provide</w:t>
            </w:r>
            <w:r w:rsidRPr="00CB7341">
              <w:t xml:space="preserve"> the basic payment account service. If a credit institution does not provide any of the listed services, e.g. has not issued a payment card, it is not obliged to provide the basic payment account service. </w:t>
            </w:r>
          </w:p>
          <w:p w14:paraId="314F4D54" w14:textId="11B9FBE3" w:rsidR="0076002B" w:rsidRPr="00CB7341" w:rsidRDefault="00F21F08" w:rsidP="0076002B">
            <w:pPr>
              <w:tabs>
                <w:tab w:val="left" w:pos="918"/>
                <w:tab w:val="left" w:pos="1060"/>
              </w:tabs>
              <w:ind w:firstLine="606"/>
              <w:jc w:val="both"/>
            </w:pPr>
            <w:r w:rsidRPr="00CB7341">
              <w:t xml:space="preserve">Please note that, in accordance with Article 75(1) and (2) of the Law, credit institutions </w:t>
            </w:r>
            <w:r w:rsidRPr="00CB7341">
              <w:rPr>
                <w:b/>
                <w:bCs/>
              </w:rPr>
              <w:t>inform the consumer</w:t>
            </w:r>
            <w:r w:rsidRPr="00CB7341">
              <w:t xml:space="preserve"> on their websites and at customer service points accessible to PSUs </w:t>
            </w:r>
            <w:r w:rsidRPr="00CB7341">
              <w:rPr>
                <w:b/>
                <w:bCs/>
              </w:rPr>
              <w:t>about the availability of the basic payment account service</w:t>
            </w:r>
            <w:r w:rsidRPr="00CB7341">
              <w:t xml:space="preserve">, its general pricing terms, the procedure to be followed to exercise the right to have a basic payment account, and the ways of accessing the out-of-court procedure for settlement of consumer disputes in order to settle disputes. Credit institutions also </w:t>
            </w:r>
            <w:r w:rsidRPr="00CB7341">
              <w:rPr>
                <w:b/>
                <w:bCs/>
              </w:rPr>
              <w:t>provide</w:t>
            </w:r>
            <w:r w:rsidRPr="00CB7341">
              <w:t xml:space="preserve"> the consumer, </w:t>
            </w:r>
            <w:r w:rsidRPr="00CB7341">
              <w:rPr>
                <w:b/>
                <w:bCs/>
              </w:rPr>
              <w:t>at no additional costs, with accessible information on the characteristics of the basic payment account</w:t>
            </w:r>
            <w:r w:rsidRPr="00CB7341">
              <w:t xml:space="preserve">, the commission fees associated with it, the terms for its use and the related assistance. Credit institutions </w:t>
            </w:r>
            <w:proofErr w:type="gramStart"/>
            <w:r w:rsidRPr="00CB7341">
              <w:rPr>
                <w:b/>
                <w:bCs/>
              </w:rPr>
              <w:t>have to</w:t>
            </w:r>
            <w:proofErr w:type="gramEnd"/>
            <w:r w:rsidRPr="00CB7341">
              <w:rPr>
                <w:b/>
                <w:bCs/>
              </w:rPr>
              <w:t xml:space="preserve"> include an alternative to the basic payment account service</w:t>
            </w:r>
            <w:r w:rsidRPr="00CB7341">
              <w:t xml:space="preserve"> in the offer made to the consumer for the conclusion of a framework contract. When providing this information, credit institutions make it clear that the use of the basic payment account service does not require the purchase of additional services.</w:t>
            </w:r>
          </w:p>
          <w:p w14:paraId="7843922C" w14:textId="68945E20" w:rsidR="006D5F03" w:rsidRPr="00CB7341" w:rsidRDefault="00AF5CEF" w:rsidP="00703072">
            <w:pPr>
              <w:tabs>
                <w:tab w:val="left" w:pos="918"/>
                <w:tab w:val="left" w:pos="1060"/>
              </w:tabs>
              <w:ind w:firstLine="606"/>
              <w:jc w:val="both"/>
              <w:rPr>
                <w:b/>
              </w:rPr>
            </w:pPr>
            <w:r w:rsidRPr="00CB7341">
              <w:t xml:space="preserve">The requirements of the above-mentioned provision of the Law that “the institution shall include an alternative to the basic payment account service in the offer made to the consumer for the conclusion of a framework contract” apply to cases where a contract is concluded (an account is opened). At the time of conclusion of the contract, the PSU normally </w:t>
            </w:r>
            <w:proofErr w:type="gramStart"/>
            <w:r w:rsidRPr="00CB7341">
              <w:t>has to</w:t>
            </w:r>
            <w:proofErr w:type="gramEnd"/>
            <w:r w:rsidRPr="00CB7341">
              <w:t xml:space="preserve"> choose the scope of the services provided by the PSP and the pricing method, </w:t>
            </w:r>
            <w:r w:rsidRPr="00CB7341">
              <w:rPr>
                <w:b/>
                <w:bCs/>
              </w:rPr>
              <w:t>either one of the offered plans or to pay a commission fee for each service and transaction separately</w:t>
            </w:r>
            <w:r w:rsidRPr="00CB7341">
              <w:t xml:space="preserve">. This provision therefore implies that when the PSU chooses between the plans offered by the PSP, </w:t>
            </w:r>
            <w:r w:rsidRPr="00CB7341">
              <w:rPr>
                <w:b/>
                <w:bCs/>
              </w:rPr>
              <w:t>an alternative to the basic payment account option must also be presented</w:t>
            </w:r>
            <w:r w:rsidRPr="00CB7341">
              <w:t xml:space="preserve">. </w:t>
            </w:r>
            <w:r w:rsidRPr="00CB7341">
              <w:rPr>
                <w:b/>
                <w:bCs/>
              </w:rPr>
              <w:t>This information must be provided in a similar way to the way the PSP provides information on other options.</w:t>
            </w:r>
            <w:r w:rsidRPr="00CB7341">
              <w:t xml:space="preserve"> For example, when opening an account online, all the plans listed must be provided for the PSU to choose one. The information may be provided verbally at the customer service branch of the PSP, either by giving an information leaflet or by other means to ensure that the PSU has been provided with the necessary information about the available options. The specific method also depends on the PSP’s current practice of opening accounts for PSUs. It is important to note that in the event of a dispute regarding proper provision of information, the PSP is required to prove that the information about the </w:t>
            </w:r>
            <w:r w:rsidRPr="00CB7341">
              <w:rPr>
                <w:b/>
                <w:bCs/>
              </w:rPr>
              <w:t>alternative to the basic payment account service has been provided to the PSU and that the PSU has received such information from the PSP</w:t>
            </w:r>
            <w:r w:rsidRPr="00CB7341">
              <w:t>.</w:t>
            </w:r>
          </w:p>
          <w:p w14:paraId="3C7C4018" w14:textId="50CCE9C6" w:rsidR="00605D9D" w:rsidRPr="00CB7341" w:rsidRDefault="00CC4E58" w:rsidP="00AF5CEF">
            <w:pPr>
              <w:tabs>
                <w:tab w:val="left" w:pos="918"/>
                <w:tab w:val="left" w:pos="1060"/>
              </w:tabs>
              <w:ind w:firstLine="606"/>
              <w:jc w:val="both"/>
              <w:rPr>
                <w:bCs/>
              </w:rPr>
            </w:pPr>
            <w:r w:rsidRPr="00CB7341">
              <w:t>It should also be noted that Article 15(1</w:t>
            </w:r>
            <w:r w:rsidRPr="00CB7341">
              <w:rPr>
                <w:vertAlign w:val="superscript"/>
              </w:rPr>
              <w:t>1</w:t>
            </w:r>
            <w:r w:rsidRPr="00CB7341">
              <w:t>) of the Law</w:t>
            </w:r>
            <w:bookmarkStart w:id="0" w:name="_Hlk183010100"/>
            <w:r w:rsidRPr="00CB7341">
              <w:t xml:space="preserve">, which entered into force on 1 January 2025, lays down </w:t>
            </w:r>
            <w:bookmarkEnd w:id="0"/>
            <w:r w:rsidRPr="00CB7341">
              <w:t xml:space="preserve">that a payment service provider, when changing the commission fee rates for payment account services provided to consumers, </w:t>
            </w:r>
            <w:r w:rsidRPr="00CB7341">
              <w:rPr>
                <w:b/>
                <w:bCs/>
              </w:rPr>
              <w:t>also provides</w:t>
            </w:r>
            <w:r w:rsidRPr="00CB7341">
              <w:t xml:space="preserve"> the consumer, </w:t>
            </w:r>
            <w:r w:rsidRPr="00CB7341">
              <w:rPr>
                <w:b/>
                <w:bCs/>
              </w:rPr>
              <w:t>together with the information on the changes</w:t>
            </w:r>
            <w:r w:rsidRPr="00CB7341">
              <w:t xml:space="preserve">, as referred to in paragraph 1 of this Article, </w:t>
            </w:r>
            <w:r w:rsidRPr="00CB7341">
              <w:rPr>
                <w:b/>
                <w:bCs/>
              </w:rPr>
              <w:t>with information about the possibility to change the applicable pricing method for payment services to another method offered by the payment service provider</w:t>
            </w:r>
            <w:r w:rsidRPr="00CB7341">
              <w:t xml:space="preserve"> and, where the </w:t>
            </w:r>
            <w:r w:rsidRPr="00CB7341">
              <w:lastRenderedPageBreak/>
              <w:t xml:space="preserve">payment service provider is a credit institution operating in the territory of the Republic of Lithuania which provides a basic payment account service as set out in Article 71(2) of the Law, </w:t>
            </w:r>
            <w:r w:rsidRPr="00CB7341">
              <w:rPr>
                <w:b/>
                <w:bCs/>
              </w:rPr>
              <w:t>additionally informs in easily understandable words, in a clear and comprehensible manner, about the possibility of accessing a basic payment account service</w:t>
            </w:r>
            <w:r w:rsidRPr="00CB7341">
              <w:t xml:space="preserve">. </w:t>
            </w:r>
          </w:p>
          <w:p w14:paraId="1F06E21F" w14:textId="5859C3B6" w:rsidR="00FA4B26" w:rsidRPr="00CB7341" w:rsidRDefault="006F1576" w:rsidP="00DC44AD">
            <w:pPr>
              <w:tabs>
                <w:tab w:val="left" w:pos="918"/>
                <w:tab w:val="left" w:pos="1060"/>
              </w:tabs>
              <w:ind w:firstLine="606"/>
              <w:jc w:val="both"/>
            </w:pPr>
            <w:r w:rsidRPr="00CB7341">
              <w:t xml:space="preserve">Lietuvos bankas, in explaining the requirements of the above-mentioned provision of the Law that the credit institution “shall provide information about the possibility to change the applicable pricing method for payment services to another method offered by the payment service provider”, points out that the PSP has to provide general information, encouraging PSUs to </w:t>
            </w:r>
            <w:r w:rsidRPr="00CB7341">
              <w:rPr>
                <w:b/>
                <w:bCs/>
              </w:rPr>
              <w:t>evaluate their plan</w:t>
            </w:r>
            <w:r w:rsidRPr="00CB7341">
              <w:t xml:space="preserve"> (or other pricing method used) and to decide whether it is worth to change the plan or to keep their current plan. Typically, </w:t>
            </w:r>
            <w:r w:rsidRPr="00CB7341">
              <w:rPr>
                <w:b/>
                <w:bCs/>
              </w:rPr>
              <w:t>the PSP offers several pricing options (plans as well as the possibility to be charged for each service (payment) separately) and PSUs can choose</w:t>
            </w:r>
            <w:r w:rsidRPr="00CB7341">
              <w:t xml:space="preserve">. If the credit institution is required to provide a basic payment account service, it must additionally indicate that </w:t>
            </w:r>
            <w:r w:rsidRPr="00CB7341">
              <w:rPr>
                <w:b/>
                <w:bCs/>
              </w:rPr>
              <w:t>the options include a basic payment account service</w:t>
            </w:r>
            <w:r w:rsidRPr="00CB7341">
              <w:t>.</w:t>
            </w:r>
            <w:r w:rsidRPr="00CB7341">
              <w:rPr>
                <w:b/>
              </w:rPr>
              <w:t xml:space="preserve"> </w:t>
            </w:r>
            <w:r w:rsidRPr="00CB7341">
              <w:t>We would also like to clarify that the pricing method generally refers to the composition of fees paid by the PSU to the PSP for the services provided by the PSP. This may include different plans offered by the PSP, as well as the case where service fees are charged on a per service or payment transaction basis. The basic payment account service is also considered as a pricing option.</w:t>
            </w:r>
          </w:p>
          <w:p w14:paraId="2ACE126D" w14:textId="06B61169" w:rsidR="002F2712" w:rsidRPr="00CB7341" w:rsidRDefault="00A91925" w:rsidP="00E9202C">
            <w:pPr>
              <w:tabs>
                <w:tab w:val="left" w:pos="918"/>
                <w:tab w:val="left" w:pos="1060"/>
              </w:tabs>
              <w:ind w:firstLine="606"/>
              <w:jc w:val="both"/>
            </w:pPr>
            <w:r w:rsidRPr="00CB7341">
              <w:t xml:space="preserve">When assessing the names of the basic payment account service used by credit institutions, Lietuvos bankas notes that it is considered bad practice for credit institutions not to indicate anywhere or to indicate in such a way that it is not clear to the PSU that the offered plan corresponds to the characteristics of the basic payment account service. </w:t>
            </w:r>
          </w:p>
          <w:p w14:paraId="76412B94" w14:textId="11C69907" w:rsidR="006323CB" w:rsidRPr="00CB7341" w:rsidRDefault="006323CB" w:rsidP="00E9202C">
            <w:pPr>
              <w:tabs>
                <w:tab w:val="left" w:pos="918"/>
                <w:tab w:val="left" w:pos="1060"/>
              </w:tabs>
              <w:ind w:firstLine="606"/>
              <w:jc w:val="both"/>
              <w:rPr>
                <w:bCs/>
              </w:rPr>
            </w:pPr>
            <w:r w:rsidRPr="00CB7341">
              <w:t xml:space="preserve">It is considered </w:t>
            </w:r>
            <w:r w:rsidRPr="00CB7341">
              <w:rPr>
                <w:i/>
                <w:iCs/>
              </w:rPr>
              <w:t>good practice</w:t>
            </w:r>
            <w:r w:rsidRPr="00CB7341">
              <w:t xml:space="preserve"> for the </w:t>
            </w:r>
            <w:r w:rsidRPr="00CB7341">
              <w:rPr>
                <w:b/>
                <w:bCs/>
              </w:rPr>
              <w:t>name</w:t>
            </w:r>
            <w:r w:rsidRPr="00CB7341">
              <w:t xml:space="preserve"> of the basic payment account service (package) indicated in the Documents and the information published on websites </w:t>
            </w:r>
            <w:r w:rsidRPr="00CB7341">
              <w:rPr>
                <w:b/>
                <w:bCs/>
              </w:rPr>
              <w:t>to be consistent with the name of the basic payment account as set out in the Law or to be accompanied by a clear indication that the service offered is equivalent to a basic payment account service</w:t>
            </w:r>
            <w:r w:rsidRPr="00CB7341">
              <w:t xml:space="preserve">. Lietuvos bankas recommends that credit institutions provide detailed information on the service plan offered, including the basic payment account service, e.g. by marking with an asterisk (*) and by providing all necessary detailed explanations to the PSU on that </w:t>
            </w:r>
            <w:proofErr w:type="gramStart"/>
            <w:r w:rsidRPr="00CB7341">
              <w:t>particular service</w:t>
            </w:r>
            <w:proofErr w:type="gramEnd"/>
            <w:r w:rsidRPr="00CB7341">
              <w:t xml:space="preserve"> plan. This would help PSUs to choose the services they use and the service plan that suits their future needs or preferences. </w:t>
            </w:r>
          </w:p>
          <w:p w14:paraId="51A8928B" w14:textId="364EC0BF" w:rsidR="00174C2E" w:rsidRPr="00CB7341" w:rsidRDefault="00B80939" w:rsidP="00E9202C">
            <w:pPr>
              <w:tabs>
                <w:tab w:val="left" w:pos="918"/>
                <w:tab w:val="left" w:pos="1060"/>
              </w:tabs>
              <w:ind w:firstLine="606"/>
              <w:jc w:val="both"/>
              <w:rPr>
                <w:bCs/>
              </w:rPr>
            </w:pPr>
            <w:r w:rsidRPr="00CB7341">
              <w:t xml:space="preserve">It is also considered </w:t>
            </w:r>
            <w:r w:rsidRPr="00CB7341">
              <w:rPr>
                <w:i/>
                <w:iCs/>
              </w:rPr>
              <w:t>good practice</w:t>
            </w:r>
            <w:r w:rsidRPr="00CB7341">
              <w:t xml:space="preserve"> for a PSU to be adequately informed by the credit institution of the availability of a basic payment account, its general terms and the procedure to be followed in order to exercise the right to have a basic payment account, and to be provided with all the necessary information related to the protection of the PSU’s rights and interests, as set out in</w:t>
            </w:r>
            <w:r w:rsidR="00D50C5B">
              <w:t xml:space="preserve"> </w:t>
            </w:r>
            <w:r w:rsidRPr="00CB7341">
              <w:t xml:space="preserve">Article 75(1) and (2) of the Law. </w:t>
            </w:r>
          </w:p>
          <w:p w14:paraId="44685DEE" w14:textId="173C4963" w:rsidR="008D05EC" w:rsidRPr="00CB7341" w:rsidRDefault="009F4AFA" w:rsidP="00CE578C">
            <w:pPr>
              <w:tabs>
                <w:tab w:val="left" w:pos="918"/>
                <w:tab w:val="left" w:pos="1060"/>
              </w:tabs>
              <w:ind w:firstLine="606"/>
              <w:jc w:val="both"/>
            </w:pPr>
            <w:r w:rsidRPr="00CB7341">
              <w:t xml:space="preserve">Having assessed the applications received by Lietuvos bankas and the information publicly available on the websites of credit institutions about the fees for private customers, including information on the basic payment account service, Lietuvos bankas has observed that there are still cases when credit institutions, when publishing the information on the composition of payment service packages and the fees for private customers, do not have a separate section of the basic payment account service package in the list of fees and the service packages (plans) they offer, where the information is provided in a similar way as for other plans (e.g. the information on the basic payment account package is available to the PSU only by downloading a separate document drawn up by the credit institution, which is located in a different section of the credit institution’s website than the information on the plans offered and/or the fees applicable; the information on the basic payment account package is only available through online search engines, etc.). </w:t>
            </w:r>
          </w:p>
          <w:p w14:paraId="0DC12689" w14:textId="789EACC8" w:rsidR="00BD15A3" w:rsidRPr="00CB7341" w:rsidRDefault="007B3B52" w:rsidP="00BD15A3">
            <w:pPr>
              <w:tabs>
                <w:tab w:val="left" w:pos="918"/>
                <w:tab w:val="left" w:pos="1060"/>
              </w:tabs>
              <w:ind w:firstLine="606"/>
              <w:jc w:val="both"/>
            </w:pPr>
            <w:r w:rsidRPr="00CB7341">
              <w:t xml:space="preserve">It should be noted that, as stated in paragraph 4.3.5 of the Guidelines, information which is closely interlinked should be presented in a single document or in such a way that the payment service users can easily and conveniently find all the information relevant to them (without the need to search through all the documents provided) &lt;...&gt;. According to Lietuvos bankas, such indication by the PSP of the information on the basic payment account package separately from the other published packages and fees of payment services is considered to be an inadequate disclosure of the information to the PSU and a restriction of the right to receive the required information in full, therefore the basic payment account package provided for by the Law should be visibly presented among the other packages (plans) offered by the PSP. Although the Law does not provide for the requirements for the form of such information, it is good practice for the information on the payment service packages offered to </w:t>
            </w:r>
            <w:r w:rsidRPr="00CB7341">
              <w:rPr>
                <w:b/>
                <w:bCs/>
              </w:rPr>
              <w:t>clearly identify all the payment service packages offered by the PSP,</w:t>
            </w:r>
            <w:r w:rsidRPr="00CB7341">
              <w:t xml:space="preserve"> </w:t>
            </w:r>
            <w:r w:rsidRPr="00CB7341">
              <w:rPr>
                <w:b/>
                <w:bCs/>
              </w:rPr>
              <w:t xml:space="preserve">with clear details of the composition of each package and the applicable fee, and for the essential information relevant to the PSU to be provided in a single document, or in such a way that the PSU finds it easy and convenient to find all the relevant information on all the payment service packages and </w:t>
            </w:r>
            <w:r w:rsidRPr="00CB7341">
              <w:rPr>
                <w:b/>
                <w:bCs/>
              </w:rPr>
              <w:lastRenderedPageBreak/>
              <w:t>the fees thereof</w:t>
            </w:r>
            <w:r w:rsidRPr="00CB7341">
              <w:t>.</w:t>
            </w:r>
          </w:p>
          <w:p w14:paraId="10E64332" w14:textId="7D7D8169" w:rsidR="00E70F96" w:rsidRPr="00CB7341" w:rsidRDefault="00E70F96" w:rsidP="72E1C63A">
            <w:pPr>
              <w:tabs>
                <w:tab w:val="left" w:pos="918"/>
                <w:tab w:val="left" w:pos="1060"/>
              </w:tabs>
              <w:ind w:firstLine="606"/>
              <w:jc w:val="both"/>
            </w:pPr>
            <w:bookmarkStart w:id="1" w:name="part_da284ecc885e4eb88c44ee809fc6d308"/>
            <w:bookmarkEnd w:id="1"/>
          </w:p>
          <w:p w14:paraId="28678610" w14:textId="1028BE05" w:rsidR="00BD15A3" w:rsidRPr="00CB7341" w:rsidRDefault="001234A2" w:rsidP="00FC316E">
            <w:pPr>
              <w:tabs>
                <w:tab w:val="left" w:pos="918"/>
                <w:tab w:val="left" w:pos="1060"/>
              </w:tabs>
              <w:jc w:val="both"/>
              <w:rPr>
                <w:b/>
                <w:bCs/>
                <w:i/>
                <w:iCs/>
              </w:rPr>
            </w:pPr>
            <w:r w:rsidRPr="00CB7341">
              <w:rPr>
                <w:b/>
                <w:i/>
              </w:rPr>
              <w:t xml:space="preserve">III. On the availability of the basic payment account service to PSUs  </w:t>
            </w:r>
          </w:p>
          <w:p w14:paraId="503ADFA3" w14:textId="77777777" w:rsidR="00BD15A3" w:rsidRPr="00CB7341" w:rsidRDefault="00BD15A3" w:rsidP="00275306">
            <w:pPr>
              <w:tabs>
                <w:tab w:val="left" w:pos="918"/>
              </w:tabs>
              <w:ind w:firstLine="606"/>
              <w:jc w:val="both"/>
              <w:rPr>
                <w:b/>
                <w:bCs/>
              </w:rPr>
            </w:pPr>
          </w:p>
          <w:p w14:paraId="60507CE9" w14:textId="7A575A42" w:rsidR="005E4253" w:rsidRPr="00CB7341" w:rsidRDefault="00ED037D" w:rsidP="001D7B10">
            <w:pPr>
              <w:tabs>
                <w:tab w:val="left" w:pos="918"/>
                <w:tab w:val="left" w:pos="1060"/>
              </w:tabs>
              <w:ind w:firstLine="606"/>
              <w:jc w:val="both"/>
            </w:pPr>
            <w:r w:rsidRPr="00CB7341">
              <w:t xml:space="preserve">It should be highlighted that payment services have become an integral part of everyone’s life. It is difficult to imagine economic and commercial activities, employment relationships or the fulfilment of household needs without the provision of payment services. Therefore, the information related to the content of payment services, packages and fees is not of a formal nature. Since payment services are essential, when providing these services, credit institutions must ensure not only their quality, </w:t>
            </w:r>
            <w:r w:rsidRPr="00CB7341">
              <w:rPr>
                <w:b/>
                <w:bCs/>
              </w:rPr>
              <w:t>but also their availability to PSUs meeting the requirements laid down by the Law</w:t>
            </w:r>
            <w:r w:rsidRPr="00CB7341">
              <w:t>.</w:t>
            </w:r>
            <w:r w:rsidRPr="00CB7341">
              <w:rPr>
                <w:b/>
              </w:rPr>
              <w:t xml:space="preserve"> </w:t>
            </w:r>
            <w:r w:rsidRPr="00CB7341">
              <w:t>All requirements for a credit institution obliged to provide a basic payment account service and related to the provision of a basic payment account service (opening and use of a basic payment account) are laid down in Article 3(16)</w:t>
            </w:r>
            <w:r w:rsidR="00206E90" w:rsidRPr="00CB7341">
              <w:rPr>
                <w:rStyle w:val="FootnoteReference"/>
              </w:rPr>
              <w:footnoteReference w:id="7"/>
            </w:r>
            <w:r w:rsidRPr="00CB7341">
              <w:t xml:space="preserve"> and Chapter IX</w:t>
            </w:r>
            <w:r w:rsidR="006B3748" w:rsidRPr="00CB7341">
              <w:rPr>
                <w:vertAlign w:val="superscript"/>
              </w:rPr>
              <w:footnoteReference w:id="8"/>
            </w:r>
            <w:r w:rsidRPr="00CB7341">
              <w:t xml:space="preserve"> of the Law.</w:t>
            </w:r>
          </w:p>
          <w:p w14:paraId="46B7B658" w14:textId="4869721C" w:rsidR="00E10BEC" w:rsidRPr="00CB7341" w:rsidRDefault="00677FAD" w:rsidP="001D7B10">
            <w:pPr>
              <w:tabs>
                <w:tab w:val="left" w:pos="918"/>
                <w:tab w:val="left" w:pos="1060"/>
              </w:tabs>
              <w:ind w:firstLine="606"/>
              <w:jc w:val="both"/>
            </w:pPr>
            <w:r w:rsidRPr="00CB7341">
              <w:t xml:space="preserve">At the same time, it should be noted that credit institutions should not make it more difficult for any willing PSU to choose a basic payment account service by imposing additional conditions. When examining applications from PSUs and assessing the information provided on the websites of credit institutions regarding the possibilities to choose the payment service package offered, Lietuvos bankas has observed cases where some credit institutions indicate different ways of choosing the plans, e.g. in order to switch the current service plan to the basic payment account service, a PSU has to physically come to the customer service branch of the credit institution, whereas when choosing service plans offered by the same credit institution, a PSU does not have to do that. </w:t>
            </w:r>
            <w:r w:rsidRPr="00CB7341">
              <w:rPr>
                <w:b/>
                <w:bCs/>
              </w:rPr>
              <w:t>Lietuvos bankas considers</w:t>
            </w:r>
            <w:r w:rsidRPr="00CB7341">
              <w:t xml:space="preserve"> these and other similar situations where PSUs express their will to opt for a basic payment account service and credit institutions </w:t>
            </w:r>
            <w:r w:rsidRPr="00CB7341">
              <w:rPr>
                <w:b/>
                <w:bCs/>
              </w:rPr>
              <w:t>make this right more difficult in one way or another</w:t>
            </w:r>
            <w:r w:rsidRPr="00CB7341">
              <w:t xml:space="preserve"> (e.g. by imposing additional conditions, such as the necessity to come to the customer service branch of the credit institution, an additional fee, or by insisting on the choice of another service plan offered by the credit institution, despite the PSU’s expressed need to use the basic payment account service, etc.) </w:t>
            </w:r>
            <w:r w:rsidRPr="00CB7341">
              <w:rPr>
                <w:b/>
                <w:bCs/>
              </w:rPr>
              <w:t>as intolerable practice</w:t>
            </w:r>
            <w:r w:rsidRPr="00CB7341">
              <w:t xml:space="preserve"> and as the restriction of the exercise by PSUs of the right granted to them by the Law regarding the use of the basic payment account service.</w:t>
            </w:r>
          </w:p>
          <w:p w14:paraId="32A5FA3E" w14:textId="77777777" w:rsidR="00B07677" w:rsidRPr="00CB7341" w:rsidRDefault="00B07677" w:rsidP="001D7B10">
            <w:pPr>
              <w:tabs>
                <w:tab w:val="left" w:pos="918"/>
                <w:tab w:val="left" w:pos="1060"/>
              </w:tabs>
              <w:ind w:firstLine="606"/>
              <w:jc w:val="both"/>
              <w:rPr>
                <w:bCs/>
              </w:rPr>
            </w:pPr>
          </w:p>
          <w:p w14:paraId="250FA7A0" w14:textId="6F3F0506" w:rsidR="00E40286" w:rsidRPr="00CB7341" w:rsidRDefault="00795737" w:rsidP="001D7B10">
            <w:pPr>
              <w:tabs>
                <w:tab w:val="left" w:pos="918"/>
                <w:tab w:val="left" w:pos="1060"/>
              </w:tabs>
              <w:ind w:firstLine="606"/>
              <w:jc w:val="both"/>
              <w:rPr>
                <w:bCs/>
              </w:rPr>
            </w:pPr>
            <w:r w:rsidRPr="00CB7341">
              <w:t xml:space="preserve">Lietuvos bankas recommends credit institutions to assess whether their websites and mobile applications provide information to PSUs on the basic payment account service, its package composition, fee, terms of provision (subscription) </w:t>
            </w:r>
            <w:r w:rsidRPr="00CB7341">
              <w:rPr>
                <w:b/>
                <w:bCs/>
              </w:rPr>
              <w:t>in easily understandable words, in a clear and comprehensible manner, and in a place easily visible to the PSU next to other service packages (plans) offered by the credit institution</w:t>
            </w:r>
            <w:r w:rsidRPr="00CB7341">
              <w:t>, whether PSUs have the possibility to easily, simply and under non-aggravated conditions to switch their current package (plan) of payment services provided by the credit institution to a basic payment account service package and, if PSUs do not yet have a package (plan), to be able to select and subscribe to it on the basis of information provided by the PSP.</w:t>
            </w:r>
          </w:p>
          <w:p w14:paraId="2EE57422" w14:textId="77777777" w:rsidR="00150459" w:rsidRPr="00CB7341" w:rsidRDefault="00150459" w:rsidP="001D7B10">
            <w:pPr>
              <w:tabs>
                <w:tab w:val="left" w:pos="918"/>
                <w:tab w:val="left" w:pos="1060"/>
              </w:tabs>
              <w:ind w:firstLine="606"/>
              <w:jc w:val="both"/>
            </w:pPr>
          </w:p>
          <w:p w14:paraId="56C45C9F" w14:textId="07522D6E" w:rsidR="00083A95" w:rsidRPr="00CB7341" w:rsidRDefault="00083A95" w:rsidP="004E0CFC">
            <w:pPr>
              <w:tabs>
                <w:tab w:val="left" w:pos="918"/>
                <w:tab w:val="left" w:pos="1060"/>
              </w:tabs>
              <w:ind w:firstLine="606"/>
              <w:jc w:val="both"/>
              <w:rPr>
                <w:b/>
              </w:rPr>
            </w:pPr>
            <w:r w:rsidRPr="00CB7341">
              <w:t xml:space="preserve">In the light of the above and the current legal framework, </w:t>
            </w:r>
            <w:r w:rsidRPr="00CB7341">
              <w:rPr>
                <w:b/>
                <w:bCs/>
              </w:rPr>
              <w:t>we request credit institutions to</w:t>
            </w:r>
            <w:r w:rsidRPr="00CB7341">
              <w:t>:</w:t>
            </w:r>
          </w:p>
          <w:p w14:paraId="34459ADB" w14:textId="5FB09DFB" w:rsidR="006E74DA" w:rsidRPr="00CB7341" w:rsidRDefault="00083A95" w:rsidP="00E04CB4">
            <w:pPr>
              <w:numPr>
                <w:ilvl w:val="0"/>
                <w:numId w:val="11"/>
              </w:numPr>
              <w:tabs>
                <w:tab w:val="left" w:pos="1060"/>
              </w:tabs>
              <w:ind w:left="606"/>
              <w:jc w:val="both"/>
              <w:rPr>
                <w:bCs/>
              </w:rPr>
            </w:pPr>
            <w:r w:rsidRPr="00CB7341">
              <w:rPr>
                <w:b/>
              </w:rPr>
              <w:t xml:space="preserve">Pay attention to the provisions of the Law specified in this letter by Lietuvos bankas, compliance therewith, the recommendations provided by Lietuvos bankas and the examples of good practice, ensuring proper provision of information to PSUs, as well as the protection of their rights and legitimate </w:t>
            </w:r>
            <w:proofErr w:type="gramStart"/>
            <w:r w:rsidRPr="00CB7341">
              <w:rPr>
                <w:b/>
              </w:rPr>
              <w:t>interests</w:t>
            </w:r>
            <w:r w:rsidRPr="00CB7341">
              <w:t>;</w:t>
            </w:r>
            <w:proofErr w:type="gramEnd"/>
          </w:p>
          <w:p w14:paraId="37D482D8" w14:textId="23D7A9E3" w:rsidR="007429D7" w:rsidRPr="00CB7341" w:rsidRDefault="00813AE0" w:rsidP="007429D7">
            <w:pPr>
              <w:numPr>
                <w:ilvl w:val="0"/>
                <w:numId w:val="11"/>
              </w:numPr>
              <w:tabs>
                <w:tab w:val="left" w:pos="1060"/>
              </w:tabs>
              <w:ind w:left="606"/>
              <w:jc w:val="both"/>
            </w:pPr>
            <w:r w:rsidRPr="00CB7341">
              <w:rPr>
                <w:b/>
                <w:bCs/>
              </w:rPr>
              <w:t>Ensure compliance with the requirements set out in the Law</w:t>
            </w:r>
            <w:r w:rsidRPr="00CB7341">
              <w:t xml:space="preserve"> and, where necessary, take active steps to update all mandatory information published on the websites and mobile applications of the credit institutions on the basic payment account service, the fees applicable to private customers, distinguishing and specifying the section of the basic payment account package as well as describing the composition of the package and the applicable fee in </w:t>
            </w:r>
            <w:proofErr w:type="gramStart"/>
            <w:r w:rsidRPr="00CB7341">
              <w:t>detail;</w:t>
            </w:r>
            <w:proofErr w:type="gramEnd"/>
            <w:r w:rsidRPr="00CB7341">
              <w:t xml:space="preserve"> </w:t>
            </w:r>
          </w:p>
          <w:p w14:paraId="1432EF3C" w14:textId="1AB8AAFD" w:rsidR="00C82218" w:rsidRPr="00CB7341" w:rsidRDefault="0012079D" w:rsidP="007429D7">
            <w:pPr>
              <w:numPr>
                <w:ilvl w:val="0"/>
                <w:numId w:val="11"/>
              </w:numPr>
              <w:tabs>
                <w:tab w:val="left" w:pos="1060"/>
              </w:tabs>
              <w:ind w:left="606"/>
              <w:jc w:val="both"/>
            </w:pPr>
            <w:r w:rsidRPr="00CB7341">
              <w:rPr>
                <w:b/>
                <w:bCs/>
              </w:rPr>
              <w:lastRenderedPageBreak/>
              <w:t>Inform the Financial Market Supervision Department of Lietuvos bankas</w:t>
            </w:r>
            <w:r w:rsidRPr="00CB7341">
              <w:t xml:space="preserve">, indicating the date and registration number of this letter in their cover letter, </w:t>
            </w:r>
            <w:r w:rsidRPr="00CB7341">
              <w:rPr>
                <w:b/>
                <w:bCs/>
              </w:rPr>
              <w:t>no later than within one month from the date of receipt of this letter of Lietuvos bankas</w:t>
            </w:r>
            <w:r w:rsidRPr="00CB7341">
              <w:t xml:space="preserve">, </w:t>
            </w:r>
            <w:r w:rsidRPr="00CB7341">
              <w:rPr>
                <w:b/>
                <w:bCs/>
              </w:rPr>
              <w:t>of the actions</w:t>
            </w:r>
            <w:r w:rsidRPr="00CB7341">
              <w:t xml:space="preserve"> taken by the credit institution to implement the provisions of paragraph 2 of the letter of Lietuvos bankas. </w:t>
            </w:r>
            <w:proofErr w:type="gramStart"/>
            <w:r w:rsidRPr="00CB7341">
              <w:rPr>
                <w:b/>
                <w:bCs/>
              </w:rPr>
              <w:t>In the event that</w:t>
            </w:r>
            <w:proofErr w:type="gramEnd"/>
            <w:r w:rsidRPr="00CB7341">
              <w:rPr>
                <w:b/>
                <w:bCs/>
              </w:rPr>
              <w:t xml:space="preserve"> the practices of the credit institution are in line</w:t>
            </w:r>
            <w:r w:rsidRPr="00CB7341">
              <w:t xml:space="preserve"> with the provisions of the Law specified in this letter of Lietuvos bankas, compliance therewith, the recommendations provided by Lietuvos bankas and the examples of good practice, </w:t>
            </w:r>
            <w:r w:rsidRPr="00CB7341">
              <w:rPr>
                <w:b/>
                <w:bCs/>
              </w:rPr>
              <w:t>Lietuvos bankas does not need to be informed separately</w:t>
            </w:r>
            <w:r w:rsidRPr="00CB7341">
              <w:t>.</w:t>
            </w:r>
          </w:p>
        </w:tc>
      </w:tr>
      <w:tr w:rsidR="00650C45" w:rsidRPr="00CB7341" w14:paraId="064AC92A" w14:textId="77777777" w:rsidTr="72E1C63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trHeight w:val="134"/>
        </w:trPr>
        <w:tc>
          <w:tcPr>
            <w:tcW w:w="9923" w:type="dxa"/>
            <w:gridSpan w:val="5"/>
            <w:tcBorders>
              <w:top w:val="nil"/>
              <w:left w:val="nil"/>
              <w:bottom w:val="nil"/>
              <w:right w:val="nil"/>
            </w:tcBorders>
          </w:tcPr>
          <w:p w14:paraId="287AB3A7" w14:textId="14369FED" w:rsidR="00650C45" w:rsidRPr="00CB7341" w:rsidRDefault="00650C45" w:rsidP="00283B08">
            <w:pPr>
              <w:ind w:firstLine="606"/>
              <w:jc w:val="both"/>
              <w:rPr>
                <w:color w:val="000000" w:themeColor="text1"/>
              </w:rPr>
            </w:pPr>
          </w:p>
        </w:tc>
      </w:tr>
    </w:tbl>
    <w:p w14:paraId="3BCE19B5" w14:textId="77777777" w:rsidR="00C82218" w:rsidRPr="00CB7341" w:rsidRDefault="00C82218" w:rsidP="00C82218">
      <w:pPr>
        <w:jc w:val="both"/>
      </w:pPr>
    </w:p>
    <w:p w14:paraId="1DFDC05D" w14:textId="77777777" w:rsidR="00FB3BF9" w:rsidRPr="00CB7341" w:rsidRDefault="00FB3BF9" w:rsidP="00C82218">
      <w:pPr>
        <w:jc w:val="both"/>
      </w:pPr>
    </w:p>
    <w:p w14:paraId="0F1F22E8" w14:textId="77777777" w:rsidR="00FB3BF9" w:rsidRPr="00CB7341" w:rsidRDefault="00FB3BF9" w:rsidP="00C82218">
      <w:pPr>
        <w:jc w:val="both"/>
      </w:pPr>
    </w:p>
    <w:p w14:paraId="40C60F57" w14:textId="77777777" w:rsidR="00FB3BF9" w:rsidRPr="00CB7341" w:rsidRDefault="00FB3BF9" w:rsidP="00C82218">
      <w:pPr>
        <w:jc w:val="both"/>
      </w:pPr>
    </w:p>
    <w:sectPr w:rsidR="00FB3BF9" w:rsidRPr="00CB7341" w:rsidSect="00F30B3B">
      <w:headerReference w:type="default" r:id="rId12"/>
      <w:footerReference w:type="first" r:id="rId13"/>
      <w:pgSz w:w="11907" w:h="16840" w:code="9"/>
      <w:pgMar w:top="1134" w:right="680" w:bottom="567" w:left="1701" w:header="567" w:footer="567" w:gutter="0"/>
      <w:cols w:space="1296"/>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88B0A45" w14:textId="77777777" w:rsidR="008F0D94" w:rsidRDefault="008F0D94" w:rsidP="00C74E4F">
      <w:r>
        <w:separator/>
      </w:r>
    </w:p>
  </w:endnote>
  <w:endnote w:type="continuationSeparator" w:id="0">
    <w:p w14:paraId="17E6A1D3" w14:textId="77777777" w:rsidR="008F0D94" w:rsidRDefault="008F0D94" w:rsidP="00C74E4F">
      <w:r>
        <w:continuationSeparator/>
      </w:r>
    </w:p>
  </w:endnote>
  <w:endnote w:type="continuationNotice" w:id="1">
    <w:p w14:paraId="360C9960" w14:textId="77777777" w:rsidR="008F0D94" w:rsidRDefault="008F0D9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BA"/>
    <w:family w:val="swiss"/>
    <w:pitch w:val="variable"/>
    <w:sig w:usb0="E0002EFF" w:usb1="C000785B" w:usb2="00000009" w:usb3="00000000" w:csb0="000001FF" w:csb1="00000000"/>
  </w:font>
  <w:font w:name="Verdana">
    <w:altName w:val="Verdana"/>
    <w:panose1 w:val="020B0604030504040204"/>
    <w:charset w:val="BA"/>
    <w:family w:val="swiss"/>
    <w:pitch w:val="variable"/>
    <w:sig w:usb0="A00006FF" w:usb1="4000205B" w:usb2="00000010" w:usb3="00000000" w:csb0="0000019F" w:csb1="00000000"/>
  </w:font>
  <w:font w:name="Calibri Light">
    <w:panose1 w:val="020F0302020204030204"/>
    <w:charset w:val="BA"/>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Segoe UI">
    <w:panose1 w:val="020B0502040204020203"/>
    <w:charset w:val="BA"/>
    <w:family w:val="swiss"/>
    <w:pitch w:val="variable"/>
    <w:sig w:usb0="E4002EFF" w:usb1="C000E47F"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E82527" w14:textId="127DC4EA" w:rsidR="00C3159E" w:rsidRPr="00007481" w:rsidRDefault="00C74E4F">
    <w:pPr>
      <w:jc w:val="center"/>
      <w:rPr>
        <w:sz w:val="16"/>
      </w:rPr>
    </w:pPr>
    <w:r>
      <w:rPr>
        <w:noProof/>
      </w:rPr>
      <mc:AlternateContent>
        <mc:Choice Requires="wps">
          <w:drawing>
            <wp:anchor distT="0" distB="0" distL="114300" distR="114300" simplePos="0" relativeHeight="251658240" behindDoc="0" locked="0" layoutInCell="1" allowOverlap="1" wp14:anchorId="78D781F0" wp14:editId="7EA0DDC1">
              <wp:simplePos x="0" y="0"/>
              <wp:positionH relativeFrom="column">
                <wp:posOffset>28575</wp:posOffset>
              </wp:positionH>
              <wp:positionV relativeFrom="paragraph">
                <wp:posOffset>-63500</wp:posOffset>
              </wp:positionV>
              <wp:extent cx="6217920" cy="0"/>
              <wp:effectExtent l="0" t="0" r="0" b="0"/>
              <wp:wrapNone/>
              <wp:docPr id="1"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217920" cy="0"/>
                      </a:xfrm>
                      <a:prstGeom prst="line">
                        <a:avLst/>
                      </a:prstGeom>
                      <a:noFill/>
                      <a:ln w="9525">
                        <a:solidFill>
                          <a:srgbClr val="00B07D"/>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53BA4A6" id="Straight Connector 1" o:spid="_x0000_s1026" style="position:absolute;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25pt,-5pt" to="491.85pt,-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" strokecolor="#00b07d"/>
          </w:pict>
        </mc:Fallback>
      </mc:AlternateContent>
    </w:r>
    <w:proofErr w:type="spellStart"/>
    <w:r>
      <w:rPr>
        <w:sz w:val="16"/>
      </w:rPr>
      <w:t>Lietuvos</w:t>
    </w:r>
    <w:proofErr w:type="spellEnd"/>
    <w:r>
      <w:rPr>
        <w:sz w:val="16"/>
      </w:rPr>
      <w:t xml:space="preserve"> </w:t>
    </w:r>
    <w:proofErr w:type="spellStart"/>
    <w:r>
      <w:rPr>
        <w:sz w:val="16"/>
      </w:rPr>
      <w:t>bankas</w:t>
    </w:r>
    <w:proofErr w:type="spellEnd"/>
    <w:r>
      <w:rPr>
        <w:sz w:val="16"/>
      </w:rPr>
      <w:t xml:space="preserve">, </w:t>
    </w:r>
    <w:proofErr w:type="spellStart"/>
    <w:r>
      <w:rPr>
        <w:sz w:val="16"/>
      </w:rPr>
      <w:t>Gedimino</w:t>
    </w:r>
    <w:proofErr w:type="spellEnd"/>
    <w:r>
      <w:rPr>
        <w:sz w:val="16"/>
      </w:rPr>
      <w:t xml:space="preserve"> pr. 6, LT-01103 Vilnius, Lithuania </w:t>
    </w:r>
  </w:p>
  <w:p w14:paraId="56E60AF4" w14:textId="77777777" w:rsidR="00C3159E" w:rsidRPr="00007481" w:rsidRDefault="00657313">
    <w:pPr>
      <w:jc w:val="center"/>
      <w:rPr>
        <w:sz w:val="16"/>
      </w:rPr>
    </w:pPr>
    <w:r>
      <w:rPr>
        <w:sz w:val="16"/>
      </w:rPr>
      <w:t>Data are collected and stored in the Register of Legal Entities, code 188607684</w:t>
    </w:r>
  </w:p>
  <w:p w14:paraId="523F1EE9" w14:textId="6B3BE589" w:rsidR="00C3159E" w:rsidRPr="000E35E7" w:rsidRDefault="00657313" w:rsidP="00F30B3B">
    <w:pPr>
      <w:jc w:val="center"/>
      <w:rPr>
        <w:rStyle w:val="Hyperlink"/>
        <w:sz w:val="16"/>
      </w:rPr>
    </w:pPr>
    <w:r>
      <w:rPr>
        <w:sz w:val="16"/>
      </w:rPr>
      <w:t xml:space="preserve">For correspondence: </w:t>
    </w:r>
    <w:proofErr w:type="spellStart"/>
    <w:r>
      <w:rPr>
        <w:sz w:val="16"/>
      </w:rPr>
      <w:t>Totorių</w:t>
    </w:r>
    <w:proofErr w:type="spellEnd"/>
    <w:r>
      <w:rPr>
        <w:sz w:val="16"/>
      </w:rPr>
      <w:t xml:space="preserve"> g. 4, LT-01121 Vilnius, phone: +370 800 50 500, email: </w:t>
    </w:r>
    <w:hyperlink r:id="rId1" w:history="1">
      <w:r>
        <w:rPr>
          <w:rStyle w:val="Hyperlink"/>
          <w:sz w:val="16"/>
        </w:rPr>
        <w:t>prieziura@lb.lt</w:t>
      </w:r>
    </w:hyperlink>
  </w:p>
  <w:p w14:paraId="5A91BC8A" w14:textId="77777777" w:rsidR="00C3159E" w:rsidRPr="007772C4" w:rsidRDefault="00657313" w:rsidP="00F30B3B">
    <w:pPr>
      <w:jc w:val="center"/>
      <w:rPr>
        <w:sz w:val="16"/>
        <w:szCs w:val="16"/>
      </w:rPr>
    </w:pPr>
    <w:r>
      <w:rPr>
        <w:sz w:val="16"/>
      </w:rPr>
      <w:t xml:space="preserve">Information on personal data protection: </w:t>
    </w:r>
    <w:hyperlink r:id="rId2" w:history="1">
      <w:r>
        <w:rPr>
          <w:rStyle w:val="Hyperlink"/>
          <w:sz w:val="16"/>
          <w:szCs w:val="16"/>
        </w:rPr>
        <w:t>https://www.lb.lt/en/personal-data-protection</w:t>
      </w:r>
    </w:hyperlink>
  </w:p>
  <w:p w14:paraId="23FAE98E" w14:textId="77777777" w:rsidR="00C3159E" w:rsidRPr="00007481" w:rsidRDefault="00C3159E">
    <w:pPr>
      <w:tabs>
        <w:tab w:val="left" w:pos="3960"/>
      </w:tabs>
      <w:jc w:val="center"/>
      <w:rPr>
        <w:sz w:val="16"/>
        <w:lang w:val="lt-LT"/>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B8F4E2F" w14:textId="77777777" w:rsidR="008F0D94" w:rsidRDefault="008F0D94" w:rsidP="00C74E4F">
      <w:r>
        <w:separator/>
      </w:r>
    </w:p>
  </w:footnote>
  <w:footnote w:type="continuationSeparator" w:id="0">
    <w:p w14:paraId="125CCE3C" w14:textId="77777777" w:rsidR="008F0D94" w:rsidRDefault="008F0D94" w:rsidP="00C74E4F">
      <w:r>
        <w:continuationSeparator/>
      </w:r>
    </w:p>
  </w:footnote>
  <w:footnote w:type="continuationNotice" w:id="1">
    <w:p w14:paraId="49FEC7F0" w14:textId="77777777" w:rsidR="008F0D94" w:rsidRDefault="008F0D94"/>
  </w:footnote>
  <w:footnote w:id="2">
    <w:p w14:paraId="0C72AEF9" w14:textId="77777777" w:rsidR="00FB666C" w:rsidRPr="0081436A" w:rsidRDefault="00FB666C" w:rsidP="00FB666C">
      <w:pPr>
        <w:pStyle w:val="FootnoteText"/>
        <w:jc w:val="both"/>
        <w:rPr>
          <w:sz w:val="16"/>
          <w:szCs w:val="16"/>
        </w:rPr>
      </w:pPr>
      <w:r>
        <w:rPr>
          <w:rStyle w:val="FootnoteReference"/>
          <w:sz w:val="16"/>
          <w:szCs w:val="16"/>
          <w:lang w:val="lt-LT"/>
        </w:rPr>
        <w:footnoteRef/>
      </w:r>
      <w:r>
        <w:rPr>
          <w:sz w:val="16"/>
        </w:rPr>
        <w:t xml:space="preserve"> </w:t>
      </w:r>
      <w:hyperlink r:id="rId1" w:history="1">
        <w:r>
          <w:rPr>
            <w:rStyle w:val="Hyperlink"/>
            <w:sz w:val="16"/>
            <w:szCs w:val="16"/>
          </w:rPr>
          <w:t>https://www.lb.lt/lt/naujienos/lietuvos-bankas-patvirtino-mokejimo-paslaugu-teikimo-gaires</w:t>
        </w:r>
      </w:hyperlink>
      <w:r>
        <w:rPr>
          <w:sz w:val="16"/>
        </w:rPr>
        <w:t>. As the Supreme Court of Lithuania has noted in its ruling of 13 December 2021 in Civil Case No e3K-3-303-823/2021, although the Guidelines are not a binding legal act, they have been drawn up with the aim of forming good practice in the provision of payment services based on a uniform understanding and application of the Law and other legal acts governing the provision of payment services, and the Guidelines are considered to be a standard for the relevant business area.</w:t>
      </w:r>
    </w:p>
  </w:footnote>
  <w:footnote w:id="3">
    <w:p w14:paraId="0ABB5990" w14:textId="239D2BC7" w:rsidR="005A0E70" w:rsidRPr="0081436A" w:rsidRDefault="005A0E70">
      <w:pPr>
        <w:pStyle w:val="FootnoteText"/>
        <w:rPr>
          <w:sz w:val="16"/>
          <w:szCs w:val="16"/>
        </w:rPr>
      </w:pPr>
      <w:r>
        <w:rPr>
          <w:rStyle w:val="FootnoteReference"/>
          <w:sz w:val="16"/>
          <w:szCs w:val="16"/>
        </w:rPr>
        <w:footnoteRef/>
      </w:r>
      <w:r>
        <w:rPr>
          <w:sz w:val="16"/>
        </w:rPr>
        <w:t xml:space="preserve"> Letter No S 2023/(34.55.E-3900)-12-4559 of </w:t>
      </w:r>
      <w:proofErr w:type="spellStart"/>
      <w:r>
        <w:rPr>
          <w:sz w:val="16"/>
        </w:rPr>
        <w:t>Lietuvos</w:t>
      </w:r>
      <w:proofErr w:type="spellEnd"/>
      <w:r>
        <w:rPr>
          <w:sz w:val="16"/>
        </w:rPr>
        <w:t xml:space="preserve"> </w:t>
      </w:r>
      <w:proofErr w:type="spellStart"/>
      <w:r>
        <w:rPr>
          <w:sz w:val="16"/>
        </w:rPr>
        <w:t>bankas</w:t>
      </w:r>
      <w:proofErr w:type="spellEnd"/>
      <w:r>
        <w:rPr>
          <w:sz w:val="16"/>
        </w:rPr>
        <w:t xml:space="preserve"> of 16 November 2023 “Re: Improving the provision of payment services and the experience of payment service users” (see </w:t>
      </w:r>
      <w:hyperlink r:id="rId2" w:history="1">
        <w:r>
          <w:rPr>
            <w:rStyle w:val="Hyperlink"/>
            <w:sz w:val="16"/>
            <w:szCs w:val="16"/>
          </w:rPr>
          <w:t>https://www.lb.lt/uploads/documents/files/2023%20m_%20L%C5%ABkes%C4%8Di%C5%B3%20ra%C5%A1tas_EN.pdf</w:t>
        </w:r>
      </w:hyperlink>
      <w:r>
        <w:rPr>
          <w:sz w:val="16"/>
        </w:rPr>
        <w:t xml:space="preserve">). </w:t>
      </w:r>
    </w:p>
    <w:p w14:paraId="64DEDC9C" w14:textId="77777777" w:rsidR="004A2C3D" w:rsidRPr="005A0E70" w:rsidRDefault="004A2C3D">
      <w:pPr>
        <w:pStyle w:val="FootnoteText"/>
        <w:rPr>
          <w:lang w:val="lt-LT"/>
        </w:rPr>
      </w:pPr>
    </w:p>
  </w:footnote>
  <w:footnote w:id="4">
    <w:p w14:paraId="2A48531F" w14:textId="5FA5419D" w:rsidR="00A21A0F" w:rsidRPr="007333EB" w:rsidRDefault="00A21A0F" w:rsidP="00965DD5">
      <w:pPr>
        <w:pStyle w:val="FootnoteText"/>
        <w:jc w:val="both"/>
        <w:rPr>
          <w:sz w:val="16"/>
          <w:szCs w:val="16"/>
        </w:rPr>
      </w:pPr>
      <w:r>
        <w:rPr>
          <w:rStyle w:val="FootnoteReference"/>
          <w:sz w:val="16"/>
          <w:szCs w:val="16"/>
          <w:lang w:val="lt-LT"/>
        </w:rPr>
        <w:footnoteRef/>
      </w:r>
      <w:r>
        <w:rPr>
          <w:sz w:val="16"/>
        </w:rPr>
        <w:t xml:space="preserve"> Chapter IX “Basic payment account” of the Law (see </w:t>
      </w:r>
      <w:hyperlink r:id="rId3" w:history="1">
        <w:r>
          <w:rPr>
            <w:rStyle w:val="Hyperlink"/>
            <w:sz w:val="16"/>
            <w:szCs w:val="16"/>
          </w:rPr>
          <w:t>Republic of Lithuania Law on Payments No VIII-1370</w:t>
        </w:r>
      </w:hyperlink>
      <w:r>
        <w:rPr>
          <w:sz w:val="16"/>
        </w:rPr>
        <w:t>).</w:t>
      </w:r>
    </w:p>
  </w:footnote>
  <w:footnote w:id="5">
    <w:p w14:paraId="3A461B81" w14:textId="61D31972" w:rsidR="002254FF" w:rsidRPr="002254FF" w:rsidRDefault="00A21A0F" w:rsidP="002254FF">
      <w:pPr>
        <w:pStyle w:val="FootnoteText"/>
        <w:jc w:val="both"/>
        <w:rPr>
          <w:sz w:val="16"/>
          <w:szCs w:val="16"/>
        </w:rPr>
      </w:pPr>
      <w:r>
        <w:rPr>
          <w:rStyle w:val="FootnoteReference"/>
          <w:sz w:val="16"/>
          <w:szCs w:val="16"/>
          <w:lang w:val="lt-LT"/>
        </w:rPr>
        <w:footnoteRef/>
      </w:r>
      <w:r>
        <w:rPr>
          <w:sz w:val="16"/>
        </w:rPr>
        <w:t xml:space="preserve"> For more details see: </w:t>
      </w:r>
      <w:hyperlink r:id="rId4" w:history="1">
        <w:r>
          <w:rPr>
            <w:rStyle w:val="Hyperlink"/>
            <w:sz w:val="16"/>
            <w:szCs w:val="16"/>
          </w:rPr>
          <w:t>Basic payment account – all basic payment services for residents | Lietuvos bankas</w:t>
        </w:r>
      </w:hyperlink>
      <w:r>
        <w:rPr>
          <w:sz w:val="16"/>
        </w:rPr>
        <w:t xml:space="preserve">. </w:t>
      </w:r>
    </w:p>
    <w:p w14:paraId="3428A9AF" w14:textId="39447983" w:rsidR="00A21A0F" w:rsidRPr="007333EB" w:rsidRDefault="00A21A0F" w:rsidP="00965DD5">
      <w:pPr>
        <w:pStyle w:val="FootnoteText"/>
        <w:jc w:val="both"/>
        <w:rPr>
          <w:sz w:val="16"/>
          <w:szCs w:val="16"/>
        </w:rPr>
      </w:pPr>
      <w:r>
        <w:rPr>
          <w:sz w:val="16"/>
        </w:rPr>
        <w:t xml:space="preserve">Further information related to the composition of the basic payment account package and the included basic services which would be provided on a monthly basis at no additional costs is also available on the website of Lietuvos bankas (see </w:t>
      </w:r>
      <w:hyperlink r:id="rId5" w:anchor="ex-1-1" w:history="1">
        <w:r>
          <w:rPr>
            <w:rStyle w:val="Hyperlink"/>
            <w:sz w:val="16"/>
            <w:szCs w:val="16"/>
          </w:rPr>
          <w:t>Payment service package | Lietuvos bankas</w:t>
        </w:r>
      </w:hyperlink>
      <w:r>
        <w:rPr>
          <w:sz w:val="16"/>
        </w:rPr>
        <w:t xml:space="preserve">).  </w:t>
      </w:r>
    </w:p>
  </w:footnote>
  <w:footnote w:id="6">
    <w:p w14:paraId="44FA27FF" w14:textId="46CC17B9" w:rsidR="00F1476A" w:rsidRPr="0076002B" w:rsidRDefault="00F1476A" w:rsidP="00A6099F">
      <w:pPr>
        <w:pStyle w:val="FootnoteText"/>
        <w:jc w:val="both"/>
        <w:rPr>
          <w:sz w:val="16"/>
          <w:szCs w:val="16"/>
        </w:rPr>
      </w:pPr>
      <w:r>
        <w:rPr>
          <w:rStyle w:val="FootnoteReference"/>
          <w:sz w:val="16"/>
          <w:szCs w:val="16"/>
          <w:lang w:val="lt-LT"/>
        </w:rPr>
        <w:footnoteRef/>
      </w:r>
      <w:r>
        <w:rPr>
          <w:sz w:val="16"/>
        </w:rPr>
        <w:t xml:space="preserve"> Lietuvos bankas compiles and maintains a list of institutions providing the basic payment account service and publishes it on its website. The list of credit institutions is available </w:t>
      </w:r>
      <w:hyperlink r:id="rId6" w:anchor="ex-1-1" w:history="1">
        <w:r>
          <w:rPr>
            <w:rStyle w:val="Hyperlink"/>
            <w:sz w:val="16"/>
            <w:szCs w:val="16"/>
          </w:rPr>
          <w:t>here</w:t>
        </w:r>
      </w:hyperlink>
      <w:r>
        <w:rPr>
          <w:sz w:val="16"/>
        </w:rPr>
        <w:t xml:space="preserve">.  </w:t>
      </w:r>
    </w:p>
  </w:footnote>
  <w:footnote w:id="7">
    <w:p w14:paraId="10756EAF" w14:textId="7E345C29" w:rsidR="00206E90" w:rsidRPr="00A806E6" w:rsidRDefault="00206E90" w:rsidP="00A806E6">
      <w:pPr>
        <w:pStyle w:val="FootnoteText"/>
        <w:jc w:val="both"/>
        <w:rPr>
          <w:sz w:val="16"/>
          <w:szCs w:val="16"/>
        </w:rPr>
      </w:pPr>
      <w:r>
        <w:rPr>
          <w:rStyle w:val="FootnoteReference"/>
          <w:sz w:val="16"/>
          <w:szCs w:val="16"/>
        </w:rPr>
        <w:footnoteRef/>
      </w:r>
      <w:r>
        <w:rPr>
          <w:sz w:val="16"/>
        </w:rPr>
        <w:t xml:space="preserve"> Article 3(16) of the Law lays down that the provisions of the Law related to the opening and use of a basic payment account apply insofar as the Republic of Lithuania Law on the Prevention of Money Laundering and Terrorist Financing (hereinafter, the AML/CTF Law) does not provide otherwise. Pursuant to Article 71(6) of the Law, a credit institution is obliged to refuse to open a basic payment account if the opening of such an account would violate the provisions of the AML/CTF Law concerning measures to prevent money laundering and/or terrorist financing. In this case, the institution must take the appropriate measures as specified in the AML/CTF Law (see </w:t>
      </w:r>
      <w:hyperlink r:id="rId7" w:history="1">
        <w:r>
          <w:rPr>
            <w:rStyle w:val="Hyperlink"/>
            <w:sz w:val="16"/>
            <w:szCs w:val="16"/>
          </w:rPr>
          <w:t>Republic of Lithuania Law on Payments No VIII-1370</w:t>
        </w:r>
      </w:hyperlink>
      <w:r>
        <w:rPr>
          <w:sz w:val="16"/>
        </w:rPr>
        <w:t xml:space="preserve">). </w:t>
      </w:r>
    </w:p>
  </w:footnote>
  <w:footnote w:id="8">
    <w:p w14:paraId="6386768C" w14:textId="30461C00" w:rsidR="006B3748" w:rsidRPr="00A806E6" w:rsidRDefault="006B3748" w:rsidP="006B3748">
      <w:pPr>
        <w:pStyle w:val="FootnoteText"/>
        <w:jc w:val="both"/>
        <w:rPr>
          <w:sz w:val="16"/>
          <w:szCs w:val="16"/>
        </w:rPr>
      </w:pPr>
      <w:r>
        <w:rPr>
          <w:rStyle w:val="FootnoteReference"/>
          <w:sz w:val="16"/>
          <w:szCs w:val="16"/>
          <w:lang w:val="lt-LT"/>
        </w:rPr>
        <w:footnoteRef/>
      </w:r>
      <w:r>
        <w:rPr>
          <w:sz w:val="16"/>
        </w:rPr>
        <w:t xml:space="preserve"> See Article 71 of Chapter IX of the Law.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14C374" w14:textId="404DC186" w:rsidR="00C3159E" w:rsidRDefault="00911615">
    <w:pPr>
      <w:pStyle w:val="Header"/>
      <w:jc w:val="center"/>
    </w:pPr>
    <w:sdt>
      <w:sdtPr>
        <w:id w:val="368493788"/>
        <w:docPartObj>
          <w:docPartGallery w:val="Page Numbers (Top of Page)"/>
          <w:docPartUnique/>
        </w:docPartObj>
      </w:sdtPr>
      <w:sdtEndPr>
        <w:rPr>
          <w:noProof/>
        </w:rPr>
      </w:sdtEndPr>
      <w:sdtContent>
        <w:r w:rsidR="00C74E4F">
          <w:fldChar w:fldCharType="begin"/>
        </w:r>
        <w:r w:rsidR="00C74E4F">
          <w:instrText xml:space="preserve"> PAGE   \* MERGEFORMAT </w:instrText>
        </w:r>
        <w:r w:rsidR="00C74E4F">
          <w:fldChar w:fldCharType="separate"/>
        </w:r>
        <w:r w:rsidR="00C74E4F">
          <w:t>2</w:t>
        </w:r>
        <w:r w:rsidR="00C74E4F">
          <w:fldChar w:fldCharType="end"/>
        </w:r>
      </w:sdtContent>
    </w:sdt>
  </w:p>
  <w:p w14:paraId="139AE8E0" w14:textId="77777777" w:rsidR="00C3159E" w:rsidRDefault="00C3159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09640D"/>
    <w:multiLevelType w:val="hybridMultilevel"/>
    <w:tmpl w:val="096838AE"/>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 w15:restartNumberingAfterBreak="0">
    <w:nsid w:val="055C4089"/>
    <w:multiLevelType w:val="hybridMultilevel"/>
    <w:tmpl w:val="2F982C4E"/>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 w15:restartNumberingAfterBreak="0">
    <w:nsid w:val="0C8163C3"/>
    <w:multiLevelType w:val="hybridMultilevel"/>
    <w:tmpl w:val="986CDD16"/>
    <w:lvl w:ilvl="0" w:tplc="DFE85836">
      <w:start w:val="1"/>
      <w:numFmt w:val="decimal"/>
      <w:lvlText w:val="%1."/>
      <w:lvlJc w:val="left"/>
      <w:pPr>
        <w:ind w:left="966" w:hanging="360"/>
      </w:pPr>
      <w:rPr>
        <w:rFonts w:hint="default"/>
        <w:b/>
      </w:rPr>
    </w:lvl>
    <w:lvl w:ilvl="1" w:tplc="04270019" w:tentative="1">
      <w:start w:val="1"/>
      <w:numFmt w:val="lowerLetter"/>
      <w:lvlText w:val="%2."/>
      <w:lvlJc w:val="left"/>
      <w:pPr>
        <w:ind w:left="1686" w:hanging="360"/>
      </w:pPr>
    </w:lvl>
    <w:lvl w:ilvl="2" w:tplc="0427001B" w:tentative="1">
      <w:start w:val="1"/>
      <w:numFmt w:val="lowerRoman"/>
      <w:lvlText w:val="%3."/>
      <w:lvlJc w:val="right"/>
      <w:pPr>
        <w:ind w:left="2406" w:hanging="180"/>
      </w:pPr>
    </w:lvl>
    <w:lvl w:ilvl="3" w:tplc="0427000F" w:tentative="1">
      <w:start w:val="1"/>
      <w:numFmt w:val="decimal"/>
      <w:lvlText w:val="%4."/>
      <w:lvlJc w:val="left"/>
      <w:pPr>
        <w:ind w:left="3126" w:hanging="360"/>
      </w:pPr>
    </w:lvl>
    <w:lvl w:ilvl="4" w:tplc="04270019" w:tentative="1">
      <w:start w:val="1"/>
      <w:numFmt w:val="lowerLetter"/>
      <w:lvlText w:val="%5."/>
      <w:lvlJc w:val="left"/>
      <w:pPr>
        <w:ind w:left="3846" w:hanging="360"/>
      </w:pPr>
    </w:lvl>
    <w:lvl w:ilvl="5" w:tplc="0427001B" w:tentative="1">
      <w:start w:val="1"/>
      <w:numFmt w:val="lowerRoman"/>
      <w:lvlText w:val="%6."/>
      <w:lvlJc w:val="right"/>
      <w:pPr>
        <w:ind w:left="4566" w:hanging="180"/>
      </w:pPr>
    </w:lvl>
    <w:lvl w:ilvl="6" w:tplc="0427000F" w:tentative="1">
      <w:start w:val="1"/>
      <w:numFmt w:val="decimal"/>
      <w:lvlText w:val="%7."/>
      <w:lvlJc w:val="left"/>
      <w:pPr>
        <w:ind w:left="5286" w:hanging="360"/>
      </w:pPr>
    </w:lvl>
    <w:lvl w:ilvl="7" w:tplc="04270019" w:tentative="1">
      <w:start w:val="1"/>
      <w:numFmt w:val="lowerLetter"/>
      <w:lvlText w:val="%8."/>
      <w:lvlJc w:val="left"/>
      <w:pPr>
        <w:ind w:left="6006" w:hanging="360"/>
      </w:pPr>
    </w:lvl>
    <w:lvl w:ilvl="8" w:tplc="0427001B" w:tentative="1">
      <w:start w:val="1"/>
      <w:numFmt w:val="lowerRoman"/>
      <w:lvlText w:val="%9."/>
      <w:lvlJc w:val="right"/>
      <w:pPr>
        <w:ind w:left="6726" w:hanging="180"/>
      </w:pPr>
    </w:lvl>
  </w:abstractNum>
  <w:abstractNum w:abstractNumId="3" w15:restartNumberingAfterBreak="0">
    <w:nsid w:val="133F7939"/>
    <w:multiLevelType w:val="hybridMultilevel"/>
    <w:tmpl w:val="C6486BE0"/>
    <w:lvl w:ilvl="0" w:tplc="2A56AEDC">
      <w:start w:val="3"/>
      <w:numFmt w:val="upperRoman"/>
      <w:lvlText w:val="%1."/>
      <w:lvlJc w:val="left"/>
      <w:pPr>
        <w:ind w:left="1080" w:hanging="72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4" w15:restartNumberingAfterBreak="0">
    <w:nsid w:val="1A810A07"/>
    <w:multiLevelType w:val="hybridMultilevel"/>
    <w:tmpl w:val="04905A6C"/>
    <w:lvl w:ilvl="0" w:tplc="C61A8E98">
      <w:start w:val="1"/>
      <w:numFmt w:val="decimal"/>
      <w:lvlText w:val="%1."/>
      <w:lvlJc w:val="left"/>
      <w:pPr>
        <w:ind w:left="921" w:hanging="360"/>
      </w:pPr>
      <w:rPr>
        <w:rFonts w:hint="default"/>
      </w:rPr>
    </w:lvl>
    <w:lvl w:ilvl="1" w:tplc="04270019" w:tentative="1">
      <w:start w:val="1"/>
      <w:numFmt w:val="lowerLetter"/>
      <w:lvlText w:val="%2."/>
      <w:lvlJc w:val="left"/>
      <w:pPr>
        <w:ind w:left="1641" w:hanging="360"/>
      </w:pPr>
    </w:lvl>
    <w:lvl w:ilvl="2" w:tplc="0427001B" w:tentative="1">
      <w:start w:val="1"/>
      <w:numFmt w:val="lowerRoman"/>
      <w:lvlText w:val="%3."/>
      <w:lvlJc w:val="right"/>
      <w:pPr>
        <w:ind w:left="2361" w:hanging="180"/>
      </w:pPr>
    </w:lvl>
    <w:lvl w:ilvl="3" w:tplc="0427000F" w:tentative="1">
      <w:start w:val="1"/>
      <w:numFmt w:val="decimal"/>
      <w:lvlText w:val="%4."/>
      <w:lvlJc w:val="left"/>
      <w:pPr>
        <w:ind w:left="3081" w:hanging="360"/>
      </w:pPr>
    </w:lvl>
    <w:lvl w:ilvl="4" w:tplc="04270019" w:tentative="1">
      <w:start w:val="1"/>
      <w:numFmt w:val="lowerLetter"/>
      <w:lvlText w:val="%5."/>
      <w:lvlJc w:val="left"/>
      <w:pPr>
        <w:ind w:left="3801" w:hanging="360"/>
      </w:pPr>
    </w:lvl>
    <w:lvl w:ilvl="5" w:tplc="0427001B" w:tentative="1">
      <w:start w:val="1"/>
      <w:numFmt w:val="lowerRoman"/>
      <w:lvlText w:val="%6."/>
      <w:lvlJc w:val="right"/>
      <w:pPr>
        <w:ind w:left="4521" w:hanging="180"/>
      </w:pPr>
    </w:lvl>
    <w:lvl w:ilvl="6" w:tplc="0427000F" w:tentative="1">
      <w:start w:val="1"/>
      <w:numFmt w:val="decimal"/>
      <w:lvlText w:val="%7."/>
      <w:lvlJc w:val="left"/>
      <w:pPr>
        <w:ind w:left="5241" w:hanging="360"/>
      </w:pPr>
    </w:lvl>
    <w:lvl w:ilvl="7" w:tplc="04270019" w:tentative="1">
      <w:start w:val="1"/>
      <w:numFmt w:val="lowerLetter"/>
      <w:lvlText w:val="%8."/>
      <w:lvlJc w:val="left"/>
      <w:pPr>
        <w:ind w:left="5961" w:hanging="360"/>
      </w:pPr>
    </w:lvl>
    <w:lvl w:ilvl="8" w:tplc="0427001B" w:tentative="1">
      <w:start w:val="1"/>
      <w:numFmt w:val="lowerRoman"/>
      <w:lvlText w:val="%9."/>
      <w:lvlJc w:val="right"/>
      <w:pPr>
        <w:ind w:left="6681" w:hanging="180"/>
      </w:pPr>
    </w:lvl>
  </w:abstractNum>
  <w:abstractNum w:abstractNumId="5" w15:restartNumberingAfterBreak="0">
    <w:nsid w:val="26B22CAB"/>
    <w:multiLevelType w:val="hybridMultilevel"/>
    <w:tmpl w:val="1A6ACC56"/>
    <w:lvl w:ilvl="0" w:tplc="7366949E">
      <w:start w:val="1"/>
      <w:numFmt w:val="decimal"/>
      <w:lvlText w:val="%1."/>
      <w:lvlJc w:val="left"/>
      <w:pPr>
        <w:ind w:left="927" w:hanging="360"/>
      </w:pPr>
      <w:rPr>
        <w:rFonts w:hint="default"/>
      </w:rPr>
    </w:lvl>
    <w:lvl w:ilvl="1" w:tplc="04270019" w:tentative="1">
      <w:start w:val="1"/>
      <w:numFmt w:val="lowerLetter"/>
      <w:lvlText w:val="%2."/>
      <w:lvlJc w:val="left"/>
      <w:pPr>
        <w:ind w:left="1647" w:hanging="360"/>
      </w:pPr>
    </w:lvl>
    <w:lvl w:ilvl="2" w:tplc="0427001B" w:tentative="1">
      <w:start w:val="1"/>
      <w:numFmt w:val="lowerRoman"/>
      <w:lvlText w:val="%3."/>
      <w:lvlJc w:val="right"/>
      <w:pPr>
        <w:ind w:left="2367" w:hanging="180"/>
      </w:pPr>
    </w:lvl>
    <w:lvl w:ilvl="3" w:tplc="0427000F" w:tentative="1">
      <w:start w:val="1"/>
      <w:numFmt w:val="decimal"/>
      <w:lvlText w:val="%4."/>
      <w:lvlJc w:val="left"/>
      <w:pPr>
        <w:ind w:left="3087" w:hanging="360"/>
      </w:pPr>
    </w:lvl>
    <w:lvl w:ilvl="4" w:tplc="04270019" w:tentative="1">
      <w:start w:val="1"/>
      <w:numFmt w:val="lowerLetter"/>
      <w:lvlText w:val="%5."/>
      <w:lvlJc w:val="left"/>
      <w:pPr>
        <w:ind w:left="3807" w:hanging="360"/>
      </w:pPr>
    </w:lvl>
    <w:lvl w:ilvl="5" w:tplc="0427001B" w:tentative="1">
      <w:start w:val="1"/>
      <w:numFmt w:val="lowerRoman"/>
      <w:lvlText w:val="%6."/>
      <w:lvlJc w:val="right"/>
      <w:pPr>
        <w:ind w:left="4527" w:hanging="180"/>
      </w:pPr>
    </w:lvl>
    <w:lvl w:ilvl="6" w:tplc="0427000F" w:tentative="1">
      <w:start w:val="1"/>
      <w:numFmt w:val="decimal"/>
      <w:lvlText w:val="%7."/>
      <w:lvlJc w:val="left"/>
      <w:pPr>
        <w:ind w:left="5247" w:hanging="360"/>
      </w:pPr>
    </w:lvl>
    <w:lvl w:ilvl="7" w:tplc="04270019" w:tentative="1">
      <w:start w:val="1"/>
      <w:numFmt w:val="lowerLetter"/>
      <w:lvlText w:val="%8."/>
      <w:lvlJc w:val="left"/>
      <w:pPr>
        <w:ind w:left="5967" w:hanging="360"/>
      </w:pPr>
    </w:lvl>
    <w:lvl w:ilvl="8" w:tplc="0427001B" w:tentative="1">
      <w:start w:val="1"/>
      <w:numFmt w:val="lowerRoman"/>
      <w:lvlText w:val="%9."/>
      <w:lvlJc w:val="right"/>
      <w:pPr>
        <w:ind w:left="6687" w:hanging="180"/>
      </w:pPr>
    </w:lvl>
  </w:abstractNum>
  <w:abstractNum w:abstractNumId="6" w15:restartNumberingAfterBreak="0">
    <w:nsid w:val="29427BAA"/>
    <w:multiLevelType w:val="hybridMultilevel"/>
    <w:tmpl w:val="02BAE32C"/>
    <w:lvl w:ilvl="0" w:tplc="E146F11A">
      <w:start w:val="1"/>
      <w:numFmt w:val="decimal"/>
      <w:lvlText w:val="%1."/>
      <w:lvlJc w:val="left"/>
      <w:pPr>
        <w:ind w:left="927" w:hanging="360"/>
      </w:pPr>
      <w:rPr>
        <w:rFonts w:hint="default"/>
      </w:rPr>
    </w:lvl>
    <w:lvl w:ilvl="1" w:tplc="04270019" w:tentative="1">
      <w:start w:val="1"/>
      <w:numFmt w:val="lowerLetter"/>
      <w:lvlText w:val="%2."/>
      <w:lvlJc w:val="left"/>
      <w:pPr>
        <w:ind w:left="1647" w:hanging="360"/>
      </w:pPr>
    </w:lvl>
    <w:lvl w:ilvl="2" w:tplc="0427001B" w:tentative="1">
      <w:start w:val="1"/>
      <w:numFmt w:val="lowerRoman"/>
      <w:lvlText w:val="%3."/>
      <w:lvlJc w:val="right"/>
      <w:pPr>
        <w:ind w:left="2367" w:hanging="180"/>
      </w:pPr>
    </w:lvl>
    <w:lvl w:ilvl="3" w:tplc="0427000F" w:tentative="1">
      <w:start w:val="1"/>
      <w:numFmt w:val="decimal"/>
      <w:lvlText w:val="%4."/>
      <w:lvlJc w:val="left"/>
      <w:pPr>
        <w:ind w:left="3087" w:hanging="360"/>
      </w:pPr>
    </w:lvl>
    <w:lvl w:ilvl="4" w:tplc="04270019" w:tentative="1">
      <w:start w:val="1"/>
      <w:numFmt w:val="lowerLetter"/>
      <w:lvlText w:val="%5."/>
      <w:lvlJc w:val="left"/>
      <w:pPr>
        <w:ind w:left="3807" w:hanging="360"/>
      </w:pPr>
    </w:lvl>
    <w:lvl w:ilvl="5" w:tplc="0427001B" w:tentative="1">
      <w:start w:val="1"/>
      <w:numFmt w:val="lowerRoman"/>
      <w:lvlText w:val="%6."/>
      <w:lvlJc w:val="right"/>
      <w:pPr>
        <w:ind w:left="4527" w:hanging="180"/>
      </w:pPr>
    </w:lvl>
    <w:lvl w:ilvl="6" w:tplc="0427000F" w:tentative="1">
      <w:start w:val="1"/>
      <w:numFmt w:val="decimal"/>
      <w:lvlText w:val="%7."/>
      <w:lvlJc w:val="left"/>
      <w:pPr>
        <w:ind w:left="5247" w:hanging="360"/>
      </w:pPr>
    </w:lvl>
    <w:lvl w:ilvl="7" w:tplc="04270019" w:tentative="1">
      <w:start w:val="1"/>
      <w:numFmt w:val="lowerLetter"/>
      <w:lvlText w:val="%8."/>
      <w:lvlJc w:val="left"/>
      <w:pPr>
        <w:ind w:left="5967" w:hanging="360"/>
      </w:pPr>
    </w:lvl>
    <w:lvl w:ilvl="8" w:tplc="0427001B" w:tentative="1">
      <w:start w:val="1"/>
      <w:numFmt w:val="lowerRoman"/>
      <w:lvlText w:val="%9."/>
      <w:lvlJc w:val="right"/>
      <w:pPr>
        <w:ind w:left="6687" w:hanging="180"/>
      </w:pPr>
    </w:lvl>
  </w:abstractNum>
  <w:abstractNum w:abstractNumId="7" w15:restartNumberingAfterBreak="0">
    <w:nsid w:val="35C041DD"/>
    <w:multiLevelType w:val="hybridMultilevel"/>
    <w:tmpl w:val="ED962458"/>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8" w15:restartNumberingAfterBreak="0">
    <w:nsid w:val="3CB80D0E"/>
    <w:multiLevelType w:val="hybridMultilevel"/>
    <w:tmpl w:val="F68614E6"/>
    <w:lvl w:ilvl="0" w:tplc="D9229526">
      <w:start w:val="1"/>
      <w:numFmt w:val="upperRoman"/>
      <w:lvlText w:val="%1."/>
      <w:lvlJc w:val="left"/>
      <w:pPr>
        <w:ind w:left="1287" w:hanging="720"/>
      </w:pPr>
      <w:rPr>
        <w:rFonts w:hint="default"/>
      </w:rPr>
    </w:lvl>
    <w:lvl w:ilvl="1" w:tplc="04270019" w:tentative="1">
      <w:start w:val="1"/>
      <w:numFmt w:val="lowerLetter"/>
      <w:lvlText w:val="%2."/>
      <w:lvlJc w:val="left"/>
      <w:pPr>
        <w:ind w:left="1647" w:hanging="360"/>
      </w:pPr>
    </w:lvl>
    <w:lvl w:ilvl="2" w:tplc="0427001B" w:tentative="1">
      <w:start w:val="1"/>
      <w:numFmt w:val="lowerRoman"/>
      <w:lvlText w:val="%3."/>
      <w:lvlJc w:val="right"/>
      <w:pPr>
        <w:ind w:left="2367" w:hanging="180"/>
      </w:pPr>
    </w:lvl>
    <w:lvl w:ilvl="3" w:tplc="0427000F" w:tentative="1">
      <w:start w:val="1"/>
      <w:numFmt w:val="decimal"/>
      <w:lvlText w:val="%4."/>
      <w:lvlJc w:val="left"/>
      <w:pPr>
        <w:ind w:left="3087" w:hanging="360"/>
      </w:pPr>
    </w:lvl>
    <w:lvl w:ilvl="4" w:tplc="04270019" w:tentative="1">
      <w:start w:val="1"/>
      <w:numFmt w:val="lowerLetter"/>
      <w:lvlText w:val="%5."/>
      <w:lvlJc w:val="left"/>
      <w:pPr>
        <w:ind w:left="3807" w:hanging="360"/>
      </w:pPr>
    </w:lvl>
    <w:lvl w:ilvl="5" w:tplc="0427001B" w:tentative="1">
      <w:start w:val="1"/>
      <w:numFmt w:val="lowerRoman"/>
      <w:lvlText w:val="%6."/>
      <w:lvlJc w:val="right"/>
      <w:pPr>
        <w:ind w:left="4527" w:hanging="180"/>
      </w:pPr>
    </w:lvl>
    <w:lvl w:ilvl="6" w:tplc="0427000F" w:tentative="1">
      <w:start w:val="1"/>
      <w:numFmt w:val="decimal"/>
      <w:lvlText w:val="%7."/>
      <w:lvlJc w:val="left"/>
      <w:pPr>
        <w:ind w:left="5247" w:hanging="360"/>
      </w:pPr>
    </w:lvl>
    <w:lvl w:ilvl="7" w:tplc="04270019" w:tentative="1">
      <w:start w:val="1"/>
      <w:numFmt w:val="lowerLetter"/>
      <w:lvlText w:val="%8."/>
      <w:lvlJc w:val="left"/>
      <w:pPr>
        <w:ind w:left="5967" w:hanging="360"/>
      </w:pPr>
    </w:lvl>
    <w:lvl w:ilvl="8" w:tplc="0427001B" w:tentative="1">
      <w:start w:val="1"/>
      <w:numFmt w:val="lowerRoman"/>
      <w:lvlText w:val="%9."/>
      <w:lvlJc w:val="right"/>
      <w:pPr>
        <w:ind w:left="6687" w:hanging="180"/>
      </w:pPr>
    </w:lvl>
  </w:abstractNum>
  <w:abstractNum w:abstractNumId="9" w15:restartNumberingAfterBreak="0">
    <w:nsid w:val="4B622F2F"/>
    <w:multiLevelType w:val="hybridMultilevel"/>
    <w:tmpl w:val="1CAC43E2"/>
    <w:lvl w:ilvl="0" w:tplc="D2E8A95E">
      <w:start w:val="1"/>
      <w:numFmt w:val="decimal"/>
      <w:lvlText w:val="%1."/>
      <w:lvlJc w:val="left"/>
      <w:pPr>
        <w:ind w:left="927" w:hanging="360"/>
      </w:pPr>
      <w:rPr>
        <w:rFonts w:hint="default"/>
      </w:rPr>
    </w:lvl>
    <w:lvl w:ilvl="1" w:tplc="04270019" w:tentative="1">
      <w:start w:val="1"/>
      <w:numFmt w:val="lowerLetter"/>
      <w:lvlText w:val="%2."/>
      <w:lvlJc w:val="left"/>
      <w:pPr>
        <w:ind w:left="1647" w:hanging="360"/>
      </w:pPr>
    </w:lvl>
    <w:lvl w:ilvl="2" w:tplc="0427001B" w:tentative="1">
      <w:start w:val="1"/>
      <w:numFmt w:val="lowerRoman"/>
      <w:lvlText w:val="%3."/>
      <w:lvlJc w:val="right"/>
      <w:pPr>
        <w:ind w:left="2367" w:hanging="180"/>
      </w:pPr>
    </w:lvl>
    <w:lvl w:ilvl="3" w:tplc="0427000F" w:tentative="1">
      <w:start w:val="1"/>
      <w:numFmt w:val="decimal"/>
      <w:lvlText w:val="%4."/>
      <w:lvlJc w:val="left"/>
      <w:pPr>
        <w:ind w:left="3087" w:hanging="360"/>
      </w:pPr>
    </w:lvl>
    <w:lvl w:ilvl="4" w:tplc="04270019" w:tentative="1">
      <w:start w:val="1"/>
      <w:numFmt w:val="lowerLetter"/>
      <w:lvlText w:val="%5."/>
      <w:lvlJc w:val="left"/>
      <w:pPr>
        <w:ind w:left="3807" w:hanging="360"/>
      </w:pPr>
    </w:lvl>
    <w:lvl w:ilvl="5" w:tplc="0427001B" w:tentative="1">
      <w:start w:val="1"/>
      <w:numFmt w:val="lowerRoman"/>
      <w:lvlText w:val="%6."/>
      <w:lvlJc w:val="right"/>
      <w:pPr>
        <w:ind w:left="4527" w:hanging="180"/>
      </w:pPr>
    </w:lvl>
    <w:lvl w:ilvl="6" w:tplc="0427000F" w:tentative="1">
      <w:start w:val="1"/>
      <w:numFmt w:val="decimal"/>
      <w:lvlText w:val="%7."/>
      <w:lvlJc w:val="left"/>
      <w:pPr>
        <w:ind w:left="5247" w:hanging="360"/>
      </w:pPr>
    </w:lvl>
    <w:lvl w:ilvl="7" w:tplc="04270019" w:tentative="1">
      <w:start w:val="1"/>
      <w:numFmt w:val="lowerLetter"/>
      <w:lvlText w:val="%8."/>
      <w:lvlJc w:val="left"/>
      <w:pPr>
        <w:ind w:left="5967" w:hanging="360"/>
      </w:pPr>
    </w:lvl>
    <w:lvl w:ilvl="8" w:tplc="0427001B" w:tentative="1">
      <w:start w:val="1"/>
      <w:numFmt w:val="lowerRoman"/>
      <w:lvlText w:val="%9."/>
      <w:lvlJc w:val="right"/>
      <w:pPr>
        <w:ind w:left="6687" w:hanging="180"/>
      </w:pPr>
    </w:lvl>
  </w:abstractNum>
  <w:abstractNum w:abstractNumId="10" w15:restartNumberingAfterBreak="0">
    <w:nsid w:val="4ED87D92"/>
    <w:multiLevelType w:val="hybridMultilevel"/>
    <w:tmpl w:val="73F855A6"/>
    <w:lvl w:ilvl="0" w:tplc="FFFFFFFF">
      <w:start w:val="1"/>
      <w:numFmt w:val="decimal"/>
      <w:lvlText w:val="%1."/>
      <w:lvlJc w:val="left"/>
      <w:pPr>
        <w:ind w:left="1668" w:hanging="360"/>
      </w:pPr>
      <w:rPr>
        <w:rFonts w:hint="default"/>
        <w:b w:val="0"/>
        <w:bCs w:val="0"/>
      </w:rPr>
    </w:lvl>
    <w:lvl w:ilvl="1" w:tplc="FFFFFFFF" w:tentative="1">
      <w:start w:val="1"/>
      <w:numFmt w:val="lowerLetter"/>
      <w:lvlText w:val="%2."/>
      <w:lvlJc w:val="left"/>
      <w:pPr>
        <w:ind w:left="2187" w:hanging="360"/>
      </w:pPr>
    </w:lvl>
    <w:lvl w:ilvl="2" w:tplc="FFFFFFFF" w:tentative="1">
      <w:start w:val="1"/>
      <w:numFmt w:val="lowerRoman"/>
      <w:lvlText w:val="%3."/>
      <w:lvlJc w:val="right"/>
      <w:pPr>
        <w:ind w:left="2907" w:hanging="180"/>
      </w:pPr>
    </w:lvl>
    <w:lvl w:ilvl="3" w:tplc="FFFFFFFF" w:tentative="1">
      <w:start w:val="1"/>
      <w:numFmt w:val="decimal"/>
      <w:lvlText w:val="%4."/>
      <w:lvlJc w:val="left"/>
      <w:pPr>
        <w:ind w:left="3627" w:hanging="360"/>
      </w:pPr>
    </w:lvl>
    <w:lvl w:ilvl="4" w:tplc="FFFFFFFF" w:tentative="1">
      <w:start w:val="1"/>
      <w:numFmt w:val="lowerLetter"/>
      <w:lvlText w:val="%5."/>
      <w:lvlJc w:val="left"/>
      <w:pPr>
        <w:ind w:left="4347" w:hanging="360"/>
      </w:pPr>
    </w:lvl>
    <w:lvl w:ilvl="5" w:tplc="FFFFFFFF" w:tentative="1">
      <w:start w:val="1"/>
      <w:numFmt w:val="lowerRoman"/>
      <w:lvlText w:val="%6."/>
      <w:lvlJc w:val="right"/>
      <w:pPr>
        <w:ind w:left="5067" w:hanging="180"/>
      </w:pPr>
    </w:lvl>
    <w:lvl w:ilvl="6" w:tplc="FFFFFFFF" w:tentative="1">
      <w:start w:val="1"/>
      <w:numFmt w:val="decimal"/>
      <w:lvlText w:val="%7."/>
      <w:lvlJc w:val="left"/>
      <w:pPr>
        <w:ind w:left="5787" w:hanging="360"/>
      </w:pPr>
    </w:lvl>
    <w:lvl w:ilvl="7" w:tplc="FFFFFFFF" w:tentative="1">
      <w:start w:val="1"/>
      <w:numFmt w:val="lowerLetter"/>
      <w:lvlText w:val="%8."/>
      <w:lvlJc w:val="left"/>
      <w:pPr>
        <w:ind w:left="6507" w:hanging="360"/>
      </w:pPr>
    </w:lvl>
    <w:lvl w:ilvl="8" w:tplc="FFFFFFFF" w:tentative="1">
      <w:start w:val="1"/>
      <w:numFmt w:val="lowerRoman"/>
      <w:lvlText w:val="%9."/>
      <w:lvlJc w:val="right"/>
      <w:pPr>
        <w:ind w:left="7227" w:hanging="180"/>
      </w:pPr>
    </w:lvl>
  </w:abstractNum>
  <w:abstractNum w:abstractNumId="11" w15:restartNumberingAfterBreak="0">
    <w:nsid w:val="54EE78B8"/>
    <w:multiLevelType w:val="hybridMultilevel"/>
    <w:tmpl w:val="60C61B20"/>
    <w:lvl w:ilvl="0" w:tplc="AB8A6906">
      <w:start w:val="1"/>
      <w:numFmt w:val="decimal"/>
      <w:lvlText w:val="%1."/>
      <w:lvlJc w:val="left"/>
      <w:pPr>
        <w:ind w:left="921" w:hanging="360"/>
      </w:pPr>
      <w:rPr>
        <w:rFonts w:hint="default"/>
      </w:rPr>
    </w:lvl>
    <w:lvl w:ilvl="1" w:tplc="04270019" w:tentative="1">
      <w:start w:val="1"/>
      <w:numFmt w:val="lowerLetter"/>
      <w:lvlText w:val="%2."/>
      <w:lvlJc w:val="left"/>
      <w:pPr>
        <w:ind w:left="1641" w:hanging="360"/>
      </w:pPr>
    </w:lvl>
    <w:lvl w:ilvl="2" w:tplc="0427001B" w:tentative="1">
      <w:start w:val="1"/>
      <w:numFmt w:val="lowerRoman"/>
      <w:lvlText w:val="%3."/>
      <w:lvlJc w:val="right"/>
      <w:pPr>
        <w:ind w:left="2361" w:hanging="180"/>
      </w:pPr>
    </w:lvl>
    <w:lvl w:ilvl="3" w:tplc="0427000F" w:tentative="1">
      <w:start w:val="1"/>
      <w:numFmt w:val="decimal"/>
      <w:lvlText w:val="%4."/>
      <w:lvlJc w:val="left"/>
      <w:pPr>
        <w:ind w:left="3081" w:hanging="360"/>
      </w:pPr>
    </w:lvl>
    <w:lvl w:ilvl="4" w:tplc="04270019" w:tentative="1">
      <w:start w:val="1"/>
      <w:numFmt w:val="lowerLetter"/>
      <w:lvlText w:val="%5."/>
      <w:lvlJc w:val="left"/>
      <w:pPr>
        <w:ind w:left="3801" w:hanging="360"/>
      </w:pPr>
    </w:lvl>
    <w:lvl w:ilvl="5" w:tplc="0427001B" w:tentative="1">
      <w:start w:val="1"/>
      <w:numFmt w:val="lowerRoman"/>
      <w:lvlText w:val="%6."/>
      <w:lvlJc w:val="right"/>
      <w:pPr>
        <w:ind w:left="4521" w:hanging="180"/>
      </w:pPr>
    </w:lvl>
    <w:lvl w:ilvl="6" w:tplc="0427000F" w:tentative="1">
      <w:start w:val="1"/>
      <w:numFmt w:val="decimal"/>
      <w:lvlText w:val="%7."/>
      <w:lvlJc w:val="left"/>
      <w:pPr>
        <w:ind w:left="5241" w:hanging="360"/>
      </w:pPr>
    </w:lvl>
    <w:lvl w:ilvl="7" w:tplc="04270019" w:tentative="1">
      <w:start w:val="1"/>
      <w:numFmt w:val="lowerLetter"/>
      <w:lvlText w:val="%8."/>
      <w:lvlJc w:val="left"/>
      <w:pPr>
        <w:ind w:left="5961" w:hanging="360"/>
      </w:pPr>
    </w:lvl>
    <w:lvl w:ilvl="8" w:tplc="0427001B" w:tentative="1">
      <w:start w:val="1"/>
      <w:numFmt w:val="lowerRoman"/>
      <w:lvlText w:val="%9."/>
      <w:lvlJc w:val="right"/>
      <w:pPr>
        <w:ind w:left="6681" w:hanging="180"/>
      </w:pPr>
    </w:lvl>
  </w:abstractNum>
  <w:abstractNum w:abstractNumId="12" w15:restartNumberingAfterBreak="0">
    <w:nsid w:val="61320356"/>
    <w:multiLevelType w:val="hybridMultilevel"/>
    <w:tmpl w:val="73F855A6"/>
    <w:lvl w:ilvl="0" w:tplc="3BE04DD4">
      <w:start w:val="1"/>
      <w:numFmt w:val="decimal"/>
      <w:lvlText w:val="%1."/>
      <w:lvlJc w:val="left"/>
      <w:pPr>
        <w:ind w:left="2345" w:hanging="360"/>
      </w:pPr>
      <w:rPr>
        <w:rFonts w:hint="default"/>
        <w:b w:val="0"/>
        <w:bCs w:val="0"/>
      </w:rPr>
    </w:lvl>
    <w:lvl w:ilvl="1" w:tplc="04270019" w:tentative="1">
      <w:start w:val="1"/>
      <w:numFmt w:val="lowerLetter"/>
      <w:lvlText w:val="%2."/>
      <w:lvlJc w:val="left"/>
      <w:pPr>
        <w:ind w:left="2187" w:hanging="360"/>
      </w:pPr>
    </w:lvl>
    <w:lvl w:ilvl="2" w:tplc="0427001B" w:tentative="1">
      <w:start w:val="1"/>
      <w:numFmt w:val="lowerRoman"/>
      <w:lvlText w:val="%3."/>
      <w:lvlJc w:val="right"/>
      <w:pPr>
        <w:ind w:left="2907" w:hanging="180"/>
      </w:pPr>
    </w:lvl>
    <w:lvl w:ilvl="3" w:tplc="0427000F" w:tentative="1">
      <w:start w:val="1"/>
      <w:numFmt w:val="decimal"/>
      <w:lvlText w:val="%4."/>
      <w:lvlJc w:val="left"/>
      <w:pPr>
        <w:ind w:left="3627" w:hanging="360"/>
      </w:pPr>
    </w:lvl>
    <w:lvl w:ilvl="4" w:tplc="04270019" w:tentative="1">
      <w:start w:val="1"/>
      <w:numFmt w:val="lowerLetter"/>
      <w:lvlText w:val="%5."/>
      <w:lvlJc w:val="left"/>
      <w:pPr>
        <w:ind w:left="4347" w:hanging="360"/>
      </w:pPr>
    </w:lvl>
    <w:lvl w:ilvl="5" w:tplc="0427001B" w:tentative="1">
      <w:start w:val="1"/>
      <w:numFmt w:val="lowerRoman"/>
      <w:lvlText w:val="%6."/>
      <w:lvlJc w:val="right"/>
      <w:pPr>
        <w:ind w:left="5067" w:hanging="180"/>
      </w:pPr>
    </w:lvl>
    <w:lvl w:ilvl="6" w:tplc="0427000F" w:tentative="1">
      <w:start w:val="1"/>
      <w:numFmt w:val="decimal"/>
      <w:lvlText w:val="%7."/>
      <w:lvlJc w:val="left"/>
      <w:pPr>
        <w:ind w:left="5787" w:hanging="360"/>
      </w:pPr>
    </w:lvl>
    <w:lvl w:ilvl="7" w:tplc="04270019" w:tentative="1">
      <w:start w:val="1"/>
      <w:numFmt w:val="lowerLetter"/>
      <w:lvlText w:val="%8."/>
      <w:lvlJc w:val="left"/>
      <w:pPr>
        <w:ind w:left="6507" w:hanging="360"/>
      </w:pPr>
    </w:lvl>
    <w:lvl w:ilvl="8" w:tplc="0427001B" w:tentative="1">
      <w:start w:val="1"/>
      <w:numFmt w:val="lowerRoman"/>
      <w:lvlText w:val="%9."/>
      <w:lvlJc w:val="right"/>
      <w:pPr>
        <w:ind w:left="7227" w:hanging="180"/>
      </w:pPr>
    </w:lvl>
  </w:abstractNum>
  <w:abstractNum w:abstractNumId="13" w15:restartNumberingAfterBreak="0">
    <w:nsid w:val="65540FD3"/>
    <w:multiLevelType w:val="hybridMultilevel"/>
    <w:tmpl w:val="73F855A6"/>
    <w:lvl w:ilvl="0" w:tplc="FFFFFFFF">
      <w:start w:val="1"/>
      <w:numFmt w:val="decimal"/>
      <w:lvlText w:val="%1."/>
      <w:lvlJc w:val="left"/>
      <w:pPr>
        <w:ind w:left="2345" w:hanging="360"/>
      </w:pPr>
      <w:rPr>
        <w:rFonts w:hint="default"/>
        <w:b w:val="0"/>
        <w:bCs w:val="0"/>
      </w:rPr>
    </w:lvl>
    <w:lvl w:ilvl="1" w:tplc="FFFFFFFF" w:tentative="1">
      <w:start w:val="1"/>
      <w:numFmt w:val="lowerLetter"/>
      <w:lvlText w:val="%2."/>
      <w:lvlJc w:val="left"/>
      <w:pPr>
        <w:ind w:left="2187" w:hanging="360"/>
      </w:pPr>
    </w:lvl>
    <w:lvl w:ilvl="2" w:tplc="FFFFFFFF" w:tentative="1">
      <w:start w:val="1"/>
      <w:numFmt w:val="lowerRoman"/>
      <w:lvlText w:val="%3."/>
      <w:lvlJc w:val="right"/>
      <w:pPr>
        <w:ind w:left="2907" w:hanging="180"/>
      </w:pPr>
    </w:lvl>
    <w:lvl w:ilvl="3" w:tplc="FFFFFFFF" w:tentative="1">
      <w:start w:val="1"/>
      <w:numFmt w:val="decimal"/>
      <w:lvlText w:val="%4."/>
      <w:lvlJc w:val="left"/>
      <w:pPr>
        <w:ind w:left="3627" w:hanging="360"/>
      </w:pPr>
    </w:lvl>
    <w:lvl w:ilvl="4" w:tplc="FFFFFFFF" w:tentative="1">
      <w:start w:val="1"/>
      <w:numFmt w:val="lowerLetter"/>
      <w:lvlText w:val="%5."/>
      <w:lvlJc w:val="left"/>
      <w:pPr>
        <w:ind w:left="4347" w:hanging="360"/>
      </w:pPr>
    </w:lvl>
    <w:lvl w:ilvl="5" w:tplc="FFFFFFFF" w:tentative="1">
      <w:start w:val="1"/>
      <w:numFmt w:val="lowerRoman"/>
      <w:lvlText w:val="%6."/>
      <w:lvlJc w:val="right"/>
      <w:pPr>
        <w:ind w:left="5067" w:hanging="180"/>
      </w:pPr>
    </w:lvl>
    <w:lvl w:ilvl="6" w:tplc="FFFFFFFF" w:tentative="1">
      <w:start w:val="1"/>
      <w:numFmt w:val="decimal"/>
      <w:lvlText w:val="%7."/>
      <w:lvlJc w:val="left"/>
      <w:pPr>
        <w:ind w:left="5787" w:hanging="360"/>
      </w:pPr>
    </w:lvl>
    <w:lvl w:ilvl="7" w:tplc="FFFFFFFF" w:tentative="1">
      <w:start w:val="1"/>
      <w:numFmt w:val="lowerLetter"/>
      <w:lvlText w:val="%8."/>
      <w:lvlJc w:val="left"/>
      <w:pPr>
        <w:ind w:left="6507" w:hanging="360"/>
      </w:pPr>
    </w:lvl>
    <w:lvl w:ilvl="8" w:tplc="FFFFFFFF" w:tentative="1">
      <w:start w:val="1"/>
      <w:numFmt w:val="lowerRoman"/>
      <w:lvlText w:val="%9."/>
      <w:lvlJc w:val="right"/>
      <w:pPr>
        <w:ind w:left="7227" w:hanging="180"/>
      </w:pPr>
    </w:lvl>
  </w:abstractNum>
  <w:abstractNum w:abstractNumId="14" w15:restartNumberingAfterBreak="0">
    <w:nsid w:val="6E580526"/>
    <w:multiLevelType w:val="hybridMultilevel"/>
    <w:tmpl w:val="1172819C"/>
    <w:lvl w:ilvl="0" w:tplc="1122A85A">
      <w:start w:val="3"/>
      <w:numFmt w:val="upperRoman"/>
      <w:lvlText w:val="%1."/>
      <w:lvlJc w:val="left"/>
      <w:pPr>
        <w:ind w:left="1080" w:hanging="72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5" w15:restartNumberingAfterBreak="0">
    <w:nsid w:val="799E0762"/>
    <w:multiLevelType w:val="multilevel"/>
    <w:tmpl w:val="D4DC9C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7DE33EDD"/>
    <w:multiLevelType w:val="hybridMultilevel"/>
    <w:tmpl w:val="E89EB37C"/>
    <w:lvl w:ilvl="0" w:tplc="10AABBD8">
      <w:start w:val="3"/>
      <w:numFmt w:val="upperRoman"/>
      <w:lvlText w:val="%1."/>
      <w:lvlJc w:val="left"/>
      <w:pPr>
        <w:ind w:left="1080" w:hanging="72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num w:numId="1" w16cid:durableId="1567644053">
    <w:abstractNumId w:val="8"/>
  </w:num>
  <w:num w:numId="2" w16cid:durableId="1089472292">
    <w:abstractNumId w:val="5"/>
  </w:num>
  <w:num w:numId="3" w16cid:durableId="889148294">
    <w:abstractNumId w:val="4"/>
  </w:num>
  <w:num w:numId="4" w16cid:durableId="1616517691">
    <w:abstractNumId w:val="11"/>
  </w:num>
  <w:num w:numId="5" w16cid:durableId="415370030">
    <w:abstractNumId w:val="12"/>
  </w:num>
  <w:num w:numId="6" w16cid:durableId="1719235782">
    <w:abstractNumId w:val="10"/>
  </w:num>
  <w:num w:numId="7" w16cid:durableId="503125863">
    <w:abstractNumId w:val="13"/>
  </w:num>
  <w:num w:numId="8" w16cid:durableId="522288013">
    <w:abstractNumId w:val="6"/>
  </w:num>
  <w:num w:numId="9" w16cid:durableId="1985036880">
    <w:abstractNumId w:val="9"/>
  </w:num>
  <w:num w:numId="10" w16cid:durableId="902913580">
    <w:abstractNumId w:val="1"/>
  </w:num>
  <w:num w:numId="11" w16cid:durableId="1197740432">
    <w:abstractNumId w:val="2"/>
  </w:num>
  <w:num w:numId="12" w16cid:durableId="34160357">
    <w:abstractNumId w:val="14"/>
  </w:num>
  <w:num w:numId="13" w16cid:durableId="1866673722">
    <w:abstractNumId w:val="3"/>
  </w:num>
  <w:num w:numId="14" w16cid:durableId="1193152302">
    <w:abstractNumId w:val="16"/>
  </w:num>
  <w:num w:numId="15" w16cid:durableId="3360579">
    <w:abstractNumId w:val="15"/>
  </w:num>
  <w:num w:numId="16" w16cid:durableId="456411321">
    <w:abstractNumId w:val="7"/>
  </w:num>
  <w:num w:numId="17" w16cid:durableId="208923317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1296"/>
  <w:hyphenationZone w:val="396"/>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82218"/>
    <w:rsid w:val="00000B17"/>
    <w:rsid w:val="0000121D"/>
    <w:rsid w:val="0000148C"/>
    <w:rsid w:val="00003F53"/>
    <w:rsid w:val="0000419E"/>
    <w:rsid w:val="00004252"/>
    <w:rsid w:val="0000440B"/>
    <w:rsid w:val="0000479A"/>
    <w:rsid w:val="00004E6B"/>
    <w:rsid w:val="00005B00"/>
    <w:rsid w:val="00005BB8"/>
    <w:rsid w:val="000061DF"/>
    <w:rsid w:val="00007A31"/>
    <w:rsid w:val="000106C3"/>
    <w:rsid w:val="00010A86"/>
    <w:rsid w:val="00011F50"/>
    <w:rsid w:val="0001363E"/>
    <w:rsid w:val="00013E11"/>
    <w:rsid w:val="00013E1C"/>
    <w:rsid w:val="00015103"/>
    <w:rsid w:val="00017358"/>
    <w:rsid w:val="000201EF"/>
    <w:rsid w:val="00023A35"/>
    <w:rsid w:val="0002452F"/>
    <w:rsid w:val="00025EFF"/>
    <w:rsid w:val="00027AB3"/>
    <w:rsid w:val="000302E3"/>
    <w:rsid w:val="00030B0A"/>
    <w:rsid w:val="0003175A"/>
    <w:rsid w:val="00032B96"/>
    <w:rsid w:val="00033730"/>
    <w:rsid w:val="000346E5"/>
    <w:rsid w:val="00034D98"/>
    <w:rsid w:val="00037191"/>
    <w:rsid w:val="00037505"/>
    <w:rsid w:val="0004052E"/>
    <w:rsid w:val="000421B2"/>
    <w:rsid w:val="00042A5C"/>
    <w:rsid w:val="00042A80"/>
    <w:rsid w:val="00044DD5"/>
    <w:rsid w:val="000474E9"/>
    <w:rsid w:val="0005015C"/>
    <w:rsid w:val="00050B21"/>
    <w:rsid w:val="00051A80"/>
    <w:rsid w:val="00051BF3"/>
    <w:rsid w:val="000523EE"/>
    <w:rsid w:val="00052C4E"/>
    <w:rsid w:val="00053ACF"/>
    <w:rsid w:val="00056297"/>
    <w:rsid w:val="0005673F"/>
    <w:rsid w:val="0005787A"/>
    <w:rsid w:val="00057A8A"/>
    <w:rsid w:val="000612AA"/>
    <w:rsid w:val="00061430"/>
    <w:rsid w:val="000619F5"/>
    <w:rsid w:val="00063D45"/>
    <w:rsid w:val="00064339"/>
    <w:rsid w:val="000650F8"/>
    <w:rsid w:val="00065229"/>
    <w:rsid w:val="000656CC"/>
    <w:rsid w:val="00066946"/>
    <w:rsid w:val="0006728B"/>
    <w:rsid w:val="000710C0"/>
    <w:rsid w:val="0007128C"/>
    <w:rsid w:val="00072101"/>
    <w:rsid w:val="00072908"/>
    <w:rsid w:val="000732A1"/>
    <w:rsid w:val="00073947"/>
    <w:rsid w:val="00075C6C"/>
    <w:rsid w:val="0007735A"/>
    <w:rsid w:val="000807EA"/>
    <w:rsid w:val="00080982"/>
    <w:rsid w:val="00080BDE"/>
    <w:rsid w:val="00082152"/>
    <w:rsid w:val="0008316B"/>
    <w:rsid w:val="00083A95"/>
    <w:rsid w:val="000847C4"/>
    <w:rsid w:val="00084E29"/>
    <w:rsid w:val="00085257"/>
    <w:rsid w:val="00085BF4"/>
    <w:rsid w:val="00086791"/>
    <w:rsid w:val="000872BA"/>
    <w:rsid w:val="00090576"/>
    <w:rsid w:val="00090581"/>
    <w:rsid w:val="00090DE0"/>
    <w:rsid w:val="0009736E"/>
    <w:rsid w:val="00097428"/>
    <w:rsid w:val="000976F4"/>
    <w:rsid w:val="000A3DF4"/>
    <w:rsid w:val="000A411C"/>
    <w:rsid w:val="000A478D"/>
    <w:rsid w:val="000A5CA1"/>
    <w:rsid w:val="000B07CE"/>
    <w:rsid w:val="000B0CF9"/>
    <w:rsid w:val="000B1D55"/>
    <w:rsid w:val="000B2644"/>
    <w:rsid w:val="000B4371"/>
    <w:rsid w:val="000B4754"/>
    <w:rsid w:val="000B4903"/>
    <w:rsid w:val="000B588A"/>
    <w:rsid w:val="000B5BDA"/>
    <w:rsid w:val="000B5E8A"/>
    <w:rsid w:val="000B7341"/>
    <w:rsid w:val="000C04E7"/>
    <w:rsid w:val="000C1277"/>
    <w:rsid w:val="000C361E"/>
    <w:rsid w:val="000C39AD"/>
    <w:rsid w:val="000C67F9"/>
    <w:rsid w:val="000C745C"/>
    <w:rsid w:val="000C75E8"/>
    <w:rsid w:val="000D1839"/>
    <w:rsid w:val="000D2E1C"/>
    <w:rsid w:val="000D381E"/>
    <w:rsid w:val="000D38F4"/>
    <w:rsid w:val="000D3FBB"/>
    <w:rsid w:val="000D4543"/>
    <w:rsid w:val="000D466E"/>
    <w:rsid w:val="000D5045"/>
    <w:rsid w:val="000D53D2"/>
    <w:rsid w:val="000D5B7C"/>
    <w:rsid w:val="000D7E29"/>
    <w:rsid w:val="000E1060"/>
    <w:rsid w:val="000E1AF8"/>
    <w:rsid w:val="000E1B3C"/>
    <w:rsid w:val="000E2005"/>
    <w:rsid w:val="000E21E7"/>
    <w:rsid w:val="000E3287"/>
    <w:rsid w:val="000E336A"/>
    <w:rsid w:val="000E42E9"/>
    <w:rsid w:val="000E4399"/>
    <w:rsid w:val="000E487D"/>
    <w:rsid w:val="000E576D"/>
    <w:rsid w:val="000E70E0"/>
    <w:rsid w:val="000E7870"/>
    <w:rsid w:val="000E79A5"/>
    <w:rsid w:val="000F2021"/>
    <w:rsid w:val="000F26F8"/>
    <w:rsid w:val="000F4E6A"/>
    <w:rsid w:val="000F546D"/>
    <w:rsid w:val="000F6890"/>
    <w:rsid w:val="000F7AC2"/>
    <w:rsid w:val="00100064"/>
    <w:rsid w:val="00100660"/>
    <w:rsid w:val="00100A17"/>
    <w:rsid w:val="00100BB1"/>
    <w:rsid w:val="001019C4"/>
    <w:rsid w:val="0010261C"/>
    <w:rsid w:val="001038BF"/>
    <w:rsid w:val="001040BC"/>
    <w:rsid w:val="00104F50"/>
    <w:rsid w:val="00105A9C"/>
    <w:rsid w:val="00107939"/>
    <w:rsid w:val="001122C5"/>
    <w:rsid w:val="00112C34"/>
    <w:rsid w:val="00112D06"/>
    <w:rsid w:val="001138D7"/>
    <w:rsid w:val="0011402D"/>
    <w:rsid w:val="00114459"/>
    <w:rsid w:val="00114F1D"/>
    <w:rsid w:val="00115CAE"/>
    <w:rsid w:val="00115CD9"/>
    <w:rsid w:val="00116BC5"/>
    <w:rsid w:val="0012079D"/>
    <w:rsid w:val="00121653"/>
    <w:rsid w:val="001234A2"/>
    <w:rsid w:val="001244E0"/>
    <w:rsid w:val="001245F1"/>
    <w:rsid w:val="00125E75"/>
    <w:rsid w:val="00126FEA"/>
    <w:rsid w:val="00127971"/>
    <w:rsid w:val="0013201C"/>
    <w:rsid w:val="001323D4"/>
    <w:rsid w:val="00133499"/>
    <w:rsid w:val="00133705"/>
    <w:rsid w:val="00133EB0"/>
    <w:rsid w:val="00134668"/>
    <w:rsid w:val="00134A23"/>
    <w:rsid w:val="00140D95"/>
    <w:rsid w:val="0014306E"/>
    <w:rsid w:val="0014454E"/>
    <w:rsid w:val="00144EAF"/>
    <w:rsid w:val="00145665"/>
    <w:rsid w:val="00147945"/>
    <w:rsid w:val="00150459"/>
    <w:rsid w:val="0015045B"/>
    <w:rsid w:val="0015158B"/>
    <w:rsid w:val="00152FFE"/>
    <w:rsid w:val="001545A1"/>
    <w:rsid w:val="00154628"/>
    <w:rsid w:val="0015474D"/>
    <w:rsid w:val="00154C46"/>
    <w:rsid w:val="00154FBE"/>
    <w:rsid w:val="00157E17"/>
    <w:rsid w:val="0016018E"/>
    <w:rsid w:val="001605FF"/>
    <w:rsid w:val="00161318"/>
    <w:rsid w:val="001622A6"/>
    <w:rsid w:val="00163894"/>
    <w:rsid w:val="00163931"/>
    <w:rsid w:val="00163D80"/>
    <w:rsid w:val="00164060"/>
    <w:rsid w:val="001647A8"/>
    <w:rsid w:val="00164C86"/>
    <w:rsid w:val="00165281"/>
    <w:rsid w:val="00165704"/>
    <w:rsid w:val="001663F4"/>
    <w:rsid w:val="001671E9"/>
    <w:rsid w:val="00171478"/>
    <w:rsid w:val="0017237D"/>
    <w:rsid w:val="00172721"/>
    <w:rsid w:val="0017295D"/>
    <w:rsid w:val="00172A34"/>
    <w:rsid w:val="001730D0"/>
    <w:rsid w:val="00174A79"/>
    <w:rsid w:val="00174AA6"/>
    <w:rsid w:val="00174C2E"/>
    <w:rsid w:val="001752CA"/>
    <w:rsid w:val="001754A5"/>
    <w:rsid w:val="00175B65"/>
    <w:rsid w:val="00175BF7"/>
    <w:rsid w:val="0017629F"/>
    <w:rsid w:val="00176A32"/>
    <w:rsid w:val="00181A17"/>
    <w:rsid w:val="001827D3"/>
    <w:rsid w:val="00183723"/>
    <w:rsid w:val="001839C5"/>
    <w:rsid w:val="00183AD2"/>
    <w:rsid w:val="00187960"/>
    <w:rsid w:val="00191287"/>
    <w:rsid w:val="001926A8"/>
    <w:rsid w:val="00192E26"/>
    <w:rsid w:val="0019554D"/>
    <w:rsid w:val="001956C5"/>
    <w:rsid w:val="00195B5E"/>
    <w:rsid w:val="00195C22"/>
    <w:rsid w:val="001A0DA3"/>
    <w:rsid w:val="001A2D35"/>
    <w:rsid w:val="001A3FC3"/>
    <w:rsid w:val="001A54B8"/>
    <w:rsid w:val="001A5B11"/>
    <w:rsid w:val="001A7ECD"/>
    <w:rsid w:val="001B02D0"/>
    <w:rsid w:val="001B0B38"/>
    <w:rsid w:val="001B3157"/>
    <w:rsid w:val="001B32BE"/>
    <w:rsid w:val="001B3CCC"/>
    <w:rsid w:val="001B3D2F"/>
    <w:rsid w:val="001B4695"/>
    <w:rsid w:val="001B4BCC"/>
    <w:rsid w:val="001B5606"/>
    <w:rsid w:val="001B6A7A"/>
    <w:rsid w:val="001C000C"/>
    <w:rsid w:val="001C19EA"/>
    <w:rsid w:val="001C1DF2"/>
    <w:rsid w:val="001C1ED5"/>
    <w:rsid w:val="001C2018"/>
    <w:rsid w:val="001C260D"/>
    <w:rsid w:val="001C2C75"/>
    <w:rsid w:val="001C4D7D"/>
    <w:rsid w:val="001D0616"/>
    <w:rsid w:val="001D139E"/>
    <w:rsid w:val="001D1A96"/>
    <w:rsid w:val="001D2ED1"/>
    <w:rsid w:val="001D398C"/>
    <w:rsid w:val="001D47E8"/>
    <w:rsid w:val="001D5539"/>
    <w:rsid w:val="001D605C"/>
    <w:rsid w:val="001D7113"/>
    <w:rsid w:val="001D7B10"/>
    <w:rsid w:val="001E18F4"/>
    <w:rsid w:val="001E7381"/>
    <w:rsid w:val="001E7B0E"/>
    <w:rsid w:val="001F03D3"/>
    <w:rsid w:val="001F0486"/>
    <w:rsid w:val="001F1315"/>
    <w:rsid w:val="001F552B"/>
    <w:rsid w:val="001F5FDC"/>
    <w:rsid w:val="001F6093"/>
    <w:rsid w:val="001F656E"/>
    <w:rsid w:val="001F7BB9"/>
    <w:rsid w:val="00200749"/>
    <w:rsid w:val="00201B24"/>
    <w:rsid w:val="00201DE0"/>
    <w:rsid w:val="00201F34"/>
    <w:rsid w:val="00202697"/>
    <w:rsid w:val="002032FD"/>
    <w:rsid w:val="00203FDC"/>
    <w:rsid w:val="002047DF"/>
    <w:rsid w:val="00205869"/>
    <w:rsid w:val="00206E90"/>
    <w:rsid w:val="002071C2"/>
    <w:rsid w:val="002110C1"/>
    <w:rsid w:val="002116E1"/>
    <w:rsid w:val="0021177C"/>
    <w:rsid w:val="00211F00"/>
    <w:rsid w:val="00215090"/>
    <w:rsid w:val="0021624B"/>
    <w:rsid w:val="002167CC"/>
    <w:rsid w:val="0021750D"/>
    <w:rsid w:val="00217CB8"/>
    <w:rsid w:val="00220B4F"/>
    <w:rsid w:val="00221018"/>
    <w:rsid w:val="002235F2"/>
    <w:rsid w:val="00224265"/>
    <w:rsid w:val="00224721"/>
    <w:rsid w:val="00225131"/>
    <w:rsid w:val="002254FF"/>
    <w:rsid w:val="00230495"/>
    <w:rsid w:val="00230774"/>
    <w:rsid w:val="002315D0"/>
    <w:rsid w:val="00231ABA"/>
    <w:rsid w:val="00231D33"/>
    <w:rsid w:val="00233DF1"/>
    <w:rsid w:val="002346B3"/>
    <w:rsid w:val="002365BC"/>
    <w:rsid w:val="00236AD9"/>
    <w:rsid w:val="00236AE6"/>
    <w:rsid w:val="0023775B"/>
    <w:rsid w:val="002377DB"/>
    <w:rsid w:val="0024155C"/>
    <w:rsid w:val="00241E4A"/>
    <w:rsid w:val="00242C4F"/>
    <w:rsid w:val="00244863"/>
    <w:rsid w:val="002471AE"/>
    <w:rsid w:val="0024749B"/>
    <w:rsid w:val="002511AE"/>
    <w:rsid w:val="00251450"/>
    <w:rsid w:val="0025164A"/>
    <w:rsid w:val="00252BD9"/>
    <w:rsid w:val="00253C49"/>
    <w:rsid w:val="0025408A"/>
    <w:rsid w:val="00255227"/>
    <w:rsid w:val="002570D6"/>
    <w:rsid w:val="00260454"/>
    <w:rsid w:val="00260B0D"/>
    <w:rsid w:val="00260DB9"/>
    <w:rsid w:val="00262CF0"/>
    <w:rsid w:val="0026363C"/>
    <w:rsid w:val="00263975"/>
    <w:rsid w:val="00264011"/>
    <w:rsid w:val="002643F5"/>
    <w:rsid w:val="00264B19"/>
    <w:rsid w:val="00264D89"/>
    <w:rsid w:val="0026602C"/>
    <w:rsid w:val="002662D6"/>
    <w:rsid w:val="002666AF"/>
    <w:rsid w:val="0027155C"/>
    <w:rsid w:val="00273D78"/>
    <w:rsid w:val="00273E18"/>
    <w:rsid w:val="0027415D"/>
    <w:rsid w:val="002749F5"/>
    <w:rsid w:val="00275306"/>
    <w:rsid w:val="00280642"/>
    <w:rsid w:val="00281070"/>
    <w:rsid w:val="00282066"/>
    <w:rsid w:val="002824C5"/>
    <w:rsid w:val="00282A00"/>
    <w:rsid w:val="00282DA0"/>
    <w:rsid w:val="00283342"/>
    <w:rsid w:val="00283B08"/>
    <w:rsid w:val="002845A6"/>
    <w:rsid w:val="0028613D"/>
    <w:rsid w:val="00286C97"/>
    <w:rsid w:val="002871BC"/>
    <w:rsid w:val="00287630"/>
    <w:rsid w:val="00291625"/>
    <w:rsid w:val="00292481"/>
    <w:rsid w:val="00293993"/>
    <w:rsid w:val="00295762"/>
    <w:rsid w:val="00296F51"/>
    <w:rsid w:val="002A06D5"/>
    <w:rsid w:val="002A0814"/>
    <w:rsid w:val="002A0D18"/>
    <w:rsid w:val="002A1298"/>
    <w:rsid w:val="002A2143"/>
    <w:rsid w:val="002A2857"/>
    <w:rsid w:val="002A433F"/>
    <w:rsid w:val="002A4DE2"/>
    <w:rsid w:val="002A6560"/>
    <w:rsid w:val="002A6A39"/>
    <w:rsid w:val="002B06BE"/>
    <w:rsid w:val="002B081A"/>
    <w:rsid w:val="002B0C0D"/>
    <w:rsid w:val="002B1C5E"/>
    <w:rsid w:val="002B1F4D"/>
    <w:rsid w:val="002B2166"/>
    <w:rsid w:val="002B36B5"/>
    <w:rsid w:val="002B5730"/>
    <w:rsid w:val="002B682A"/>
    <w:rsid w:val="002C0D97"/>
    <w:rsid w:val="002C158C"/>
    <w:rsid w:val="002C2D89"/>
    <w:rsid w:val="002C2DC9"/>
    <w:rsid w:val="002C2F9B"/>
    <w:rsid w:val="002C50AE"/>
    <w:rsid w:val="002C728A"/>
    <w:rsid w:val="002C733A"/>
    <w:rsid w:val="002C7F9D"/>
    <w:rsid w:val="002D35C9"/>
    <w:rsid w:val="002D381B"/>
    <w:rsid w:val="002D3E5D"/>
    <w:rsid w:val="002D4228"/>
    <w:rsid w:val="002D527C"/>
    <w:rsid w:val="002D56B3"/>
    <w:rsid w:val="002D6780"/>
    <w:rsid w:val="002E0110"/>
    <w:rsid w:val="002E03E7"/>
    <w:rsid w:val="002E05CE"/>
    <w:rsid w:val="002E0FDD"/>
    <w:rsid w:val="002E3DFD"/>
    <w:rsid w:val="002E4A57"/>
    <w:rsid w:val="002E4C49"/>
    <w:rsid w:val="002E4D7A"/>
    <w:rsid w:val="002E6473"/>
    <w:rsid w:val="002E6481"/>
    <w:rsid w:val="002F1376"/>
    <w:rsid w:val="002F2712"/>
    <w:rsid w:val="002F294A"/>
    <w:rsid w:val="002F313E"/>
    <w:rsid w:val="002F48A5"/>
    <w:rsid w:val="002F4DD0"/>
    <w:rsid w:val="002F5AB2"/>
    <w:rsid w:val="002F5B68"/>
    <w:rsid w:val="002F6163"/>
    <w:rsid w:val="002F7C98"/>
    <w:rsid w:val="003005B5"/>
    <w:rsid w:val="00300AB7"/>
    <w:rsid w:val="0030118B"/>
    <w:rsid w:val="00301B49"/>
    <w:rsid w:val="00302AB2"/>
    <w:rsid w:val="003040E6"/>
    <w:rsid w:val="00304319"/>
    <w:rsid w:val="00304747"/>
    <w:rsid w:val="0030488B"/>
    <w:rsid w:val="00305196"/>
    <w:rsid w:val="00305295"/>
    <w:rsid w:val="00305BBA"/>
    <w:rsid w:val="003062B5"/>
    <w:rsid w:val="00307B8D"/>
    <w:rsid w:val="00307C35"/>
    <w:rsid w:val="00311CD3"/>
    <w:rsid w:val="0031272B"/>
    <w:rsid w:val="0031324D"/>
    <w:rsid w:val="003156C4"/>
    <w:rsid w:val="00317180"/>
    <w:rsid w:val="00317F0D"/>
    <w:rsid w:val="0032027A"/>
    <w:rsid w:val="00321581"/>
    <w:rsid w:val="00322957"/>
    <w:rsid w:val="00322B18"/>
    <w:rsid w:val="00323B58"/>
    <w:rsid w:val="00324E51"/>
    <w:rsid w:val="003261BE"/>
    <w:rsid w:val="00326A84"/>
    <w:rsid w:val="00327A65"/>
    <w:rsid w:val="0033049B"/>
    <w:rsid w:val="0033173D"/>
    <w:rsid w:val="0033179E"/>
    <w:rsid w:val="00332F2E"/>
    <w:rsid w:val="0033491A"/>
    <w:rsid w:val="0033528E"/>
    <w:rsid w:val="00335862"/>
    <w:rsid w:val="00336671"/>
    <w:rsid w:val="003372B8"/>
    <w:rsid w:val="00337B38"/>
    <w:rsid w:val="0034145F"/>
    <w:rsid w:val="00342890"/>
    <w:rsid w:val="00342A4D"/>
    <w:rsid w:val="003435C0"/>
    <w:rsid w:val="0034709F"/>
    <w:rsid w:val="003473F8"/>
    <w:rsid w:val="0035077D"/>
    <w:rsid w:val="00351E21"/>
    <w:rsid w:val="0035211F"/>
    <w:rsid w:val="0035212C"/>
    <w:rsid w:val="003533FB"/>
    <w:rsid w:val="0035379A"/>
    <w:rsid w:val="00354F4A"/>
    <w:rsid w:val="0035504B"/>
    <w:rsid w:val="00355579"/>
    <w:rsid w:val="003555AF"/>
    <w:rsid w:val="00355A2C"/>
    <w:rsid w:val="0035675E"/>
    <w:rsid w:val="00356DDA"/>
    <w:rsid w:val="00357C02"/>
    <w:rsid w:val="0036093D"/>
    <w:rsid w:val="0036118A"/>
    <w:rsid w:val="00361412"/>
    <w:rsid w:val="00361889"/>
    <w:rsid w:val="00363A0A"/>
    <w:rsid w:val="00365C4F"/>
    <w:rsid w:val="00366893"/>
    <w:rsid w:val="0036713C"/>
    <w:rsid w:val="0036718E"/>
    <w:rsid w:val="00367D06"/>
    <w:rsid w:val="003743EA"/>
    <w:rsid w:val="0037582F"/>
    <w:rsid w:val="00375A8F"/>
    <w:rsid w:val="00376ADB"/>
    <w:rsid w:val="00376C94"/>
    <w:rsid w:val="003774E3"/>
    <w:rsid w:val="00377D39"/>
    <w:rsid w:val="003805EB"/>
    <w:rsid w:val="00380C58"/>
    <w:rsid w:val="00381204"/>
    <w:rsid w:val="00383D0F"/>
    <w:rsid w:val="003842C1"/>
    <w:rsid w:val="00384340"/>
    <w:rsid w:val="003845B1"/>
    <w:rsid w:val="00384968"/>
    <w:rsid w:val="00384E68"/>
    <w:rsid w:val="00387899"/>
    <w:rsid w:val="003902E5"/>
    <w:rsid w:val="003938CA"/>
    <w:rsid w:val="00394309"/>
    <w:rsid w:val="00394F6B"/>
    <w:rsid w:val="003952D7"/>
    <w:rsid w:val="00395EC7"/>
    <w:rsid w:val="003972B7"/>
    <w:rsid w:val="003978B6"/>
    <w:rsid w:val="003A01AA"/>
    <w:rsid w:val="003A1857"/>
    <w:rsid w:val="003A1E00"/>
    <w:rsid w:val="003A25A0"/>
    <w:rsid w:val="003A2ACA"/>
    <w:rsid w:val="003A3D9F"/>
    <w:rsid w:val="003A4EF8"/>
    <w:rsid w:val="003A4F1D"/>
    <w:rsid w:val="003A59EB"/>
    <w:rsid w:val="003A5E03"/>
    <w:rsid w:val="003A771F"/>
    <w:rsid w:val="003B020C"/>
    <w:rsid w:val="003B0EFF"/>
    <w:rsid w:val="003B130D"/>
    <w:rsid w:val="003B25DC"/>
    <w:rsid w:val="003B3B2A"/>
    <w:rsid w:val="003B71F2"/>
    <w:rsid w:val="003B730E"/>
    <w:rsid w:val="003B752E"/>
    <w:rsid w:val="003C0A72"/>
    <w:rsid w:val="003C1392"/>
    <w:rsid w:val="003C27A3"/>
    <w:rsid w:val="003C353E"/>
    <w:rsid w:val="003C3E89"/>
    <w:rsid w:val="003C4E73"/>
    <w:rsid w:val="003D0151"/>
    <w:rsid w:val="003D04CE"/>
    <w:rsid w:val="003D085C"/>
    <w:rsid w:val="003D0FFA"/>
    <w:rsid w:val="003D1D75"/>
    <w:rsid w:val="003D1F4D"/>
    <w:rsid w:val="003D2968"/>
    <w:rsid w:val="003D378A"/>
    <w:rsid w:val="003D497A"/>
    <w:rsid w:val="003D4E17"/>
    <w:rsid w:val="003D517F"/>
    <w:rsid w:val="003D668B"/>
    <w:rsid w:val="003E20CD"/>
    <w:rsid w:val="003E2ED1"/>
    <w:rsid w:val="003E37AC"/>
    <w:rsid w:val="003E3834"/>
    <w:rsid w:val="003E4977"/>
    <w:rsid w:val="003E55FE"/>
    <w:rsid w:val="003E5D6C"/>
    <w:rsid w:val="003E6BF5"/>
    <w:rsid w:val="003F1AF1"/>
    <w:rsid w:val="003F28BA"/>
    <w:rsid w:val="003F3C33"/>
    <w:rsid w:val="003F4A0F"/>
    <w:rsid w:val="003F4D87"/>
    <w:rsid w:val="003F5178"/>
    <w:rsid w:val="003F5669"/>
    <w:rsid w:val="003F596C"/>
    <w:rsid w:val="003F5E5F"/>
    <w:rsid w:val="003F6607"/>
    <w:rsid w:val="003F6BCC"/>
    <w:rsid w:val="003F6D7B"/>
    <w:rsid w:val="003F6F36"/>
    <w:rsid w:val="00400BA0"/>
    <w:rsid w:val="00401540"/>
    <w:rsid w:val="00402101"/>
    <w:rsid w:val="00404C40"/>
    <w:rsid w:val="00405DF6"/>
    <w:rsid w:val="00407E1C"/>
    <w:rsid w:val="00407FA6"/>
    <w:rsid w:val="00410366"/>
    <w:rsid w:val="004107E4"/>
    <w:rsid w:val="00410E1F"/>
    <w:rsid w:val="00412343"/>
    <w:rsid w:val="004124CD"/>
    <w:rsid w:val="00412BF7"/>
    <w:rsid w:val="0041419B"/>
    <w:rsid w:val="00417915"/>
    <w:rsid w:val="00417A9E"/>
    <w:rsid w:val="004228D0"/>
    <w:rsid w:val="00423BB7"/>
    <w:rsid w:val="00423C2D"/>
    <w:rsid w:val="00424736"/>
    <w:rsid w:val="0042500B"/>
    <w:rsid w:val="004256AF"/>
    <w:rsid w:val="0042597E"/>
    <w:rsid w:val="004326BE"/>
    <w:rsid w:val="0043397D"/>
    <w:rsid w:val="00434F6F"/>
    <w:rsid w:val="0043514F"/>
    <w:rsid w:val="004355B7"/>
    <w:rsid w:val="00437E01"/>
    <w:rsid w:val="00440ECC"/>
    <w:rsid w:val="004410B9"/>
    <w:rsid w:val="00441B72"/>
    <w:rsid w:val="00444A31"/>
    <w:rsid w:val="00444D09"/>
    <w:rsid w:val="004458B4"/>
    <w:rsid w:val="00447486"/>
    <w:rsid w:val="00450AD1"/>
    <w:rsid w:val="00451467"/>
    <w:rsid w:val="00451A3C"/>
    <w:rsid w:val="00453796"/>
    <w:rsid w:val="0045395D"/>
    <w:rsid w:val="00454F03"/>
    <w:rsid w:val="00455F3A"/>
    <w:rsid w:val="00457710"/>
    <w:rsid w:val="004604B9"/>
    <w:rsid w:val="0046091E"/>
    <w:rsid w:val="00463334"/>
    <w:rsid w:val="004651DF"/>
    <w:rsid w:val="004665F3"/>
    <w:rsid w:val="004700E9"/>
    <w:rsid w:val="004722C5"/>
    <w:rsid w:val="00472F94"/>
    <w:rsid w:val="004733BB"/>
    <w:rsid w:val="0047378D"/>
    <w:rsid w:val="00473F8B"/>
    <w:rsid w:val="00477863"/>
    <w:rsid w:val="00477B88"/>
    <w:rsid w:val="00480971"/>
    <w:rsid w:val="0048234D"/>
    <w:rsid w:val="00483377"/>
    <w:rsid w:val="004836BE"/>
    <w:rsid w:val="00483C8B"/>
    <w:rsid w:val="00483EAB"/>
    <w:rsid w:val="0048434E"/>
    <w:rsid w:val="0048439E"/>
    <w:rsid w:val="00486C7E"/>
    <w:rsid w:val="00490EAB"/>
    <w:rsid w:val="0049153F"/>
    <w:rsid w:val="004918FB"/>
    <w:rsid w:val="004936D3"/>
    <w:rsid w:val="00493EEC"/>
    <w:rsid w:val="0049533B"/>
    <w:rsid w:val="004971FA"/>
    <w:rsid w:val="00497602"/>
    <w:rsid w:val="004977EB"/>
    <w:rsid w:val="004A0297"/>
    <w:rsid w:val="004A155C"/>
    <w:rsid w:val="004A22A6"/>
    <w:rsid w:val="004A2681"/>
    <w:rsid w:val="004A2C3D"/>
    <w:rsid w:val="004A3055"/>
    <w:rsid w:val="004A352E"/>
    <w:rsid w:val="004A39E0"/>
    <w:rsid w:val="004A3EF6"/>
    <w:rsid w:val="004A5A3D"/>
    <w:rsid w:val="004A6FBD"/>
    <w:rsid w:val="004A71C6"/>
    <w:rsid w:val="004B0144"/>
    <w:rsid w:val="004B130E"/>
    <w:rsid w:val="004B314A"/>
    <w:rsid w:val="004B5029"/>
    <w:rsid w:val="004B69B0"/>
    <w:rsid w:val="004B6C40"/>
    <w:rsid w:val="004B6CDE"/>
    <w:rsid w:val="004B76FA"/>
    <w:rsid w:val="004B7DC3"/>
    <w:rsid w:val="004C001E"/>
    <w:rsid w:val="004C03F6"/>
    <w:rsid w:val="004C31C9"/>
    <w:rsid w:val="004C4224"/>
    <w:rsid w:val="004C4BB4"/>
    <w:rsid w:val="004C5A27"/>
    <w:rsid w:val="004C5DEE"/>
    <w:rsid w:val="004C7211"/>
    <w:rsid w:val="004C75D6"/>
    <w:rsid w:val="004C7B96"/>
    <w:rsid w:val="004D134D"/>
    <w:rsid w:val="004D13E3"/>
    <w:rsid w:val="004D24D1"/>
    <w:rsid w:val="004D46B8"/>
    <w:rsid w:val="004D4898"/>
    <w:rsid w:val="004D4CC7"/>
    <w:rsid w:val="004D4F8C"/>
    <w:rsid w:val="004D5131"/>
    <w:rsid w:val="004D7055"/>
    <w:rsid w:val="004D7677"/>
    <w:rsid w:val="004E00FE"/>
    <w:rsid w:val="004E0CFC"/>
    <w:rsid w:val="004E17E7"/>
    <w:rsid w:val="004E774B"/>
    <w:rsid w:val="004E7851"/>
    <w:rsid w:val="004E7C64"/>
    <w:rsid w:val="004F0BCF"/>
    <w:rsid w:val="004F0ED3"/>
    <w:rsid w:val="004F0F04"/>
    <w:rsid w:val="004F1408"/>
    <w:rsid w:val="004F1F61"/>
    <w:rsid w:val="004F2370"/>
    <w:rsid w:val="004F25FD"/>
    <w:rsid w:val="004F2B63"/>
    <w:rsid w:val="004F3756"/>
    <w:rsid w:val="004F4A36"/>
    <w:rsid w:val="004F5B01"/>
    <w:rsid w:val="004F7193"/>
    <w:rsid w:val="00500AC8"/>
    <w:rsid w:val="00502627"/>
    <w:rsid w:val="005034EB"/>
    <w:rsid w:val="005037BE"/>
    <w:rsid w:val="005059DA"/>
    <w:rsid w:val="005062CD"/>
    <w:rsid w:val="0050657C"/>
    <w:rsid w:val="00510922"/>
    <w:rsid w:val="00511F59"/>
    <w:rsid w:val="00512D44"/>
    <w:rsid w:val="00513630"/>
    <w:rsid w:val="00514292"/>
    <w:rsid w:val="00514B48"/>
    <w:rsid w:val="00514B82"/>
    <w:rsid w:val="00515379"/>
    <w:rsid w:val="00515B86"/>
    <w:rsid w:val="00515DE9"/>
    <w:rsid w:val="005161B7"/>
    <w:rsid w:val="00516406"/>
    <w:rsid w:val="00520FF1"/>
    <w:rsid w:val="00522039"/>
    <w:rsid w:val="005225C5"/>
    <w:rsid w:val="005227D3"/>
    <w:rsid w:val="0052333B"/>
    <w:rsid w:val="005234D8"/>
    <w:rsid w:val="00523523"/>
    <w:rsid w:val="00524C7A"/>
    <w:rsid w:val="00524DBA"/>
    <w:rsid w:val="00524F38"/>
    <w:rsid w:val="005263C5"/>
    <w:rsid w:val="00527EDC"/>
    <w:rsid w:val="00531BA2"/>
    <w:rsid w:val="00531E4C"/>
    <w:rsid w:val="0053204D"/>
    <w:rsid w:val="0053233B"/>
    <w:rsid w:val="0053269F"/>
    <w:rsid w:val="0053306C"/>
    <w:rsid w:val="00535440"/>
    <w:rsid w:val="0053556F"/>
    <w:rsid w:val="00536DFA"/>
    <w:rsid w:val="00536EDE"/>
    <w:rsid w:val="00537385"/>
    <w:rsid w:val="0053740B"/>
    <w:rsid w:val="00537695"/>
    <w:rsid w:val="0054097D"/>
    <w:rsid w:val="0054165C"/>
    <w:rsid w:val="00541ABF"/>
    <w:rsid w:val="005433C2"/>
    <w:rsid w:val="005437C3"/>
    <w:rsid w:val="005441B2"/>
    <w:rsid w:val="00545357"/>
    <w:rsid w:val="00547998"/>
    <w:rsid w:val="0055072D"/>
    <w:rsid w:val="00551ED2"/>
    <w:rsid w:val="0055481C"/>
    <w:rsid w:val="005555A6"/>
    <w:rsid w:val="00557163"/>
    <w:rsid w:val="00557173"/>
    <w:rsid w:val="00560919"/>
    <w:rsid w:val="00562621"/>
    <w:rsid w:val="0056290E"/>
    <w:rsid w:val="005638FC"/>
    <w:rsid w:val="005657DA"/>
    <w:rsid w:val="005720BC"/>
    <w:rsid w:val="00572996"/>
    <w:rsid w:val="005733F9"/>
    <w:rsid w:val="00575183"/>
    <w:rsid w:val="005757DF"/>
    <w:rsid w:val="005762D1"/>
    <w:rsid w:val="0057662C"/>
    <w:rsid w:val="0057724D"/>
    <w:rsid w:val="0058202D"/>
    <w:rsid w:val="0058249A"/>
    <w:rsid w:val="00584123"/>
    <w:rsid w:val="005843C8"/>
    <w:rsid w:val="00584ACD"/>
    <w:rsid w:val="00585011"/>
    <w:rsid w:val="00585DDB"/>
    <w:rsid w:val="005876FE"/>
    <w:rsid w:val="00587877"/>
    <w:rsid w:val="005904C7"/>
    <w:rsid w:val="005908F4"/>
    <w:rsid w:val="00591F9E"/>
    <w:rsid w:val="00592FB8"/>
    <w:rsid w:val="00593F5F"/>
    <w:rsid w:val="00594C06"/>
    <w:rsid w:val="005956F3"/>
    <w:rsid w:val="00595A0C"/>
    <w:rsid w:val="005964F5"/>
    <w:rsid w:val="00596630"/>
    <w:rsid w:val="00596A76"/>
    <w:rsid w:val="00596B03"/>
    <w:rsid w:val="0059749B"/>
    <w:rsid w:val="00597E1B"/>
    <w:rsid w:val="005A055E"/>
    <w:rsid w:val="005A0D7F"/>
    <w:rsid w:val="005A0E70"/>
    <w:rsid w:val="005A24F6"/>
    <w:rsid w:val="005A32A9"/>
    <w:rsid w:val="005A3E0D"/>
    <w:rsid w:val="005A45C8"/>
    <w:rsid w:val="005A4F5F"/>
    <w:rsid w:val="005A6CA5"/>
    <w:rsid w:val="005B1616"/>
    <w:rsid w:val="005B2310"/>
    <w:rsid w:val="005B23F0"/>
    <w:rsid w:val="005B2A5F"/>
    <w:rsid w:val="005B3193"/>
    <w:rsid w:val="005B4AE4"/>
    <w:rsid w:val="005B650C"/>
    <w:rsid w:val="005B7B48"/>
    <w:rsid w:val="005C043A"/>
    <w:rsid w:val="005C13F2"/>
    <w:rsid w:val="005C1D73"/>
    <w:rsid w:val="005C2B36"/>
    <w:rsid w:val="005C2C31"/>
    <w:rsid w:val="005C5579"/>
    <w:rsid w:val="005C59C9"/>
    <w:rsid w:val="005C608F"/>
    <w:rsid w:val="005C6266"/>
    <w:rsid w:val="005C6E1D"/>
    <w:rsid w:val="005C77D0"/>
    <w:rsid w:val="005C7C99"/>
    <w:rsid w:val="005D2E45"/>
    <w:rsid w:val="005D3616"/>
    <w:rsid w:val="005D3751"/>
    <w:rsid w:val="005D48E1"/>
    <w:rsid w:val="005D4ADD"/>
    <w:rsid w:val="005D61FF"/>
    <w:rsid w:val="005D6256"/>
    <w:rsid w:val="005D631B"/>
    <w:rsid w:val="005D7513"/>
    <w:rsid w:val="005D78F7"/>
    <w:rsid w:val="005D7BBA"/>
    <w:rsid w:val="005D7C4B"/>
    <w:rsid w:val="005E209F"/>
    <w:rsid w:val="005E2829"/>
    <w:rsid w:val="005E326A"/>
    <w:rsid w:val="005E3330"/>
    <w:rsid w:val="005E3F2B"/>
    <w:rsid w:val="005E3F7B"/>
    <w:rsid w:val="005E4253"/>
    <w:rsid w:val="005E45AE"/>
    <w:rsid w:val="005E5688"/>
    <w:rsid w:val="005E6AB8"/>
    <w:rsid w:val="005E6B16"/>
    <w:rsid w:val="005F1FE6"/>
    <w:rsid w:val="005F2007"/>
    <w:rsid w:val="005F233F"/>
    <w:rsid w:val="005F2502"/>
    <w:rsid w:val="005F257B"/>
    <w:rsid w:val="005F4908"/>
    <w:rsid w:val="005F60DE"/>
    <w:rsid w:val="005F648F"/>
    <w:rsid w:val="005F688A"/>
    <w:rsid w:val="005F70E5"/>
    <w:rsid w:val="006006EE"/>
    <w:rsid w:val="006010BA"/>
    <w:rsid w:val="00601BB3"/>
    <w:rsid w:val="00602D3D"/>
    <w:rsid w:val="00603762"/>
    <w:rsid w:val="00605D9D"/>
    <w:rsid w:val="00610E0F"/>
    <w:rsid w:val="00611CAD"/>
    <w:rsid w:val="00613EEC"/>
    <w:rsid w:val="00614686"/>
    <w:rsid w:val="00614956"/>
    <w:rsid w:val="0061625A"/>
    <w:rsid w:val="00616321"/>
    <w:rsid w:val="00617ACF"/>
    <w:rsid w:val="00617EAB"/>
    <w:rsid w:val="006214FE"/>
    <w:rsid w:val="00621648"/>
    <w:rsid w:val="006218AC"/>
    <w:rsid w:val="00621E02"/>
    <w:rsid w:val="00622DC5"/>
    <w:rsid w:val="006231F7"/>
    <w:rsid w:val="00624A04"/>
    <w:rsid w:val="00630A02"/>
    <w:rsid w:val="0063127F"/>
    <w:rsid w:val="0063147D"/>
    <w:rsid w:val="0063190B"/>
    <w:rsid w:val="006323CB"/>
    <w:rsid w:val="00633E62"/>
    <w:rsid w:val="006340ED"/>
    <w:rsid w:val="0063450F"/>
    <w:rsid w:val="00634925"/>
    <w:rsid w:val="0063551E"/>
    <w:rsid w:val="00635FB1"/>
    <w:rsid w:val="00636E38"/>
    <w:rsid w:val="006422EB"/>
    <w:rsid w:val="0064282D"/>
    <w:rsid w:val="00642BD7"/>
    <w:rsid w:val="00643004"/>
    <w:rsid w:val="00643142"/>
    <w:rsid w:val="006436C9"/>
    <w:rsid w:val="0064414A"/>
    <w:rsid w:val="00650C45"/>
    <w:rsid w:val="00650F9B"/>
    <w:rsid w:val="00651B0D"/>
    <w:rsid w:val="00653534"/>
    <w:rsid w:val="0065373C"/>
    <w:rsid w:val="00654034"/>
    <w:rsid w:val="00655E56"/>
    <w:rsid w:val="00656F43"/>
    <w:rsid w:val="006572C6"/>
    <w:rsid w:val="00657313"/>
    <w:rsid w:val="0066029A"/>
    <w:rsid w:val="00662E32"/>
    <w:rsid w:val="00663A68"/>
    <w:rsid w:val="00664675"/>
    <w:rsid w:val="006654A5"/>
    <w:rsid w:val="0066787C"/>
    <w:rsid w:val="006702F0"/>
    <w:rsid w:val="00670C17"/>
    <w:rsid w:val="00673512"/>
    <w:rsid w:val="006749DF"/>
    <w:rsid w:val="0067526B"/>
    <w:rsid w:val="00675EA6"/>
    <w:rsid w:val="00677350"/>
    <w:rsid w:val="00677C20"/>
    <w:rsid w:val="00677FAD"/>
    <w:rsid w:val="00681E1B"/>
    <w:rsid w:val="006840F7"/>
    <w:rsid w:val="00684523"/>
    <w:rsid w:val="00684E24"/>
    <w:rsid w:val="006856C3"/>
    <w:rsid w:val="00687783"/>
    <w:rsid w:val="00693EC8"/>
    <w:rsid w:val="0069414F"/>
    <w:rsid w:val="00694495"/>
    <w:rsid w:val="0069581D"/>
    <w:rsid w:val="00696FEF"/>
    <w:rsid w:val="00697340"/>
    <w:rsid w:val="006977D7"/>
    <w:rsid w:val="006A097B"/>
    <w:rsid w:val="006A3E6E"/>
    <w:rsid w:val="006A46E5"/>
    <w:rsid w:val="006A767A"/>
    <w:rsid w:val="006B04AC"/>
    <w:rsid w:val="006B1DED"/>
    <w:rsid w:val="006B1F60"/>
    <w:rsid w:val="006B231B"/>
    <w:rsid w:val="006B2502"/>
    <w:rsid w:val="006B2597"/>
    <w:rsid w:val="006B3748"/>
    <w:rsid w:val="006B4A06"/>
    <w:rsid w:val="006C052A"/>
    <w:rsid w:val="006C0BBA"/>
    <w:rsid w:val="006C3493"/>
    <w:rsid w:val="006C5D6D"/>
    <w:rsid w:val="006C7289"/>
    <w:rsid w:val="006C772E"/>
    <w:rsid w:val="006D5AAF"/>
    <w:rsid w:val="006D5B7D"/>
    <w:rsid w:val="006D5E91"/>
    <w:rsid w:val="006D5F03"/>
    <w:rsid w:val="006D6C18"/>
    <w:rsid w:val="006D74D4"/>
    <w:rsid w:val="006E0129"/>
    <w:rsid w:val="006E1379"/>
    <w:rsid w:val="006E1717"/>
    <w:rsid w:val="006E274D"/>
    <w:rsid w:val="006E27ED"/>
    <w:rsid w:val="006E2830"/>
    <w:rsid w:val="006E2ECA"/>
    <w:rsid w:val="006E4737"/>
    <w:rsid w:val="006E5DBD"/>
    <w:rsid w:val="006E74DA"/>
    <w:rsid w:val="006F1576"/>
    <w:rsid w:val="006F174A"/>
    <w:rsid w:val="006F2400"/>
    <w:rsid w:val="006F2AD1"/>
    <w:rsid w:val="006F30D2"/>
    <w:rsid w:val="006F3681"/>
    <w:rsid w:val="006F451F"/>
    <w:rsid w:val="006F59CE"/>
    <w:rsid w:val="006F7E36"/>
    <w:rsid w:val="007003D7"/>
    <w:rsid w:val="00701039"/>
    <w:rsid w:val="00703072"/>
    <w:rsid w:val="00703977"/>
    <w:rsid w:val="007044B7"/>
    <w:rsid w:val="007049CE"/>
    <w:rsid w:val="00705439"/>
    <w:rsid w:val="00706E5E"/>
    <w:rsid w:val="0070737B"/>
    <w:rsid w:val="0071086D"/>
    <w:rsid w:val="00710B75"/>
    <w:rsid w:val="00711101"/>
    <w:rsid w:val="007115BE"/>
    <w:rsid w:val="00713F64"/>
    <w:rsid w:val="007150AC"/>
    <w:rsid w:val="00715506"/>
    <w:rsid w:val="007165E9"/>
    <w:rsid w:val="007169CA"/>
    <w:rsid w:val="00717065"/>
    <w:rsid w:val="00717EBA"/>
    <w:rsid w:val="0072080B"/>
    <w:rsid w:val="00720A50"/>
    <w:rsid w:val="00721286"/>
    <w:rsid w:val="00721EBF"/>
    <w:rsid w:val="00721FF0"/>
    <w:rsid w:val="0072225B"/>
    <w:rsid w:val="007224DE"/>
    <w:rsid w:val="00722EB5"/>
    <w:rsid w:val="007233F5"/>
    <w:rsid w:val="0072416B"/>
    <w:rsid w:val="007248A3"/>
    <w:rsid w:val="00724A2C"/>
    <w:rsid w:val="007252BE"/>
    <w:rsid w:val="007268FC"/>
    <w:rsid w:val="00727E22"/>
    <w:rsid w:val="00730C17"/>
    <w:rsid w:val="00732163"/>
    <w:rsid w:val="00732DDA"/>
    <w:rsid w:val="0073313E"/>
    <w:rsid w:val="007331B1"/>
    <w:rsid w:val="007333EB"/>
    <w:rsid w:val="007338A7"/>
    <w:rsid w:val="007338AA"/>
    <w:rsid w:val="007343A5"/>
    <w:rsid w:val="00734E78"/>
    <w:rsid w:val="007354CA"/>
    <w:rsid w:val="00735A3E"/>
    <w:rsid w:val="007404A4"/>
    <w:rsid w:val="00740D99"/>
    <w:rsid w:val="0074195E"/>
    <w:rsid w:val="00742425"/>
    <w:rsid w:val="007429D7"/>
    <w:rsid w:val="00744370"/>
    <w:rsid w:val="0074592A"/>
    <w:rsid w:val="00746140"/>
    <w:rsid w:val="00746854"/>
    <w:rsid w:val="0074720E"/>
    <w:rsid w:val="007476A0"/>
    <w:rsid w:val="00752151"/>
    <w:rsid w:val="00752DAA"/>
    <w:rsid w:val="00754028"/>
    <w:rsid w:val="0075421B"/>
    <w:rsid w:val="00754C9A"/>
    <w:rsid w:val="00755B1F"/>
    <w:rsid w:val="007567D4"/>
    <w:rsid w:val="0076002B"/>
    <w:rsid w:val="0076187D"/>
    <w:rsid w:val="00762045"/>
    <w:rsid w:val="007626C2"/>
    <w:rsid w:val="00762EA8"/>
    <w:rsid w:val="00763764"/>
    <w:rsid w:val="00764682"/>
    <w:rsid w:val="00765D04"/>
    <w:rsid w:val="00766304"/>
    <w:rsid w:val="007674D8"/>
    <w:rsid w:val="0076776E"/>
    <w:rsid w:val="0077102F"/>
    <w:rsid w:val="0077133B"/>
    <w:rsid w:val="00772548"/>
    <w:rsid w:val="007729CA"/>
    <w:rsid w:val="00772A43"/>
    <w:rsid w:val="0077495C"/>
    <w:rsid w:val="00774E5E"/>
    <w:rsid w:val="00776EE0"/>
    <w:rsid w:val="00777717"/>
    <w:rsid w:val="007779CB"/>
    <w:rsid w:val="0078211D"/>
    <w:rsid w:val="00782412"/>
    <w:rsid w:val="00782459"/>
    <w:rsid w:val="007831FC"/>
    <w:rsid w:val="00783A2D"/>
    <w:rsid w:val="007866FA"/>
    <w:rsid w:val="00786CAC"/>
    <w:rsid w:val="00787777"/>
    <w:rsid w:val="00787D0D"/>
    <w:rsid w:val="0079069A"/>
    <w:rsid w:val="00790996"/>
    <w:rsid w:val="00790A32"/>
    <w:rsid w:val="007911A4"/>
    <w:rsid w:val="00791CC4"/>
    <w:rsid w:val="00793AEF"/>
    <w:rsid w:val="00794682"/>
    <w:rsid w:val="00794771"/>
    <w:rsid w:val="00795737"/>
    <w:rsid w:val="00796E3A"/>
    <w:rsid w:val="007A38A6"/>
    <w:rsid w:val="007A4FA4"/>
    <w:rsid w:val="007A53A3"/>
    <w:rsid w:val="007A5E20"/>
    <w:rsid w:val="007A6114"/>
    <w:rsid w:val="007A7F12"/>
    <w:rsid w:val="007B068F"/>
    <w:rsid w:val="007B0E7A"/>
    <w:rsid w:val="007B1DE2"/>
    <w:rsid w:val="007B22A5"/>
    <w:rsid w:val="007B3940"/>
    <w:rsid w:val="007B3B52"/>
    <w:rsid w:val="007B61D3"/>
    <w:rsid w:val="007B62DD"/>
    <w:rsid w:val="007C1143"/>
    <w:rsid w:val="007C3989"/>
    <w:rsid w:val="007C3CD0"/>
    <w:rsid w:val="007C428E"/>
    <w:rsid w:val="007C4857"/>
    <w:rsid w:val="007C4CA8"/>
    <w:rsid w:val="007C4D0E"/>
    <w:rsid w:val="007C5BC0"/>
    <w:rsid w:val="007C60B4"/>
    <w:rsid w:val="007C68AA"/>
    <w:rsid w:val="007D070A"/>
    <w:rsid w:val="007D1611"/>
    <w:rsid w:val="007D371F"/>
    <w:rsid w:val="007D3BDC"/>
    <w:rsid w:val="007D46E1"/>
    <w:rsid w:val="007D49F3"/>
    <w:rsid w:val="007D5FE8"/>
    <w:rsid w:val="007D6590"/>
    <w:rsid w:val="007D7984"/>
    <w:rsid w:val="007E0A68"/>
    <w:rsid w:val="007E0CB0"/>
    <w:rsid w:val="007E161F"/>
    <w:rsid w:val="007E1CB9"/>
    <w:rsid w:val="007E2E46"/>
    <w:rsid w:val="007E5674"/>
    <w:rsid w:val="007E627C"/>
    <w:rsid w:val="007F0735"/>
    <w:rsid w:val="007F0F06"/>
    <w:rsid w:val="007F340E"/>
    <w:rsid w:val="007F4A94"/>
    <w:rsid w:val="007F5465"/>
    <w:rsid w:val="007F6372"/>
    <w:rsid w:val="00800BC4"/>
    <w:rsid w:val="00803458"/>
    <w:rsid w:val="00804441"/>
    <w:rsid w:val="008045CB"/>
    <w:rsid w:val="0080491D"/>
    <w:rsid w:val="00804D75"/>
    <w:rsid w:val="008050C2"/>
    <w:rsid w:val="008054B3"/>
    <w:rsid w:val="00806F41"/>
    <w:rsid w:val="008077E9"/>
    <w:rsid w:val="00807C52"/>
    <w:rsid w:val="008103C1"/>
    <w:rsid w:val="00813AE0"/>
    <w:rsid w:val="0081436A"/>
    <w:rsid w:val="0081531E"/>
    <w:rsid w:val="008160AC"/>
    <w:rsid w:val="008162CF"/>
    <w:rsid w:val="00816D2E"/>
    <w:rsid w:val="00816F59"/>
    <w:rsid w:val="00817BA7"/>
    <w:rsid w:val="00820296"/>
    <w:rsid w:val="00821696"/>
    <w:rsid w:val="008219D5"/>
    <w:rsid w:val="00821EB8"/>
    <w:rsid w:val="00822EF7"/>
    <w:rsid w:val="008235CD"/>
    <w:rsid w:val="0082370F"/>
    <w:rsid w:val="008252E2"/>
    <w:rsid w:val="0082641A"/>
    <w:rsid w:val="008267C3"/>
    <w:rsid w:val="00827727"/>
    <w:rsid w:val="0083069B"/>
    <w:rsid w:val="00830959"/>
    <w:rsid w:val="00830C58"/>
    <w:rsid w:val="00831C6F"/>
    <w:rsid w:val="00834047"/>
    <w:rsid w:val="008344BB"/>
    <w:rsid w:val="008352D8"/>
    <w:rsid w:val="00836438"/>
    <w:rsid w:val="00837835"/>
    <w:rsid w:val="00837E3E"/>
    <w:rsid w:val="00840198"/>
    <w:rsid w:val="00841466"/>
    <w:rsid w:val="00842765"/>
    <w:rsid w:val="00843A93"/>
    <w:rsid w:val="00843AFF"/>
    <w:rsid w:val="00845C1D"/>
    <w:rsid w:val="00845E1D"/>
    <w:rsid w:val="008469F5"/>
    <w:rsid w:val="00847CD4"/>
    <w:rsid w:val="0085098B"/>
    <w:rsid w:val="008509E1"/>
    <w:rsid w:val="00850CFF"/>
    <w:rsid w:val="0085123C"/>
    <w:rsid w:val="0085359F"/>
    <w:rsid w:val="00853F26"/>
    <w:rsid w:val="00854D1E"/>
    <w:rsid w:val="00855701"/>
    <w:rsid w:val="00855B0B"/>
    <w:rsid w:val="00856F01"/>
    <w:rsid w:val="00857105"/>
    <w:rsid w:val="00860FD8"/>
    <w:rsid w:val="00861055"/>
    <w:rsid w:val="0086134E"/>
    <w:rsid w:val="00862171"/>
    <w:rsid w:val="00862891"/>
    <w:rsid w:val="00862A4C"/>
    <w:rsid w:val="00870FBC"/>
    <w:rsid w:val="008710F7"/>
    <w:rsid w:val="008716E8"/>
    <w:rsid w:val="00871BFF"/>
    <w:rsid w:val="00874AA0"/>
    <w:rsid w:val="008750C6"/>
    <w:rsid w:val="00876132"/>
    <w:rsid w:val="0087683D"/>
    <w:rsid w:val="00876AD6"/>
    <w:rsid w:val="008770AA"/>
    <w:rsid w:val="00877DCA"/>
    <w:rsid w:val="00880B53"/>
    <w:rsid w:val="0088101B"/>
    <w:rsid w:val="00882428"/>
    <w:rsid w:val="008830CC"/>
    <w:rsid w:val="00885188"/>
    <w:rsid w:val="00886254"/>
    <w:rsid w:val="008862BC"/>
    <w:rsid w:val="00886DF8"/>
    <w:rsid w:val="008919FB"/>
    <w:rsid w:val="008924C1"/>
    <w:rsid w:val="00892A9D"/>
    <w:rsid w:val="00893183"/>
    <w:rsid w:val="00894044"/>
    <w:rsid w:val="008A0688"/>
    <w:rsid w:val="008A3BF1"/>
    <w:rsid w:val="008A44E3"/>
    <w:rsid w:val="008A4546"/>
    <w:rsid w:val="008A45AD"/>
    <w:rsid w:val="008A7849"/>
    <w:rsid w:val="008A797A"/>
    <w:rsid w:val="008A7B5E"/>
    <w:rsid w:val="008A7D70"/>
    <w:rsid w:val="008B05D3"/>
    <w:rsid w:val="008B0A3E"/>
    <w:rsid w:val="008B131D"/>
    <w:rsid w:val="008B26FF"/>
    <w:rsid w:val="008B283B"/>
    <w:rsid w:val="008B43F0"/>
    <w:rsid w:val="008B476B"/>
    <w:rsid w:val="008B76B7"/>
    <w:rsid w:val="008B7E3C"/>
    <w:rsid w:val="008B7F7E"/>
    <w:rsid w:val="008C205C"/>
    <w:rsid w:val="008C2B25"/>
    <w:rsid w:val="008C2CDF"/>
    <w:rsid w:val="008D01F1"/>
    <w:rsid w:val="008D05EC"/>
    <w:rsid w:val="008D05F2"/>
    <w:rsid w:val="008D2ED0"/>
    <w:rsid w:val="008D51FD"/>
    <w:rsid w:val="008D5BD3"/>
    <w:rsid w:val="008D7DCB"/>
    <w:rsid w:val="008E1125"/>
    <w:rsid w:val="008E3FA8"/>
    <w:rsid w:val="008E45ED"/>
    <w:rsid w:val="008E5D0B"/>
    <w:rsid w:val="008E5E57"/>
    <w:rsid w:val="008F02FE"/>
    <w:rsid w:val="008F0D94"/>
    <w:rsid w:val="008F0F29"/>
    <w:rsid w:val="008F1256"/>
    <w:rsid w:val="008F202E"/>
    <w:rsid w:val="008F493F"/>
    <w:rsid w:val="008F4DDD"/>
    <w:rsid w:val="008F58D9"/>
    <w:rsid w:val="008F65F5"/>
    <w:rsid w:val="008F74CE"/>
    <w:rsid w:val="008F77AD"/>
    <w:rsid w:val="008F7CEA"/>
    <w:rsid w:val="009050FD"/>
    <w:rsid w:val="00907142"/>
    <w:rsid w:val="009113E0"/>
    <w:rsid w:val="00911615"/>
    <w:rsid w:val="00911B7D"/>
    <w:rsid w:val="0091307E"/>
    <w:rsid w:val="00913631"/>
    <w:rsid w:val="00913B43"/>
    <w:rsid w:val="00916DFC"/>
    <w:rsid w:val="0091756D"/>
    <w:rsid w:val="00917CC3"/>
    <w:rsid w:val="0092176D"/>
    <w:rsid w:val="00921834"/>
    <w:rsid w:val="009223E8"/>
    <w:rsid w:val="009235DD"/>
    <w:rsid w:val="0092532C"/>
    <w:rsid w:val="00925580"/>
    <w:rsid w:val="009255D2"/>
    <w:rsid w:val="0092617C"/>
    <w:rsid w:val="009274A6"/>
    <w:rsid w:val="00930D5B"/>
    <w:rsid w:val="009316F4"/>
    <w:rsid w:val="00931795"/>
    <w:rsid w:val="009317CD"/>
    <w:rsid w:val="00931BDE"/>
    <w:rsid w:val="00934CF7"/>
    <w:rsid w:val="00943250"/>
    <w:rsid w:val="00943517"/>
    <w:rsid w:val="00943CD5"/>
    <w:rsid w:val="00945191"/>
    <w:rsid w:val="00946E4E"/>
    <w:rsid w:val="0095025F"/>
    <w:rsid w:val="00951828"/>
    <w:rsid w:val="00951868"/>
    <w:rsid w:val="00951E22"/>
    <w:rsid w:val="009532AD"/>
    <w:rsid w:val="009532F6"/>
    <w:rsid w:val="009559CA"/>
    <w:rsid w:val="00955D89"/>
    <w:rsid w:val="00956A8B"/>
    <w:rsid w:val="00956A90"/>
    <w:rsid w:val="00957A41"/>
    <w:rsid w:val="00960D97"/>
    <w:rsid w:val="009612F1"/>
    <w:rsid w:val="0096175E"/>
    <w:rsid w:val="009618B0"/>
    <w:rsid w:val="009618B3"/>
    <w:rsid w:val="0096324D"/>
    <w:rsid w:val="00963BF5"/>
    <w:rsid w:val="00965495"/>
    <w:rsid w:val="00965DD5"/>
    <w:rsid w:val="00967A73"/>
    <w:rsid w:val="00967D48"/>
    <w:rsid w:val="00967F2E"/>
    <w:rsid w:val="009707D2"/>
    <w:rsid w:val="00970D99"/>
    <w:rsid w:val="00971AEE"/>
    <w:rsid w:val="009724A8"/>
    <w:rsid w:val="00972558"/>
    <w:rsid w:val="00972DAF"/>
    <w:rsid w:val="00973AD9"/>
    <w:rsid w:val="009747B3"/>
    <w:rsid w:val="00975989"/>
    <w:rsid w:val="00975E29"/>
    <w:rsid w:val="009764C7"/>
    <w:rsid w:val="0097781B"/>
    <w:rsid w:val="00981A58"/>
    <w:rsid w:val="009820F7"/>
    <w:rsid w:val="009822A5"/>
    <w:rsid w:val="0098543F"/>
    <w:rsid w:val="00986610"/>
    <w:rsid w:val="00990C44"/>
    <w:rsid w:val="00993190"/>
    <w:rsid w:val="009940CC"/>
    <w:rsid w:val="0099447D"/>
    <w:rsid w:val="00994D5D"/>
    <w:rsid w:val="00997238"/>
    <w:rsid w:val="0099772F"/>
    <w:rsid w:val="00997E3B"/>
    <w:rsid w:val="009A03B5"/>
    <w:rsid w:val="009A0734"/>
    <w:rsid w:val="009A1154"/>
    <w:rsid w:val="009A2A41"/>
    <w:rsid w:val="009A3EDB"/>
    <w:rsid w:val="009A40AF"/>
    <w:rsid w:val="009A40E4"/>
    <w:rsid w:val="009A42D2"/>
    <w:rsid w:val="009A4AE7"/>
    <w:rsid w:val="009A4B8A"/>
    <w:rsid w:val="009A4D3F"/>
    <w:rsid w:val="009A7282"/>
    <w:rsid w:val="009A7880"/>
    <w:rsid w:val="009B043A"/>
    <w:rsid w:val="009B0609"/>
    <w:rsid w:val="009B566F"/>
    <w:rsid w:val="009B5870"/>
    <w:rsid w:val="009B6606"/>
    <w:rsid w:val="009B66FD"/>
    <w:rsid w:val="009B7CA6"/>
    <w:rsid w:val="009C0149"/>
    <w:rsid w:val="009C1270"/>
    <w:rsid w:val="009C1B5B"/>
    <w:rsid w:val="009C2A7F"/>
    <w:rsid w:val="009C35FE"/>
    <w:rsid w:val="009C3C62"/>
    <w:rsid w:val="009C45F6"/>
    <w:rsid w:val="009C4A30"/>
    <w:rsid w:val="009C5661"/>
    <w:rsid w:val="009C6457"/>
    <w:rsid w:val="009C7D9E"/>
    <w:rsid w:val="009C7E43"/>
    <w:rsid w:val="009D02CA"/>
    <w:rsid w:val="009D04EB"/>
    <w:rsid w:val="009D0B37"/>
    <w:rsid w:val="009D2ADF"/>
    <w:rsid w:val="009D41EA"/>
    <w:rsid w:val="009D57C0"/>
    <w:rsid w:val="009D660B"/>
    <w:rsid w:val="009E1344"/>
    <w:rsid w:val="009E2032"/>
    <w:rsid w:val="009E20F2"/>
    <w:rsid w:val="009E2194"/>
    <w:rsid w:val="009E3028"/>
    <w:rsid w:val="009E44E1"/>
    <w:rsid w:val="009E4B07"/>
    <w:rsid w:val="009E5B8D"/>
    <w:rsid w:val="009E5C14"/>
    <w:rsid w:val="009E5F59"/>
    <w:rsid w:val="009E6597"/>
    <w:rsid w:val="009E67A8"/>
    <w:rsid w:val="009F04D6"/>
    <w:rsid w:val="009F2035"/>
    <w:rsid w:val="009F215D"/>
    <w:rsid w:val="009F2E35"/>
    <w:rsid w:val="009F35D4"/>
    <w:rsid w:val="009F38A9"/>
    <w:rsid w:val="009F4024"/>
    <w:rsid w:val="009F46D6"/>
    <w:rsid w:val="009F4AFA"/>
    <w:rsid w:val="009F557A"/>
    <w:rsid w:val="009F5C50"/>
    <w:rsid w:val="009F5EDF"/>
    <w:rsid w:val="009F7D8E"/>
    <w:rsid w:val="009F7EB5"/>
    <w:rsid w:val="00A00402"/>
    <w:rsid w:val="00A016F1"/>
    <w:rsid w:val="00A02ACF"/>
    <w:rsid w:val="00A035D3"/>
    <w:rsid w:val="00A04E3D"/>
    <w:rsid w:val="00A055EC"/>
    <w:rsid w:val="00A05C37"/>
    <w:rsid w:val="00A05D27"/>
    <w:rsid w:val="00A05D93"/>
    <w:rsid w:val="00A07162"/>
    <w:rsid w:val="00A07A08"/>
    <w:rsid w:val="00A10898"/>
    <w:rsid w:val="00A1100D"/>
    <w:rsid w:val="00A11110"/>
    <w:rsid w:val="00A1232B"/>
    <w:rsid w:val="00A127B0"/>
    <w:rsid w:val="00A12993"/>
    <w:rsid w:val="00A13327"/>
    <w:rsid w:val="00A13A0B"/>
    <w:rsid w:val="00A1486E"/>
    <w:rsid w:val="00A151D7"/>
    <w:rsid w:val="00A15561"/>
    <w:rsid w:val="00A155F5"/>
    <w:rsid w:val="00A17378"/>
    <w:rsid w:val="00A176D5"/>
    <w:rsid w:val="00A17801"/>
    <w:rsid w:val="00A20C4E"/>
    <w:rsid w:val="00A20CC7"/>
    <w:rsid w:val="00A21100"/>
    <w:rsid w:val="00A21161"/>
    <w:rsid w:val="00A21A0F"/>
    <w:rsid w:val="00A22577"/>
    <w:rsid w:val="00A23E73"/>
    <w:rsid w:val="00A252A0"/>
    <w:rsid w:val="00A2742E"/>
    <w:rsid w:val="00A31BE2"/>
    <w:rsid w:val="00A31D2E"/>
    <w:rsid w:val="00A320DA"/>
    <w:rsid w:val="00A33708"/>
    <w:rsid w:val="00A341D9"/>
    <w:rsid w:val="00A35266"/>
    <w:rsid w:val="00A366F0"/>
    <w:rsid w:val="00A367FE"/>
    <w:rsid w:val="00A36B4B"/>
    <w:rsid w:val="00A37029"/>
    <w:rsid w:val="00A40DA0"/>
    <w:rsid w:val="00A40F14"/>
    <w:rsid w:val="00A443F9"/>
    <w:rsid w:val="00A44670"/>
    <w:rsid w:val="00A449B5"/>
    <w:rsid w:val="00A44ACA"/>
    <w:rsid w:val="00A450A1"/>
    <w:rsid w:val="00A45323"/>
    <w:rsid w:val="00A45E3C"/>
    <w:rsid w:val="00A47213"/>
    <w:rsid w:val="00A50100"/>
    <w:rsid w:val="00A50377"/>
    <w:rsid w:val="00A51BDE"/>
    <w:rsid w:val="00A522A1"/>
    <w:rsid w:val="00A52CC5"/>
    <w:rsid w:val="00A537EB"/>
    <w:rsid w:val="00A53E8F"/>
    <w:rsid w:val="00A54F87"/>
    <w:rsid w:val="00A573F1"/>
    <w:rsid w:val="00A57D44"/>
    <w:rsid w:val="00A60291"/>
    <w:rsid w:val="00A603AB"/>
    <w:rsid w:val="00A6099F"/>
    <w:rsid w:val="00A619DF"/>
    <w:rsid w:val="00A648D1"/>
    <w:rsid w:val="00A65E74"/>
    <w:rsid w:val="00A66588"/>
    <w:rsid w:val="00A70318"/>
    <w:rsid w:val="00A70CED"/>
    <w:rsid w:val="00A70F3E"/>
    <w:rsid w:val="00A7125C"/>
    <w:rsid w:val="00A71692"/>
    <w:rsid w:val="00A71754"/>
    <w:rsid w:val="00A73428"/>
    <w:rsid w:val="00A73E77"/>
    <w:rsid w:val="00A73EAC"/>
    <w:rsid w:val="00A75E6C"/>
    <w:rsid w:val="00A7623D"/>
    <w:rsid w:val="00A7754B"/>
    <w:rsid w:val="00A806E6"/>
    <w:rsid w:val="00A81B42"/>
    <w:rsid w:val="00A81FED"/>
    <w:rsid w:val="00A83D0A"/>
    <w:rsid w:val="00A8443F"/>
    <w:rsid w:val="00A84F32"/>
    <w:rsid w:val="00A85502"/>
    <w:rsid w:val="00A860A5"/>
    <w:rsid w:val="00A86D84"/>
    <w:rsid w:val="00A87B16"/>
    <w:rsid w:val="00A90067"/>
    <w:rsid w:val="00A916C8"/>
    <w:rsid w:val="00A91925"/>
    <w:rsid w:val="00A933AE"/>
    <w:rsid w:val="00A93BBB"/>
    <w:rsid w:val="00A940B2"/>
    <w:rsid w:val="00A9482F"/>
    <w:rsid w:val="00A95002"/>
    <w:rsid w:val="00A9622C"/>
    <w:rsid w:val="00A9644F"/>
    <w:rsid w:val="00A966DF"/>
    <w:rsid w:val="00A969BE"/>
    <w:rsid w:val="00AA08F5"/>
    <w:rsid w:val="00AA0F1F"/>
    <w:rsid w:val="00AA14FC"/>
    <w:rsid w:val="00AA1C76"/>
    <w:rsid w:val="00AA44F0"/>
    <w:rsid w:val="00AA4A24"/>
    <w:rsid w:val="00AA6D97"/>
    <w:rsid w:val="00AA762C"/>
    <w:rsid w:val="00AB044F"/>
    <w:rsid w:val="00AB1C2E"/>
    <w:rsid w:val="00AB2C3C"/>
    <w:rsid w:val="00AB481B"/>
    <w:rsid w:val="00AB4DB5"/>
    <w:rsid w:val="00AB4E5D"/>
    <w:rsid w:val="00AB5488"/>
    <w:rsid w:val="00AB5729"/>
    <w:rsid w:val="00AB65B0"/>
    <w:rsid w:val="00AB6DC6"/>
    <w:rsid w:val="00AB7602"/>
    <w:rsid w:val="00AB7847"/>
    <w:rsid w:val="00AC0118"/>
    <w:rsid w:val="00AC02AC"/>
    <w:rsid w:val="00AC0340"/>
    <w:rsid w:val="00AC0E3E"/>
    <w:rsid w:val="00AC1242"/>
    <w:rsid w:val="00AC151D"/>
    <w:rsid w:val="00AC1FBC"/>
    <w:rsid w:val="00AC3918"/>
    <w:rsid w:val="00AC4318"/>
    <w:rsid w:val="00AC4BD7"/>
    <w:rsid w:val="00AC4FAE"/>
    <w:rsid w:val="00AC61C4"/>
    <w:rsid w:val="00AD1B05"/>
    <w:rsid w:val="00AD1C0F"/>
    <w:rsid w:val="00AD200A"/>
    <w:rsid w:val="00AD2075"/>
    <w:rsid w:val="00AD4F4D"/>
    <w:rsid w:val="00AD4FD4"/>
    <w:rsid w:val="00AD6A0F"/>
    <w:rsid w:val="00AD7D8A"/>
    <w:rsid w:val="00AE0284"/>
    <w:rsid w:val="00AE3637"/>
    <w:rsid w:val="00AE381B"/>
    <w:rsid w:val="00AE5DD8"/>
    <w:rsid w:val="00AE7ED9"/>
    <w:rsid w:val="00AF0182"/>
    <w:rsid w:val="00AF0E95"/>
    <w:rsid w:val="00AF10C3"/>
    <w:rsid w:val="00AF225F"/>
    <w:rsid w:val="00AF284C"/>
    <w:rsid w:val="00AF2D76"/>
    <w:rsid w:val="00AF31B4"/>
    <w:rsid w:val="00AF5A94"/>
    <w:rsid w:val="00AF5CEF"/>
    <w:rsid w:val="00AF61F1"/>
    <w:rsid w:val="00AF6DF4"/>
    <w:rsid w:val="00AF79FA"/>
    <w:rsid w:val="00B002A3"/>
    <w:rsid w:val="00B00572"/>
    <w:rsid w:val="00B00DF8"/>
    <w:rsid w:val="00B02249"/>
    <w:rsid w:val="00B02C8A"/>
    <w:rsid w:val="00B03C31"/>
    <w:rsid w:val="00B04F3A"/>
    <w:rsid w:val="00B055FD"/>
    <w:rsid w:val="00B05737"/>
    <w:rsid w:val="00B05A18"/>
    <w:rsid w:val="00B0699A"/>
    <w:rsid w:val="00B06A3F"/>
    <w:rsid w:val="00B07677"/>
    <w:rsid w:val="00B078F3"/>
    <w:rsid w:val="00B07A28"/>
    <w:rsid w:val="00B105B3"/>
    <w:rsid w:val="00B11A0C"/>
    <w:rsid w:val="00B1228A"/>
    <w:rsid w:val="00B1291C"/>
    <w:rsid w:val="00B13BA9"/>
    <w:rsid w:val="00B15617"/>
    <w:rsid w:val="00B157D0"/>
    <w:rsid w:val="00B165E3"/>
    <w:rsid w:val="00B16CA9"/>
    <w:rsid w:val="00B201D4"/>
    <w:rsid w:val="00B2169A"/>
    <w:rsid w:val="00B21CDE"/>
    <w:rsid w:val="00B220D9"/>
    <w:rsid w:val="00B22436"/>
    <w:rsid w:val="00B228AD"/>
    <w:rsid w:val="00B22F3C"/>
    <w:rsid w:val="00B231BC"/>
    <w:rsid w:val="00B23E63"/>
    <w:rsid w:val="00B23F36"/>
    <w:rsid w:val="00B241C8"/>
    <w:rsid w:val="00B249D9"/>
    <w:rsid w:val="00B24A0C"/>
    <w:rsid w:val="00B25EFF"/>
    <w:rsid w:val="00B26154"/>
    <w:rsid w:val="00B2743A"/>
    <w:rsid w:val="00B27CA5"/>
    <w:rsid w:val="00B31FC0"/>
    <w:rsid w:val="00B322CA"/>
    <w:rsid w:val="00B324C2"/>
    <w:rsid w:val="00B35C10"/>
    <w:rsid w:val="00B36A65"/>
    <w:rsid w:val="00B36BC4"/>
    <w:rsid w:val="00B4057E"/>
    <w:rsid w:val="00B40C1F"/>
    <w:rsid w:val="00B41931"/>
    <w:rsid w:val="00B41959"/>
    <w:rsid w:val="00B41DFC"/>
    <w:rsid w:val="00B43C16"/>
    <w:rsid w:val="00B4427D"/>
    <w:rsid w:val="00B45508"/>
    <w:rsid w:val="00B45824"/>
    <w:rsid w:val="00B45FFE"/>
    <w:rsid w:val="00B4638B"/>
    <w:rsid w:val="00B46AAD"/>
    <w:rsid w:val="00B47056"/>
    <w:rsid w:val="00B472BD"/>
    <w:rsid w:val="00B476B1"/>
    <w:rsid w:val="00B50791"/>
    <w:rsid w:val="00B50AE9"/>
    <w:rsid w:val="00B514A3"/>
    <w:rsid w:val="00B529C6"/>
    <w:rsid w:val="00B53C86"/>
    <w:rsid w:val="00B54393"/>
    <w:rsid w:val="00B558ED"/>
    <w:rsid w:val="00B572F9"/>
    <w:rsid w:val="00B61FCB"/>
    <w:rsid w:val="00B623D9"/>
    <w:rsid w:val="00B640F1"/>
    <w:rsid w:val="00B64BBE"/>
    <w:rsid w:val="00B66038"/>
    <w:rsid w:val="00B66105"/>
    <w:rsid w:val="00B668A3"/>
    <w:rsid w:val="00B674C8"/>
    <w:rsid w:val="00B70B4B"/>
    <w:rsid w:val="00B71085"/>
    <w:rsid w:val="00B71250"/>
    <w:rsid w:val="00B7259F"/>
    <w:rsid w:val="00B74ECE"/>
    <w:rsid w:val="00B75FAC"/>
    <w:rsid w:val="00B76C24"/>
    <w:rsid w:val="00B77999"/>
    <w:rsid w:val="00B808CA"/>
    <w:rsid w:val="00B80939"/>
    <w:rsid w:val="00B80FA3"/>
    <w:rsid w:val="00B814F1"/>
    <w:rsid w:val="00B82245"/>
    <w:rsid w:val="00B831FD"/>
    <w:rsid w:val="00B83E62"/>
    <w:rsid w:val="00B8408E"/>
    <w:rsid w:val="00B8438E"/>
    <w:rsid w:val="00B844F6"/>
    <w:rsid w:val="00B84A05"/>
    <w:rsid w:val="00B84DE8"/>
    <w:rsid w:val="00B8549B"/>
    <w:rsid w:val="00B867BA"/>
    <w:rsid w:val="00B86C0A"/>
    <w:rsid w:val="00B878AA"/>
    <w:rsid w:val="00B90106"/>
    <w:rsid w:val="00B92540"/>
    <w:rsid w:val="00B94A00"/>
    <w:rsid w:val="00B95C54"/>
    <w:rsid w:val="00B95CFF"/>
    <w:rsid w:val="00B965F8"/>
    <w:rsid w:val="00B971AD"/>
    <w:rsid w:val="00B97E2F"/>
    <w:rsid w:val="00BA01A6"/>
    <w:rsid w:val="00BA1500"/>
    <w:rsid w:val="00BA2023"/>
    <w:rsid w:val="00BA2637"/>
    <w:rsid w:val="00BA30FD"/>
    <w:rsid w:val="00BA4259"/>
    <w:rsid w:val="00BA462F"/>
    <w:rsid w:val="00BA47B8"/>
    <w:rsid w:val="00BA5537"/>
    <w:rsid w:val="00BA716C"/>
    <w:rsid w:val="00BA7415"/>
    <w:rsid w:val="00BB16B8"/>
    <w:rsid w:val="00BB2513"/>
    <w:rsid w:val="00BB32DA"/>
    <w:rsid w:val="00BB55EF"/>
    <w:rsid w:val="00BB58E7"/>
    <w:rsid w:val="00BB7AAD"/>
    <w:rsid w:val="00BC14EF"/>
    <w:rsid w:val="00BC1F9E"/>
    <w:rsid w:val="00BC5022"/>
    <w:rsid w:val="00BC53F1"/>
    <w:rsid w:val="00BC5763"/>
    <w:rsid w:val="00BC6F93"/>
    <w:rsid w:val="00BC771F"/>
    <w:rsid w:val="00BC7CBB"/>
    <w:rsid w:val="00BD056D"/>
    <w:rsid w:val="00BD05BD"/>
    <w:rsid w:val="00BD06E3"/>
    <w:rsid w:val="00BD0AF9"/>
    <w:rsid w:val="00BD15A3"/>
    <w:rsid w:val="00BD3010"/>
    <w:rsid w:val="00BD3860"/>
    <w:rsid w:val="00BE07BF"/>
    <w:rsid w:val="00BE2287"/>
    <w:rsid w:val="00BE26C1"/>
    <w:rsid w:val="00BE28CB"/>
    <w:rsid w:val="00BE2AC3"/>
    <w:rsid w:val="00BE2C9B"/>
    <w:rsid w:val="00BE48F4"/>
    <w:rsid w:val="00BE4B0E"/>
    <w:rsid w:val="00BE5325"/>
    <w:rsid w:val="00BE68D4"/>
    <w:rsid w:val="00BE71DF"/>
    <w:rsid w:val="00BE7444"/>
    <w:rsid w:val="00BF0DCF"/>
    <w:rsid w:val="00BF0E4C"/>
    <w:rsid w:val="00BF3431"/>
    <w:rsid w:val="00BF47B5"/>
    <w:rsid w:val="00BF75B2"/>
    <w:rsid w:val="00BF79E8"/>
    <w:rsid w:val="00C05924"/>
    <w:rsid w:val="00C05C3B"/>
    <w:rsid w:val="00C076A3"/>
    <w:rsid w:val="00C076A4"/>
    <w:rsid w:val="00C07947"/>
    <w:rsid w:val="00C07EDC"/>
    <w:rsid w:val="00C11139"/>
    <w:rsid w:val="00C11F6A"/>
    <w:rsid w:val="00C12297"/>
    <w:rsid w:val="00C126C4"/>
    <w:rsid w:val="00C12B41"/>
    <w:rsid w:val="00C12BC3"/>
    <w:rsid w:val="00C13148"/>
    <w:rsid w:val="00C16F54"/>
    <w:rsid w:val="00C170E7"/>
    <w:rsid w:val="00C17723"/>
    <w:rsid w:val="00C177C9"/>
    <w:rsid w:val="00C206A2"/>
    <w:rsid w:val="00C210F1"/>
    <w:rsid w:val="00C2119C"/>
    <w:rsid w:val="00C2134A"/>
    <w:rsid w:val="00C23D16"/>
    <w:rsid w:val="00C24EF9"/>
    <w:rsid w:val="00C2523C"/>
    <w:rsid w:val="00C2554B"/>
    <w:rsid w:val="00C25BB7"/>
    <w:rsid w:val="00C263C2"/>
    <w:rsid w:val="00C269FC"/>
    <w:rsid w:val="00C2768D"/>
    <w:rsid w:val="00C276D3"/>
    <w:rsid w:val="00C313F6"/>
    <w:rsid w:val="00C3159E"/>
    <w:rsid w:val="00C3333F"/>
    <w:rsid w:val="00C339A2"/>
    <w:rsid w:val="00C33A5C"/>
    <w:rsid w:val="00C34CBF"/>
    <w:rsid w:val="00C35482"/>
    <w:rsid w:val="00C40771"/>
    <w:rsid w:val="00C41157"/>
    <w:rsid w:val="00C417DD"/>
    <w:rsid w:val="00C41D70"/>
    <w:rsid w:val="00C433D7"/>
    <w:rsid w:val="00C43738"/>
    <w:rsid w:val="00C44997"/>
    <w:rsid w:val="00C45C50"/>
    <w:rsid w:val="00C51E5F"/>
    <w:rsid w:val="00C51F9A"/>
    <w:rsid w:val="00C529A0"/>
    <w:rsid w:val="00C52A14"/>
    <w:rsid w:val="00C53C67"/>
    <w:rsid w:val="00C53CA6"/>
    <w:rsid w:val="00C5560A"/>
    <w:rsid w:val="00C5591F"/>
    <w:rsid w:val="00C55BEE"/>
    <w:rsid w:val="00C55D48"/>
    <w:rsid w:val="00C570AC"/>
    <w:rsid w:val="00C57F60"/>
    <w:rsid w:val="00C627E8"/>
    <w:rsid w:val="00C62AB5"/>
    <w:rsid w:val="00C63179"/>
    <w:rsid w:val="00C635AF"/>
    <w:rsid w:val="00C65850"/>
    <w:rsid w:val="00C66CDF"/>
    <w:rsid w:val="00C6787A"/>
    <w:rsid w:val="00C71654"/>
    <w:rsid w:val="00C728EE"/>
    <w:rsid w:val="00C73ED7"/>
    <w:rsid w:val="00C74E4F"/>
    <w:rsid w:val="00C74FD9"/>
    <w:rsid w:val="00C76580"/>
    <w:rsid w:val="00C8132A"/>
    <w:rsid w:val="00C8156C"/>
    <w:rsid w:val="00C82218"/>
    <w:rsid w:val="00C82697"/>
    <w:rsid w:val="00C8487F"/>
    <w:rsid w:val="00C8517D"/>
    <w:rsid w:val="00C85836"/>
    <w:rsid w:val="00C86150"/>
    <w:rsid w:val="00C86FA4"/>
    <w:rsid w:val="00C8700E"/>
    <w:rsid w:val="00C90AE2"/>
    <w:rsid w:val="00C90C9F"/>
    <w:rsid w:val="00C9101F"/>
    <w:rsid w:val="00C91039"/>
    <w:rsid w:val="00C9154E"/>
    <w:rsid w:val="00C91EF6"/>
    <w:rsid w:val="00C94883"/>
    <w:rsid w:val="00C950FD"/>
    <w:rsid w:val="00C95CE5"/>
    <w:rsid w:val="00CA0816"/>
    <w:rsid w:val="00CA1014"/>
    <w:rsid w:val="00CA3288"/>
    <w:rsid w:val="00CA3426"/>
    <w:rsid w:val="00CA6690"/>
    <w:rsid w:val="00CA6E1F"/>
    <w:rsid w:val="00CA6F57"/>
    <w:rsid w:val="00CA7038"/>
    <w:rsid w:val="00CB0ED4"/>
    <w:rsid w:val="00CB2104"/>
    <w:rsid w:val="00CB2B46"/>
    <w:rsid w:val="00CB2CBF"/>
    <w:rsid w:val="00CB394F"/>
    <w:rsid w:val="00CB67E0"/>
    <w:rsid w:val="00CB6EB8"/>
    <w:rsid w:val="00CB6EC0"/>
    <w:rsid w:val="00CB7341"/>
    <w:rsid w:val="00CB7858"/>
    <w:rsid w:val="00CC0C11"/>
    <w:rsid w:val="00CC1653"/>
    <w:rsid w:val="00CC3F43"/>
    <w:rsid w:val="00CC4AC8"/>
    <w:rsid w:val="00CC4E58"/>
    <w:rsid w:val="00CC685F"/>
    <w:rsid w:val="00CC6DC7"/>
    <w:rsid w:val="00CC74BF"/>
    <w:rsid w:val="00CD11E1"/>
    <w:rsid w:val="00CD13D9"/>
    <w:rsid w:val="00CD2A5E"/>
    <w:rsid w:val="00CD312F"/>
    <w:rsid w:val="00CD37E1"/>
    <w:rsid w:val="00CD56F2"/>
    <w:rsid w:val="00CD63DC"/>
    <w:rsid w:val="00CD6BD4"/>
    <w:rsid w:val="00CD6FFE"/>
    <w:rsid w:val="00CE03EE"/>
    <w:rsid w:val="00CE08C4"/>
    <w:rsid w:val="00CE1A27"/>
    <w:rsid w:val="00CE4591"/>
    <w:rsid w:val="00CE4735"/>
    <w:rsid w:val="00CE4DE5"/>
    <w:rsid w:val="00CE578C"/>
    <w:rsid w:val="00CE6216"/>
    <w:rsid w:val="00CF0544"/>
    <w:rsid w:val="00CF1CA9"/>
    <w:rsid w:val="00CF33A7"/>
    <w:rsid w:val="00CF34A2"/>
    <w:rsid w:val="00CF41E5"/>
    <w:rsid w:val="00CF43CD"/>
    <w:rsid w:val="00CF46F6"/>
    <w:rsid w:val="00CF6F01"/>
    <w:rsid w:val="00CF7484"/>
    <w:rsid w:val="00CF7DCB"/>
    <w:rsid w:val="00D011C6"/>
    <w:rsid w:val="00D01388"/>
    <w:rsid w:val="00D015C6"/>
    <w:rsid w:val="00D020FF"/>
    <w:rsid w:val="00D0281E"/>
    <w:rsid w:val="00D0296E"/>
    <w:rsid w:val="00D03BCE"/>
    <w:rsid w:val="00D043A7"/>
    <w:rsid w:val="00D0460D"/>
    <w:rsid w:val="00D0578D"/>
    <w:rsid w:val="00D10A98"/>
    <w:rsid w:val="00D13320"/>
    <w:rsid w:val="00D14268"/>
    <w:rsid w:val="00D142DF"/>
    <w:rsid w:val="00D1521E"/>
    <w:rsid w:val="00D154B2"/>
    <w:rsid w:val="00D15B1F"/>
    <w:rsid w:val="00D170E5"/>
    <w:rsid w:val="00D179B0"/>
    <w:rsid w:val="00D17C4B"/>
    <w:rsid w:val="00D20171"/>
    <w:rsid w:val="00D20833"/>
    <w:rsid w:val="00D24410"/>
    <w:rsid w:val="00D250CB"/>
    <w:rsid w:val="00D25139"/>
    <w:rsid w:val="00D26786"/>
    <w:rsid w:val="00D26E20"/>
    <w:rsid w:val="00D26F0C"/>
    <w:rsid w:val="00D26F8B"/>
    <w:rsid w:val="00D2752C"/>
    <w:rsid w:val="00D30AB6"/>
    <w:rsid w:val="00D31788"/>
    <w:rsid w:val="00D3230B"/>
    <w:rsid w:val="00D32A66"/>
    <w:rsid w:val="00D33381"/>
    <w:rsid w:val="00D33454"/>
    <w:rsid w:val="00D342D2"/>
    <w:rsid w:val="00D35140"/>
    <w:rsid w:val="00D35CDF"/>
    <w:rsid w:val="00D35EEA"/>
    <w:rsid w:val="00D36297"/>
    <w:rsid w:val="00D43C3C"/>
    <w:rsid w:val="00D44532"/>
    <w:rsid w:val="00D44B55"/>
    <w:rsid w:val="00D468C8"/>
    <w:rsid w:val="00D47252"/>
    <w:rsid w:val="00D47328"/>
    <w:rsid w:val="00D5002B"/>
    <w:rsid w:val="00D50A99"/>
    <w:rsid w:val="00D50C5B"/>
    <w:rsid w:val="00D50E0F"/>
    <w:rsid w:val="00D51811"/>
    <w:rsid w:val="00D51F13"/>
    <w:rsid w:val="00D5380A"/>
    <w:rsid w:val="00D55101"/>
    <w:rsid w:val="00D557FE"/>
    <w:rsid w:val="00D5751C"/>
    <w:rsid w:val="00D60986"/>
    <w:rsid w:val="00D60F1E"/>
    <w:rsid w:val="00D62D6D"/>
    <w:rsid w:val="00D63C24"/>
    <w:rsid w:val="00D63C42"/>
    <w:rsid w:val="00D663F0"/>
    <w:rsid w:val="00D66A50"/>
    <w:rsid w:val="00D66F24"/>
    <w:rsid w:val="00D67784"/>
    <w:rsid w:val="00D71BDE"/>
    <w:rsid w:val="00D73100"/>
    <w:rsid w:val="00D737A0"/>
    <w:rsid w:val="00D73CF4"/>
    <w:rsid w:val="00D741A0"/>
    <w:rsid w:val="00D74B6B"/>
    <w:rsid w:val="00D75809"/>
    <w:rsid w:val="00D75E5A"/>
    <w:rsid w:val="00D76D7F"/>
    <w:rsid w:val="00D76DD6"/>
    <w:rsid w:val="00D80B16"/>
    <w:rsid w:val="00D81336"/>
    <w:rsid w:val="00D82982"/>
    <w:rsid w:val="00D83343"/>
    <w:rsid w:val="00D83699"/>
    <w:rsid w:val="00D83830"/>
    <w:rsid w:val="00D83D54"/>
    <w:rsid w:val="00D83F40"/>
    <w:rsid w:val="00D84829"/>
    <w:rsid w:val="00D84C08"/>
    <w:rsid w:val="00D85D2A"/>
    <w:rsid w:val="00D85DEB"/>
    <w:rsid w:val="00D8669D"/>
    <w:rsid w:val="00D86889"/>
    <w:rsid w:val="00D87FA9"/>
    <w:rsid w:val="00D90CE3"/>
    <w:rsid w:val="00D91BB4"/>
    <w:rsid w:val="00D92531"/>
    <w:rsid w:val="00D92642"/>
    <w:rsid w:val="00D9394F"/>
    <w:rsid w:val="00D9536F"/>
    <w:rsid w:val="00D95521"/>
    <w:rsid w:val="00D95760"/>
    <w:rsid w:val="00D963C1"/>
    <w:rsid w:val="00D96421"/>
    <w:rsid w:val="00D968F4"/>
    <w:rsid w:val="00D96C8C"/>
    <w:rsid w:val="00D97C34"/>
    <w:rsid w:val="00DA011D"/>
    <w:rsid w:val="00DA0B03"/>
    <w:rsid w:val="00DA0F0C"/>
    <w:rsid w:val="00DA324B"/>
    <w:rsid w:val="00DA40D4"/>
    <w:rsid w:val="00DA6F88"/>
    <w:rsid w:val="00DB473D"/>
    <w:rsid w:val="00DB6056"/>
    <w:rsid w:val="00DB6998"/>
    <w:rsid w:val="00DC175B"/>
    <w:rsid w:val="00DC220C"/>
    <w:rsid w:val="00DC25FE"/>
    <w:rsid w:val="00DC3F5A"/>
    <w:rsid w:val="00DC442D"/>
    <w:rsid w:val="00DC44AD"/>
    <w:rsid w:val="00DC59BF"/>
    <w:rsid w:val="00DC6FAB"/>
    <w:rsid w:val="00DC723D"/>
    <w:rsid w:val="00DC7EE7"/>
    <w:rsid w:val="00DD0F7E"/>
    <w:rsid w:val="00DD1322"/>
    <w:rsid w:val="00DD16A1"/>
    <w:rsid w:val="00DD2224"/>
    <w:rsid w:val="00DD3492"/>
    <w:rsid w:val="00DD376D"/>
    <w:rsid w:val="00DD3D2F"/>
    <w:rsid w:val="00DD4C99"/>
    <w:rsid w:val="00DD5D5E"/>
    <w:rsid w:val="00DD6122"/>
    <w:rsid w:val="00DD6F92"/>
    <w:rsid w:val="00DE014A"/>
    <w:rsid w:val="00DE045D"/>
    <w:rsid w:val="00DE134D"/>
    <w:rsid w:val="00DE1829"/>
    <w:rsid w:val="00DE2EB2"/>
    <w:rsid w:val="00DE2F48"/>
    <w:rsid w:val="00DE3019"/>
    <w:rsid w:val="00DE3ADC"/>
    <w:rsid w:val="00DE4154"/>
    <w:rsid w:val="00DE43A7"/>
    <w:rsid w:val="00DE4CBB"/>
    <w:rsid w:val="00DE4FC2"/>
    <w:rsid w:val="00DE57EC"/>
    <w:rsid w:val="00DE66A9"/>
    <w:rsid w:val="00DE719C"/>
    <w:rsid w:val="00DE78A3"/>
    <w:rsid w:val="00DF11B3"/>
    <w:rsid w:val="00DF32AB"/>
    <w:rsid w:val="00DF3BFA"/>
    <w:rsid w:val="00DF57C7"/>
    <w:rsid w:val="00DF5F67"/>
    <w:rsid w:val="00DF6E2B"/>
    <w:rsid w:val="00DF7083"/>
    <w:rsid w:val="00DF71D3"/>
    <w:rsid w:val="00DF7DC2"/>
    <w:rsid w:val="00E01162"/>
    <w:rsid w:val="00E01E24"/>
    <w:rsid w:val="00E020AB"/>
    <w:rsid w:val="00E04AE0"/>
    <w:rsid w:val="00E04B58"/>
    <w:rsid w:val="00E05B25"/>
    <w:rsid w:val="00E0625D"/>
    <w:rsid w:val="00E07D68"/>
    <w:rsid w:val="00E10B02"/>
    <w:rsid w:val="00E10BEC"/>
    <w:rsid w:val="00E115CD"/>
    <w:rsid w:val="00E1196D"/>
    <w:rsid w:val="00E12E6A"/>
    <w:rsid w:val="00E13434"/>
    <w:rsid w:val="00E1344F"/>
    <w:rsid w:val="00E1350E"/>
    <w:rsid w:val="00E147F9"/>
    <w:rsid w:val="00E14A2E"/>
    <w:rsid w:val="00E15CB5"/>
    <w:rsid w:val="00E17E6C"/>
    <w:rsid w:val="00E20EA9"/>
    <w:rsid w:val="00E20FE2"/>
    <w:rsid w:val="00E210C6"/>
    <w:rsid w:val="00E2227C"/>
    <w:rsid w:val="00E22944"/>
    <w:rsid w:val="00E2471E"/>
    <w:rsid w:val="00E24AB8"/>
    <w:rsid w:val="00E24EC6"/>
    <w:rsid w:val="00E25F8A"/>
    <w:rsid w:val="00E26320"/>
    <w:rsid w:val="00E26E55"/>
    <w:rsid w:val="00E275C6"/>
    <w:rsid w:val="00E276E0"/>
    <w:rsid w:val="00E2794F"/>
    <w:rsid w:val="00E3413D"/>
    <w:rsid w:val="00E36C6F"/>
    <w:rsid w:val="00E37E6D"/>
    <w:rsid w:val="00E40286"/>
    <w:rsid w:val="00E404E3"/>
    <w:rsid w:val="00E40A92"/>
    <w:rsid w:val="00E42C16"/>
    <w:rsid w:val="00E42CED"/>
    <w:rsid w:val="00E42D34"/>
    <w:rsid w:val="00E438EF"/>
    <w:rsid w:val="00E45F3E"/>
    <w:rsid w:val="00E463DD"/>
    <w:rsid w:val="00E46CC0"/>
    <w:rsid w:val="00E47A1C"/>
    <w:rsid w:val="00E51C84"/>
    <w:rsid w:val="00E52025"/>
    <w:rsid w:val="00E535FF"/>
    <w:rsid w:val="00E55380"/>
    <w:rsid w:val="00E56100"/>
    <w:rsid w:val="00E56E13"/>
    <w:rsid w:val="00E57922"/>
    <w:rsid w:val="00E57B2D"/>
    <w:rsid w:val="00E605CF"/>
    <w:rsid w:val="00E60E11"/>
    <w:rsid w:val="00E61670"/>
    <w:rsid w:val="00E61EB3"/>
    <w:rsid w:val="00E626B5"/>
    <w:rsid w:val="00E62858"/>
    <w:rsid w:val="00E62E41"/>
    <w:rsid w:val="00E6458B"/>
    <w:rsid w:val="00E64623"/>
    <w:rsid w:val="00E64FC6"/>
    <w:rsid w:val="00E673A5"/>
    <w:rsid w:val="00E7002C"/>
    <w:rsid w:val="00E70F96"/>
    <w:rsid w:val="00E71947"/>
    <w:rsid w:val="00E7510E"/>
    <w:rsid w:val="00E751D8"/>
    <w:rsid w:val="00E75662"/>
    <w:rsid w:val="00E757A5"/>
    <w:rsid w:val="00E76148"/>
    <w:rsid w:val="00E77130"/>
    <w:rsid w:val="00E778FF"/>
    <w:rsid w:val="00E8110C"/>
    <w:rsid w:val="00E82F54"/>
    <w:rsid w:val="00E83800"/>
    <w:rsid w:val="00E8389D"/>
    <w:rsid w:val="00E84838"/>
    <w:rsid w:val="00E84FC0"/>
    <w:rsid w:val="00E850B1"/>
    <w:rsid w:val="00E85F9A"/>
    <w:rsid w:val="00E8651D"/>
    <w:rsid w:val="00E9136A"/>
    <w:rsid w:val="00E9202C"/>
    <w:rsid w:val="00E92401"/>
    <w:rsid w:val="00E92404"/>
    <w:rsid w:val="00E933D8"/>
    <w:rsid w:val="00E935C1"/>
    <w:rsid w:val="00E94632"/>
    <w:rsid w:val="00E947C4"/>
    <w:rsid w:val="00E94ED4"/>
    <w:rsid w:val="00E9522F"/>
    <w:rsid w:val="00E976E9"/>
    <w:rsid w:val="00E97F06"/>
    <w:rsid w:val="00EA0B50"/>
    <w:rsid w:val="00EA0C48"/>
    <w:rsid w:val="00EA13E0"/>
    <w:rsid w:val="00EA15EC"/>
    <w:rsid w:val="00EA223F"/>
    <w:rsid w:val="00EA2894"/>
    <w:rsid w:val="00EA2CE1"/>
    <w:rsid w:val="00EA2F6C"/>
    <w:rsid w:val="00EA3508"/>
    <w:rsid w:val="00EA66A6"/>
    <w:rsid w:val="00EB105A"/>
    <w:rsid w:val="00EB35CF"/>
    <w:rsid w:val="00EB3CB9"/>
    <w:rsid w:val="00EB5F3F"/>
    <w:rsid w:val="00EB6B2F"/>
    <w:rsid w:val="00EB70A2"/>
    <w:rsid w:val="00EC0FFF"/>
    <w:rsid w:val="00EC114E"/>
    <w:rsid w:val="00EC157B"/>
    <w:rsid w:val="00EC1666"/>
    <w:rsid w:val="00EC283C"/>
    <w:rsid w:val="00EC29D3"/>
    <w:rsid w:val="00EC31F5"/>
    <w:rsid w:val="00EC4F45"/>
    <w:rsid w:val="00EC5148"/>
    <w:rsid w:val="00EC51BD"/>
    <w:rsid w:val="00EC576C"/>
    <w:rsid w:val="00ED037D"/>
    <w:rsid w:val="00ED04D7"/>
    <w:rsid w:val="00ED08FB"/>
    <w:rsid w:val="00ED1294"/>
    <w:rsid w:val="00ED1325"/>
    <w:rsid w:val="00ED162D"/>
    <w:rsid w:val="00ED5C17"/>
    <w:rsid w:val="00ED63F4"/>
    <w:rsid w:val="00ED6612"/>
    <w:rsid w:val="00EE0A03"/>
    <w:rsid w:val="00EE0E3B"/>
    <w:rsid w:val="00EE0FFB"/>
    <w:rsid w:val="00EE444E"/>
    <w:rsid w:val="00EE44A1"/>
    <w:rsid w:val="00EE4B42"/>
    <w:rsid w:val="00EE4B81"/>
    <w:rsid w:val="00EE5FCC"/>
    <w:rsid w:val="00EE6A4E"/>
    <w:rsid w:val="00EE761E"/>
    <w:rsid w:val="00EF06BA"/>
    <w:rsid w:val="00EF080A"/>
    <w:rsid w:val="00EF0DC6"/>
    <w:rsid w:val="00EF2C84"/>
    <w:rsid w:val="00EF33EE"/>
    <w:rsid w:val="00EF457C"/>
    <w:rsid w:val="00EF4C66"/>
    <w:rsid w:val="00EF4CD5"/>
    <w:rsid w:val="00EF5550"/>
    <w:rsid w:val="00EF56F4"/>
    <w:rsid w:val="00EF6400"/>
    <w:rsid w:val="00EF6BD5"/>
    <w:rsid w:val="00EF7413"/>
    <w:rsid w:val="00F03691"/>
    <w:rsid w:val="00F03EAC"/>
    <w:rsid w:val="00F04000"/>
    <w:rsid w:val="00F04B60"/>
    <w:rsid w:val="00F04FE9"/>
    <w:rsid w:val="00F053DA"/>
    <w:rsid w:val="00F11ED4"/>
    <w:rsid w:val="00F1476A"/>
    <w:rsid w:val="00F15595"/>
    <w:rsid w:val="00F167A1"/>
    <w:rsid w:val="00F2101A"/>
    <w:rsid w:val="00F218CD"/>
    <w:rsid w:val="00F21F08"/>
    <w:rsid w:val="00F22925"/>
    <w:rsid w:val="00F24DEA"/>
    <w:rsid w:val="00F252C9"/>
    <w:rsid w:val="00F25935"/>
    <w:rsid w:val="00F26D08"/>
    <w:rsid w:val="00F2724B"/>
    <w:rsid w:val="00F30B3B"/>
    <w:rsid w:val="00F314BD"/>
    <w:rsid w:val="00F3159D"/>
    <w:rsid w:val="00F31E10"/>
    <w:rsid w:val="00F31E82"/>
    <w:rsid w:val="00F321BF"/>
    <w:rsid w:val="00F33478"/>
    <w:rsid w:val="00F339D8"/>
    <w:rsid w:val="00F34117"/>
    <w:rsid w:val="00F34A4A"/>
    <w:rsid w:val="00F35484"/>
    <w:rsid w:val="00F36511"/>
    <w:rsid w:val="00F377FA"/>
    <w:rsid w:val="00F40894"/>
    <w:rsid w:val="00F40A58"/>
    <w:rsid w:val="00F41EFE"/>
    <w:rsid w:val="00F427B9"/>
    <w:rsid w:val="00F43430"/>
    <w:rsid w:val="00F44235"/>
    <w:rsid w:val="00F455AF"/>
    <w:rsid w:val="00F47942"/>
    <w:rsid w:val="00F50DA4"/>
    <w:rsid w:val="00F51AED"/>
    <w:rsid w:val="00F52FF8"/>
    <w:rsid w:val="00F534DD"/>
    <w:rsid w:val="00F53B24"/>
    <w:rsid w:val="00F541CC"/>
    <w:rsid w:val="00F54F02"/>
    <w:rsid w:val="00F567DD"/>
    <w:rsid w:val="00F5680B"/>
    <w:rsid w:val="00F56AC5"/>
    <w:rsid w:val="00F56BDB"/>
    <w:rsid w:val="00F614E5"/>
    <w:rsid w:val="00F61AFC"/>
    <w:rsid w:val="00F622E0"/>
    <w:rsid w:val="00F627EB"/>
    <w:rsid w:val="00F62876"/>
    <w:rsid w:val="00F63275"/>
    <w:rsid w:val="00F632A8"/>
    <w:rsid w:val="00F652C9"/>
    <w:rsid w:val="00F65A6A"/>
    <w:rsid w:val="00F67CD9"/>
    <w:rsid w:val="00F67F12"/>
    <w:rsid w:val="00F7115C"/>
    <w:rsid w:val="00F71983"/>
    <w:rsid w:val="00F72194"/>
    <w:rsid w:val="00F72286"/>
    <w:rsid w:val="00F725FA"/>
    <w:rsid w:val="00F72D48"/>
    <w:rsid w:val="00F73A9C"/>
    <w:rsid w:val="00F74117"/>
    <w:rsid w:val="00F74DA4"/>
    <w:rsid w:val="00F756D1"/>
    <w:rsid w:val="00F75BA5"/>
    <w:rsid w:val="00F763DC"/>
    <w:rsid w:val="00F76B53"/>
    <w:rsid w:val="00F76E5F"/>
    <w:rsid w:val="00F81388"/>
    <w:rsid w:val="00F835EA"/>
    <w:rsid w:val="00F8563C"/>
    <w:rsid w:val="00F86BF3"/>
    <w:rsid w:val="00F8724C"/>
    <w:rsid w:val="00F900AA"/>
    <w:rsid w:val="00F9088E"/>
    <w:rsid w:val="00F91336"/>
    <w:rsid w:val="00F93239"/>
    <w:rsid w:val="00F93CC3"/>
    <w:rsid w:val="00F93D04"/>
    <w:rsid w:val="00F94B72"/>
    <w:rsid w:val="00F96582"/>
    <w:rsid w:val="00F96CCF"/>
    <w:rsid w:val="00F9751A"/>
    <w:rsid w:val="00F97F6D"/>
    <w:rsid w:val="00FA0CA4"/>
    <w:rsid w:val="00FA1010"/>
    <w:rsid w:val="00FA265C"/>
    <w:rsid w:val="00FA4B26"/>
    <w:rsid w:val="00FA5433"/>
    <w:rsid w:val="00FA57D9"/>
    <w:rsid w:val="00FA7274"/>
    <w:rsid w:val="00FB069D"/>
    <w:rsid w:val="00FB1095"/>
    <w:rsid w:val="00FB1AF3"/>
    <w:rsid w:val="00FB1DFC"/>
    <w:rsid w:val="00FB264A"/>
    <w:rsid w:val="00FB28AC"/>
    <w:rsid w:val="00FB35F6"/>
    <w:rsid w:val="00FB3BF9"/>
    <w:rsid w:val="00FB416C"/>
    <w:rsid w:val="00FB43B5"/>
    <w:rsid w:val="00FB50D7"/>
    <w:rsid w:val="00FB5569"/>
    <w:rsid w:val="00FB666C"/>
    <w:rsid w:val="00FB667E"/>
    <w:rsid w:val="00FB6F26"/>
    <w:rsid w:val="00FB75B0"/>
    <w:rsid w:val="00FB7AE9"/>
    <w:rsid w:val="00FC2022"/>
    <w:rsid w:val="00FC316E"/>
    <w:rsid w:val="00FC3641"/>
    <w:rsid w:val="00FC3E87"/>
    <w:rsid w:val="00FC47EE"/>
    <w:rsid w:val="00FC7348"/>
    <w:rsid w:val="00FD2CD7"/>
    <w:rsid w:val="00FD3CD3"/>
    <w:rsid w:val="00FD4302"/>
    <w:rsid w:val="00FD4D36"/>
    <w:rsid w:val="00FD5971"/>
    <w:rsid w:val="00FD5ECB"/>
    <w:rsid w:val="00FE0B07"/>
    <w:rsid w:val="00FE1483"/>
    <w:rsid w:val="00FE1BB6"/>
    <w:rsid w:val="00FE270B"/>
    <w:rsid w:val="00FE29BE"/>
    <w:rsid w:val="00FE4B8D"/>
    <w:rsid w:val="00FE4FEF"/>
    <w:rsid w:val="00FE5D6F"/>
    <w:rsid w:val="00FE6C53"/>
    <w:rsid w:val="00FF0D85"/>
    <w:rsid w:val="00FF110B"/>
    <w:rsid w:val="00FF1319"/>
    <w:rsid w:val="00FF1ECE"/>
    <w:rsid w:val="00FF204F"/>
    <w:rsid w:val="00FF213A"/>
    <w:rsid w:val="00FF2D90"/>
    <w:rsid w:val="00FF360C"/>
    <w:rsid w:val="00FF3722"/>
    <w:rsid w:val="00FF4557"/>
    <w:rsid w:val="00FF7032"/>
    <w:rsid w:val="00FF785C"/>
    <w:rsid w:val="01B646AE"/>
    <w:rsid w:val="037A3B4A"/>
    <w:rsid w:val="05092700"/>
    <w:rsid w:val="0BF334D3"/>
    <w:rsid w:val="0C9A463B"/>
    <w:rsid w:val="0C9DC0D8"/>
    <w:rsid w:val="0DF7A9F6"/>
    <w:rsid w:val="12E3C68D"/>
    <w:rsid w:val="148B1EA2"/>
    <w:rsid w:val="1A250254"/>
    <w:rsid w:val="1AE55DE2"/>
    <w:rsid w:val="1B242638"/>
    <w:rsid w:val="1E60DF73"/>
    <w:rsid w:val="26727D4F"/>
    <w:rsid w:val="268AE0F0"/>
    <w:rsid w:val="2695540F"/>
    <w:rsid w:val="2BF1AADB"/>
    <w:rsid w:val="31D904B7"/>
    <w:rsid w:val="353164D8"/>
    <w:rsid w:val="357A1BE0"/>
    <w:rsid w:val="35D41492"/>
    <w:rsid w:val="37F35B72"/>
    <w:rsid w:val="4729CB71"/>
    <w:rsid w:val="4ACE72B8"/>
    <w:rsid w:val="4B98941B"/>
    <w:rsid w:val="4DFEECD7"/>
    <w:rsid w:val="4EC709F9"/>
    <w:rsid w:val="54EA1B6B"/>
    <w:rsid w:val="58029175"/>
    <w:rsid w:val="5E0E3D7C"/>
    <w:rsid w:val="5E40F4A2"/>
    <w:rsid w:val="62E5C372"/>
    <w:rsid w:val="64A7D558"/>
    <w:rsid w:val="66B7A9F9"/>
    <w:rsid w:val="691050E1"/>
    <w:rsid w:val="6D154B0F"/>
    <w:rsid w:val="7261CA1B"/>
    <w:rsid w:val="729C1603"/>
    <w:rsid w:val="72E1C63A"/>
    <w:rsid w:val="741426B7"/>
    <w:rsid w:val="76149589"/>
    <w:rsid w:val="7F1E6DF2"/>
    <w:rsid w:val="7F90F683"/>
  </w:rsids>
  <m:mathPr>
    <m:mathFont m:val="Cambria Math"/>
    <m:brkBin m:val="before"/>
    <m:brkBinSub m:val="--"/>
    <m:smallFrac m:val="0"/>
    <m:dispDef/>
    <m:lMargin m:val="0"/>
    <m:rMargin m:val="0"/>
    <m:defJc m:val="centerGroup"/>
    <m:wrapIndent m:val="1440"/>
    <m:intLim m:val="subSup"/>
    <m:naryLim m:val="undOvr"/>
  </m:mathPr>
  <w:themeFontLang w:val="lt-LT"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A281C9D"/>
  <w15:chartTrackingRefBased/>
  <w15:docId w15:val="{50C1E3E6-AA64-4F61-B13C-385D52DFB2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22EF7"/>
    <w:pPr>
      <w:widowControl w:val="0"/>
      <w:autoSpaceDE w:val="0"/>
      <w:autoSpaceDN w:val="0"/>
      <w:adjustRightInd w:val="0"/>
      <w:spacing w:after="0" w:line="240" w:lineRule="auto"/>
    </w:pPr>
    <w:rPr>
      <w:rFonts w:ascii="Verdana" w:eastAsia="Times New Roman" w:hAnsi="Verdana" w:cs="Times New Roman"/>
      <w:kern w:val="0"/>
      <w:sz w:val="20"/>
      <w:szCs w:val="20"/>
      <w14:ligatures w14:val="none"/>
    </w:rPr>
  </w:style>
  <w:style w:type="paragraph" w:styleId="Heading1">
    <w:name w:val="heading 1"/>
    <w:basedOn w:val="Normal"/>
    <w:next w:val="Normal"/>
    <w:link w:val="Heading1Char"/>
    <w:qFormat/>
    <w:rsid w:val="00C82218"/>
    <w:pPr>
      <w:keepNext/>
      <w:jc w:val="center"/>
      <w:outlineLvl w:val="0"/>
    </w:pPr>
    <w:rPr>
      <w:b/>
      <w:sz w:val="24"/>
    </w:rPr>
  </w:style>
  <w:style w:type="paragraph" w:styleId="Heading2">
    <w:name w:val="heading 2"/>
    <w:basedOn w:val="Normal"/>
    <w:next w:val="Normal"/>
    <w:link w:val="Heading2Char"/>
    <w:qFormat/>
    <w:rsid w:val="00C82218"/>
    <w:pPr>
      <w:keepNext/>
      <w:jc w:val="right"/>
      <w:outlineLvl w:val="1"/>
    </w:pPr>
    <w:rPr>
      <w:sz w:val="24"/>
    </w:rPr>
  </w:style>
  <w:style w:type="paragraph" w:styleId="Heading3">
    <w:name w:val="heading 3"/>
    <w:basedOn w:val="Normal"/>
    <w:next w:val="Normal"/>
    <w:link w:val="Heading3Char"/>
    <w:uiPriority w:val="9"/>
    <w:semiHidden/>
    <w:unhideWhenUsed/>
    <w:qFormat/>
    <w:rsid w:val="005D7513"/>
    <w:pPr>
      <w:keepNext/>
      <w:keepLines/>
      <w:spacing w:before="4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C82218"/>
    <w:rPr>
      <w:rFonts w:ascii="Verdana" w:eastAsia="Times New Roman" w:hAnsi="Verdana" w:cs="Times New Roman"/>
      <w:b/>
      <w:kern w:val="0"/>
      <w:sz w:val="24"/>
      <w:szCs w:val="20"/>
      <w14:ligatures w14:val="none"/>
    </w:rPr>
  </w:style>
  <w:style w:type="character" w:customStyle="1" w:styleId="Heading2Char">
    <w:name w:val="Heading 2 Char"/>
    <w:basedOn w:val="DefaultParagraphFont"/>
    <w:link w:val="Heading2"/>
    <w:rsid w:val="00C82218"/>
    <w:rPr>
      <w:rFonts w:ascii="Verdana" w:eastAsia="Times New Roman" w:hAnsi="Verdana" w:cs="Times New Roman"/>
      <w:kern w:val="0"/>
      <w:sz w:val="24"/>
      <w:szCs w:val="20"/>
      <w14:ligatures w14:val="none"/>
    </w:rPr>
  </w:style>
  <w:style w:type="paragraph" w:styleId="Footer">
    <w:name w:val="footer"/>
    <w:basedOn w:val="Normal"/>
    <w:link w:val="FooterChar"/>
    <w:semiHidden/>
    <w:rsid w:val="00C82218"/>
    <w:pPr>
      <w:widowControl/>
      <w:tabs>
        <w:tab w:val="center" w:pos="4153"/>
        <w:tab w:val="right" w:pos="8306"/>
      </w:tabs>
      <w:autoSpaceDE/>
      <w:autoSpaceDN/>
      <w:adjustRightInd/>
    </w:pPr>
    <w:rPr>
      <w:sz w:val="24"/>
    </w:rPr>
  </w:style>
  <w:style w:type="character" w:customStyle="1" w:styleId="FooterChar">
    <w:name w:val="Footer Char"/>
    <w:basedOn w:val="DefaultParagraphFont"/>
    <w:link w:val="Footer"/>
    <w:semiHidden/>
    <w:rsid w:val="00C82218"/>
    <w:rPr>
      <w:rFonts w:ascii="Verdana" w:eastAsia="Times New Roman" w:hAnsi="Verdana" w:cs="Times New Roman"/>
      <w:kern w:val="0"/>
      <w:sz w:val="24"/>
      <w:szCs w:val="20"/>
      <w:lang w:val="en-GB"/>
      <w14:ligatures w14:val="none"/>
    </w:rPr>
  </w:style>
  <w:style w:type="paragraph" w:styleId="Header">
    <w:name w:val="header"/>
    <w:basedOn w:val="Normal"/>
    <w:link w:val="HeaderChar"/>
    <w:uiPriority w:val="99"/>
    <w:rsid w:val="00C82218"/>
    <w:pPr>
      <w:tabs>
        <w:tab w:val="center" w:pos="4153"/>
        <w:tab w:val="right" w:pos="8306"/>
      </w:tabs>
    </w:pPr>
  </w:style>
  <w:style w:type="character" w:customStyle="1" w:styleId="HeaderChar">
    <w:name w:val="Header Char"/>
    <w:basedOn w:val="DefaultParagraphFont"/>
    <w:link w:val="Header"/>
    <w:uiPriority w:val="99"/>
    <w:rsid w:val="00C82218"/>
    <w:rPr>
      <w:rFonts w:ascii="Verdana" w:eastAsia="Times New Roman" w:hAnsi="Verdana" w:cs="Times New Roman"/>
      <w:kern w:val="0"/>
      <w:sz w:val="20"/>
      <w:szCs w:val="20"/>
      <w:lang w:val="en-GB"/>
      <w14:ligatures w14:val="none"/>
    </w:rPr>
  </w:style>
  <w:style w:type="character" w:styleId="Hyperlink">
    <w:name w:val="Hyperlink"/>
    <w:rsid w:val="00C82218"/>
    <w:rPr>
      <w:color w:val="0000FF"/>
      <w:u w:val="single"/>
    </w:rPr>
  </w:style>
  <w:style w:type="paragraph" w:styleId="ListParagraph">
    <w:name w:val="List Paragraph"/>
    <w:basedOn w:val="Normal"/>
    <w:uiPriority w:val="34"/>
    <w:qFormat/>
    <w:rsid w:val="00C82218"/>
    <w:pPr>
      <w:ind w:left="720"/>
      <w:contextualSpacing/>
    </w:pPr>
  </w:style>
  <w:style w:type="character" w:styleId="FootnoteReference">
    <w:name w:val="footnote reference"/>
    <w:aliases w:val="Footnote Reference Number,Footnote Reference_LVL6,Footnote Reference_LVL61,Footnote Reference_LVL62,Footnote Reference_LVL63,Footnote Reference_LVL64,SUPERS,Fußnotenzeichen3,Footnote symbol,Footnote reference number,C,Re"/>
    <w:basedOn w:val="DefaultParagraphFont"/>
    <w:uiPriority w:val="99"/>
    <w:unhideWhenUsed/>
    <w:qFormat/>
    <w:rsid w:val="000D4543"/>
    <w:rPr>
      <w:vertAlign w:val="superscript"/>
    </w:rPr>
  </w:style>
  <w:style w:type="paragraph" w:styleId="FootnoteText">
    <w:name w:val="footnote text"/>
    <w:aliases w:val="IŠNAŠA_LB,Footnote,Fußnote,Footnote Text Char Char,Footnote text,Fodnotetekst Tegn Tegn Tegn Tegn Tegn Tegn Tegn Char Char,Fodnotetekst Tegn Tegn Tegn Tegn Tegn Tegn Tegn Char Char Char Char"/>
    <w:basedOn w:val="Normal"/>
    <w:link w:val="FootnoteTextChar"/>
    <w:uiPriority w:val="99"/>
    <w:unhideWhenUsed/>
    <w:qFormat/>
    <w:rsid w:val="0005673F"/>
  </w:style>
  <w:style w:type="character" w:customStyle="1" w:styleId="FootnoteTextChar">
    <w:name w:val="Footnote Text Char"/>
    <w:aliases w:val="IŠNAŠA_LB Char,Footnote Char,Fußnote Char,Footnote Text Char Char Char,Footnote text Char,Fodnotetekst Tegn Tegn Tegn Tegn Tegn Tegn Tegn Char Char Char,Fodnotetekst Tegn Tegn Tegn Tegn Tegn Tegn Tegn Char Char Char Char Char"/>
    <w:basedOn w:val="DefaultParagraphFont"/>
    <w:link w:val="FootnoteText"/>
    <w:uiPriority w:val="99"/>
    <w:rsid w:val="0005673F"/>
    <w:rPr>
      <w:rFonts w:ascii="Verdana" w:eastAsia="Times New Roman" w:hAnsi="Verdana" w:cs="Times New Roman"/>
      <w:kern w:val="0"/>
      <w:sz w:val="20"/>
      <w:szCs w:val="20"/>
      <w:lang w:val="en-GB"/>
      <w14:ligatures w14:val="none"/>
    </w:rPr>
  </w:style>
  <w:style w:type="character" w:styleId="CommentReference">
    <w:name w:val="annotation reference"/>
    <w:basedOn w:val="DefaultParagraphFont"/>
    <w:uiPriority w:val="99"/>
    <w:semiHidden/>
    <w:unhideWhenUsed/>
    <w:rsid w:val="00D250CB"/>
    <w:rPr>
      <w:sz w:val="16"/>
      <w:szCs w:val="16"/>
    </w:rPr>
  </w:style>
  <w:style w:type="paragraph" w:styleId="CommentText">
    <w:name w:val="annotation text"/>
    <w:basedOn w:val="Normal"/>
    <w:link w:val="CommentTextChar"/>
    <w:uiPriority w:val="99"/>
    <w:unhideWhenUsed/>
    <w:rsid w:val="00D250CB"/>
  </w:style>
  <w:style w:type="character" w:customStyle="1" w:styleId="CommentTextChar">
    <w:name w:val="Comment Text Char"/>
    <w:basedOn w:val="DefaultParagraphFont"/>
    <w:link w:val="CommentText"/>
    <w:uiPriority w:val="99"/>
    <w:rsid w:val="00D250CB"/>
    <w:rPr>
      <w:rFonts w:ascii="Verdana" w:eastAsia="Times New Roman" w:hAnsi="Verdana" w:cs="Times New Roman"/>
      <w:kern w:val="0"/>
      <w:sz w:val="20"/>
      <w:szCs w:val="20"/>
      <w:lang w:val="en-GB"/>
      <w14:ligatures w14:val="none"/>
    </w:rPr>
  </w:style>
  <w:style w:type="paragraph" w:styleId="CommentSubject">
    <w:name w:val="annotation subject"/>
    <w:basedOn w:val="CommentText"/>
    <w:next w:val="CommentText"/>
    <w:link w:val="CommentSubjectChar"/>
    <w:uiPriority w:val="99"/>
    <w:semiHidden/>
    <w:unhideWhenUsed/>
    <w:rsid w:val="00D250CB"/>
    <w:rPr>
      <w:b/>
      <w:bCs/>
    </w:rPr>
  </w:style>
  <w:style w:type="character" w:customStyle="1" w:styleId="CommentSubjectChar">
    <w:name w:val="Comment Subject Char"/>
    <w:basedOn w:val="CommentTextChar"/>
    <w:link w:val="CommentSubject"/>
    <w:uiPriority w:val="99"/>
    <w:semiHidden/>
    <w:rsid w:val="00D250CB"/>
    <w:rPr>
      <w:rFonts w:ascii="Verdana" w:eastAsia="Times New Roman" w:hAnsi="Verdana" w:cs="Times New Roman"/>
      <w:b/>
      <w:bCs/>
      <w:kern w:val="0"/>
      <w:sz w:val="20"/>
      <w:szCs w:val="20"/>
      <w:lang w:val="en-GB"/>
      <w14:ligatures w14:val="none"/>
    </w:rPr>
  </w:style>
  <w:style w:type="paragraph" w:styleId="Revision">
    <w:name w:val="Revision"/>
    <w:hidden/>
    <w:uiPriority w:val="99"/>
    <w:semiHidden/>
    <w:rsid w:val="009A7880"/>
    <w:pPr>
      <w:spacing w:after="0" w:line="240" w:lineRule="auto"/>
    </w:pPr>
    <w:rPr>
      <w:rFonts w:ascii="Verdana" w:eastAsia="Times New Roman" w:hAnsi="Verdana" w:cs="Times New Roman"/>
      <w:kern w:val="0"/>
      <w:sz w:val="20"/>
      <w:szCs w:val="20"/>
      <w14:ligatures w14:val="none"/>
    </w:rPr>
  </w:style>
  <w:style w:type="character" w:customStyle="1" w:styleId="normaltextrun">
    <w:name w:val="normaltextrun"/>
    <w:basedOn w:val="DefaultParagraphFont"/>
    <w:rsid w:val="00A367FE"/>
  </w:style>
  <w:style w:type="character" w:customStyle="1" w:styleId="eop">
    <w:name w:val="eop"/>
    <w:basedOn w:val="DefaultParagraphFont"/>
    <w:rsid w:val="00A367FE"/>
  </w:style>
  <w:style w:type="character" w:customStyle="1" w:styleId="ui-provider">
    <w:name w:val="ui-provider"/>
    <w:basedOn w:val="DefaultParagraphFont"/>
    <w:rsid w:val="00090581"/>
  </w:style>
  <w:style w:type="character" w:customStyle="1" w:styleId="Heading3Char">
    <w:name w:val="Heading 3 Char"/>
    <w:basedOn w:val="DefaultParagraphFont"/>
    <w:link w:val="Heading3"/>
    <w:uiPriority w:val="9"/>
    <w:semiHidden/>
    <w:rsid w:val="005D7513"/>
    <w:rPr>
      <w:rFonts w:asciiTheme="majorHAnsi" w:eastAsiaTheme="majorEastAsia" w:hAnsiTheme="majorHAnsi" w:cstheme="majorBidi"/>
      <w:color w:val="1F3763" w:themeColor="accent1" w:themeShade="7F"/>
      <w:kern w:val="0"/>
      <w:sz w:val="24"/>
      <w:szCs w:val="24"/>
      <w:lang w:val="en-GB"/>
      <w14:ligatures w14:val="none"/>
    </w:rPr>
  </w:style>
  <w:style w:type="character" w:styleId="UnresolvedMention">
    <w:name w:val="Unresolved Mention"/>
    <w:basedOn w:val="DefaultParagraphFont"/>
    <w:uiPriority w:val="99"/>
    <w:semiHidden/>
    <w:unhideWhenUsed/>
    <w:rsid w:val="00D5002B"/>
    <w:rPr>
      <w:color w:val="605E5C"/>
      <w:shd w:val="clear" w:color="auto" w:fill="E1DFDD"/>
    </w:rPr>
  </w:style>
  <w:style w:type="character" w:customStyle="1" w:styleId="cf01">
    <w:name w:val="cf01"/>
    <w:basedOn w:val="DefaultParagraphFont"/>
    <w:rsid w:val="0031324D"/>
    <w:rPr>
      <w:rFonts w:ascii="Segoe UI" w:hAnsi="Segoe UI" w:cs="Segoe UI" w:hint="default"/>
      <w:i/>
      <w:iCs/>
      <w:sz w:val="18"/>
      <w:szCs w:val="18"/>
    </w:rPr>
  </w:style>
  <w:style w:type="character" w:styleId="FollowedHyperlink">
    <w:name w:val="FollowedHyperlink"/>
    <w:basedOn w:val="DefaultParagraphFont"/>
    <w:uiPriority w:val="99"/>
    <w:semiHidden/>
    <w:unhideWhenUsed/>
    <w:rsid w:val="004A3055"/>
    <w:rPr>
      <w:color w:val="954F72" w:themeColor="followedHyperlink"/>
      <w:u w:val="single"/>
    </w:rPr>
  </w:style>
  <w:style w:type="paragraph" w:styleId="NormalWeb">
    <w:name w:val="Normal (Web)"/>
    <w:basedOn w:val="Normal"/>
    <w:uiPriority w:val="99"/>
    <w:unhideWhenUsed/>
    <w:rsid w:val="001D139E"/>
    <w:pPr>
      <w:widowControl/>
      <w:autoSpaceDE/>
      <w:autoSpaceDN/>
      <w:adjustRightInd/>
      <w:spacing w:before="100" w:beforeAutospacing="1" w:after="100" w:afterAutospacing="1"/>
    </w:pPr>
    <w:rPr>
      <w:rFonts w:ascii="Times New Roman" w:hAnsi="Times New Roman"/>
      <w:sz w:val="24"/>
      <w:szCs w:val="24"/>
      <w:lang w:eastAsia="lt-LT"/>
    </w:rPr>
  </w:style>
  <w:style w:type="character" w:styleId="Strong">
    <w:name w:val="Strong"/>
    <w:basedOn w:val="DefaultParagraphFont"/>
    <w:uiPriority w:val="22"/>
    <w:qFormat/>
    <w:rsid w:val="001D139E"/>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7889502">
      <w:bodyDiv w:val="1"/>
      <w:marLeft w:val="0"/>
      <w:marRight w:val="0"/>
      <w:marTop w:val="0"/>
      <w:marBottom w:val="0"/>
      <w:divBdr>
        <w:top w:val="none" w:sz="0" w:space="0" w:color="auto"/>
        <w:left w:val="none" w:sz="0" w:space="0" w:color="auto"/>
        <w:bottom w:val="none" w:sz="0" w:space="0" w:color="auto"/>
        <w:right w:val="none" w:sz="0" w:space="0" w:color="auto"/>
      </w:divBdr>
      <w:divsChild>
        <w:div w:id="850947097">
          <w:marLeft w:val="0"/>
          <w:marRight w:val="0"/>
          <w:marTop w:val="0"/>
          <w:marBottom w:val="0"/>
          <w:divBdr>
            <w:top w:val="none" w:sz="0" w:space="0" w:color="auto"/>
            <w:left w:val="none" w:sz="0" w:space="0" w:color="auto"/>
            <w:bottom w:val="none" w:sz="0" w:space="0" w:color="auto"/>
            <w:right w:val="none" w:sz="0" w:space="0" w:color="auto"/>
          </w:divBdr>
        </w:div>
        <w:div w:id="881748229">
          <w:marLeft w:val="0"/>
          <w:marRight w:val="0"/>
          <w:marTop w:val="0"/>
          <w:marBottom w:val="0"/>
          <w:divBdr>
            <w:top w:val="none" w:sz="0" w:space="0" w:color="auto"/>
            <w:left w:val="none" w:sz="0" w:space="0" w:color="auto"/>
            <w:bottom w:val="none" w:sz="0" w:space="0" w:color="auto"/>
            <w:right w:val="none" w:sz="0" w:space="0" w:color="auto"/>
          </w:divBdr>
        </w:div>
      </w:divsChild>
    </w:div>
    <w:div w:id="375548436">
      <w:bodyDiv w:val="1"/>
      <w:marLeft w:val="0"/>
      <w:marRight w:val="0"/>
      <w:marTop w:val="0"/>
      <w:marBottom w:val="0"/>
      <w:divBdr>
        <w:top w:val="none" w:sz="0" w:space="0" w:color="auto"/>
        <w:left w:val="none" w:sz="0" w:space="0" w:color="auto"/>
        <w:bottom w:val="none" w:sz="0" w:space="0" w:color="auto"/>
        <w:right w:val="none" w:sz="0" w:space="0" w:color="auto"/>
      </w:divBdr>
    </w:div>
    <w:div w:id="510149199">
      <w:bodyDiv w:val="1"/>
      <w:marLeft w:val="0"/>
      <w:marRight w:val="0"/>
      <w:marTop w:val="0"/>
      <w:marBottom w:val="0"/>
      <w:divBdr>
        <w:top w:val="none" w:sz="0" w:space="0" w:color="auto"/>
        <w:left w:val="none" w:sz="0" w:space="0" w:color="auto"/>
        <w:bottom w:val="none" w:sz="0" w:space="0" w:color="auto"/>
        <w:right w:val="none" w:sz="0" w:space="0" w:color="auto"/>
      </w:divBdr>
    </w:div>
    <w:div w:id="510802151">
      <w:bodyDiv w:val="1"/>
      <w:marLeft w:val="0"/>
      <w:marRight w:val="0"/>
      <w:marTop w:val="0"/>
      <w:marBottom w:val="0"/>
      <w:divBdr>
        <w:top w:val="none" w:sz="0" w:space="0" w:color="auto"/>
        <w:left w:val="none" w:sz="0" w:space="0" w:color="auto"/>
        <w:bottom w:val="none" w:sz="0" w:space="0" w:color="auto"/>
        <w:right w:val="none" w:sz="0" w:space="0" w:color="auto"/>
      </w:divBdr>
      <w:divsChild>
        <w:div w:id="1006784168">
          <w:marLeft w:val="0"/>
          <w:marRight w:val="0"/>
          <w:marTop w:val="0"/>
          <w:marBottom w:val="0"/>
          <w:divBdr>
            <w:top w:val="none" w:sz="0" w:space="0" w:color="auto"/>
            <w:left w:val="none" w:sz="0" w:space="0" w:color="auto"/>
            <w:bottom w:val="none" w:sz="0" w:space="0" w:color="auto"/>
            <w:right w:val="none" w:sz="0" w:space="0" w:color="auto"/>
          </w:divBdr>
        </w:div>
      </w:divsChild>
    </w:div>
    <w:div w:id="593830209">
      <w:bodyDiv w:val="1"/>
      <w:marLeft w:val="0"/>
      <w:marRight w:val="0"/>
      <w:marTop w:val="0"/>
      <w:marBottom w:val="0"/>
      <w:divBdr>
        <w:top w:val="none" w:sz="0" w:space="0" w:color="auto"/>
        <w:left w:val="none" w:sz="0" w:space="0" w:color="auto"/>
        <w:bottom w:val="none" w:sz="0" w:space="0" w:color="auto"/>
        <w:right w:val="none" w:sz="0" w:space="0" w:color="auto"/>
      </w:divBdr>
    </w:div>
    <w:div w:id="747964681">
      <w:bodyDiv w:val="1"/>
      <w:marLeft w:val="0"/>
      <w:marRight w:val="0"/>
      <w:marTop w:val="0"/>
      <w:marBottom w:val="0"/>
      <w:divBdr>
        <w:top w:val="none" w:sz="0" w:space="0" w:color="auto"/>
        <w:left w:val="none" w:sz="0" w:space="0" w:color="auto"/>
        <w:bottom w:val="none" w:sz="0" w:space="0" w:color="auto"/>
        <w:right w:val="none" w:sz="0" w:space="0" w:color="auto"/>
      </w:divBdr>
    </w:div>
    <w:div w:id="841890474">
      <w:bodyDiv w:val="1"/>
      <w:marLeft w:val="0"/>
      <w:marRight w:val="0"/>
      <w:marTop w:val="0"/>
      <w:marBottom w:val="0"/>
      <w:divBdr>
        <w:top w:val="none" w:sz="0" w:space="0" w:color="auto"/>
        <w:left w:val="none" w:sz="0" w:space="0" w:color="auto"/>
        <w:bottom w:val="none" w:sz="0" w:space="0" w:color="auto"/>
        <w:right w:val="none" w:sz="0" w:space="0" w:color="auto"/>
      </w:divBdr>
    </w:div>
    <w:div w:id="976879864">
      <w:bodyDiv w:val="1"/>
      <w:marLeft w:val="0"/>
      <w:marRight w:val="0"/>
      <w:marTop w:val="0"/>
      <w:marBottom w:val="0"/>
      <w:divBdr>
        <w:top w:val="none" w:sz="0" w:space="0" w:color="auto"/>
        <w:left w:val="none" w:sz="0" w:space="0" w:color="auto"/>
        <w:bottom w:val="none" w:sz="0" w:space="0" w:color="auto"/>
        <w:right w:val="none" w:sz="0" w:space="0" w:color="auto"/>
      </w:divBdr>
    </w:div>
    <w:div w:id="1063256280">
      <w:bodyDiv w:val="1"/>
      <w:marLeft w:val="0"/>
      <w:marRight w:val="0"/>
      <w:marTop w:val="0"/>
      <w:marBottom w:val="0"/>
      <w:divBdr>
        <w:top w:val="none" w:sz="0" w:space="0" w:color="auto"/>
        <w:left w:val="none" w:sz="0" w:space="0" w:color="auto"/>
        <w:bottom w:val="none" w:sz="0" w:space="0" w:color="auto"/>
        <w:right w:val="none" w:sz="0" w:space="0" w:color="auto"/>
      </w:divBdr>
    </w:div>
    <w:div w:id="1147360235">
      <w:bodyDiv w:val="1"/>
      <w:marLeft w:val="0"/>
      <w:marRight w:val="0"/>
      <w:marTop w:val="0"/>
      <w:marBottom w:val="0"/>
      <w:divBdr>
        <w:top w:val="none" w:sz="0" w:space="0" w:color="auto"/>
        <w:left w:val="none" w:sz="0" w:space="0" w:color="auto"/>
        <w:bottom w:val="none" w:sz="0" w:space="0" w:color="auto"/>
        <w:right w:val="none" w:sz="0" w:space="0" w:color="auto"/>
      </w:divBdr>
    </w:div>
    <w:div w:id="1240485964">
      <w:bodyDiv w:val="1"/>
      <w:marLeft w:val="0"/>
      <w:marRight w:val="0"/>
      <w:marTop w:val="0"/>
      <w:marBottom w:val="0"/>
      <w:divBdr>
        <w:top w:val="none" w:sz="0" w:space="0" w:color="auto"/>
        <w:left w:val="none" w:sz="0" w:space="0" w:color="auto"/>
        <w:bottom w:val="none" w:sz="0" w:space="0" w:color="auto"/>
        <w:right w:val="none" w:sz="0" w:space="0" w:color="auto"/>
      </w:divBdr>
      <w:divsChild>
        <w:div w:id="291248278">
          <w:marLeft w:val="0"/>
          <w:marRight w:val="0"/>
          <w:marTop w:val="0"/>
          <w:marBottom w:val="0"/>
          <w:divBdr>
            <w:top w:val="none" w:sz="0" w:space="0" w:color="auto"/>
            <w:left w:val="none" w:sz="0" w:space="0" w:color="auto"/>
            <w:bottom w:val="none" w:sz="0" w:space="0" w:color="auto"/>
            <w:right w:val="none" w:sz="0" w:space="0" w:color="auto"/>
          </w:divBdr>
        </w:div>
      </w:divsChild>
    </w:div>
    <w:div w:id="1338995966">
      <w:bodyDiv w:val="1"/>
      <w:marLeft w:val="0"/>
      <w:marRight w:val="0"/>
      <w:marTop w:val="0"/>
      <w:marBottom w:val="0"/>
      <w:divBdr>
        <w:top w:val="none" w:sz="0" w:space="0" w:color="auto"/>
        <w:left w:val="none" w:sz="0" w:space="0" w:color="auto"/>
        <w:bottom w:val="none" w:sz="0" w:space="0" w:color="auto"/>
        <w:right w:val="none" w:sz="0" w:space="0" w:color="auto"/>
      </w:divBdr>
    </w:div>
    <w:div w:id="1369992088">
      <w:bodyDiv w:val="1"/>
      <w:marLeft w:val="0"/>
      <w:marRight w:val="0"/>
      <w:marTop w:val="0"/>
      <w:marBottom w:val="0"/>
      <w:divBdr>
        <w:top w:val="none" w:sz="0" w:space="0" w:color="auto"/>
        <w:left w:val="none" w:sz="0" w:space="0" w:color="auto"/>
        <w:bottom w:val="none" w:sz="0" w:space="0" w:color="auto"/>
        <w:right w:val="none" w:sz="0" w:space="0" w:color="auto"/>
      </w:divBdr>
    </w:div>
    <w:div w:id="1440838397">
      <w:bodyDiv w:val="1"/>
      <w:marLeft w:val="0"/>
      <w:marRight w:val="0"/>
      <w:marTop w:val="0"/>
      <w:marBottom w:val="0"/>
      <w:divBdr>
        <w:top w:val="none" w:sz="0" w:space="0" w:color="auto"/>
        <w:left w:val="none" w:sz="0" w:space="0" w:color="auto"/>
        <w:bottom w:val="none" w:sz="0" w:space="0" w:color="auto"/>
        <w:right w:val="none" w:sz="0" w:space="0" w:color="auto"/>
      </w:divBdr>
    </w:div>
    <w:div w:id="1609773778">
      <w:bodyDiv w:val="1"/>
      <w:marLeft w:val="0"/>
      <w:marRight w:val="0"/>
      <w:marTop w:val="0"/>
      <w:marBottom w:val="0"/>
      <w:divBdr>
        <w:top w:val="none" w:sz="0" w:space="0" w:color="auto"/>
        <w:left w:val="none" w:sz="0" w:space="0" w:color="auto"/>
        <w:bottom w:val="none" w:sz="0" w:space="0" w:color="auto"/>
        <w:right w:val="none" w:sz="0" w:space="0" w:color="auto"/>
      </w:divBdr>
      <w:divsChild>
        <w:div w:id="1491211731">
          <w:marLeft w:val="0"/>
          <w:marRight w:val="0"/>
          <w:marTop w:val="0"/>
          <w:marBottom w:val="0"/>
          <w:divBdr>
            <w:top w:val="none" w:sz="0" w:space="0" w:color="auto"/>
            <w:left w:val="none" w:sz="0" w:space="0" w:color="auto"/>
            <w:bottom w:val="none" w:sz="0" w:space="0" w:color="auto"/>
            <w:right w:val="none" w:sz="0" w:space="0" w:color="auto"/>
          </w:divBdr>
        </w:div>
      </w:divsChild>
    </w:div>
    <w:div w:id="1644191350">
      <w:bodyDiv w:val="1"/>
      <w:marLeft w:val="0"/>
      <w:marRight w:val="0"/>
      <w:marTop w:val="0"/>
      <w:marBottom w:val="0"/>
      <w:divBdr>
        <w:top w:val="none" w:sz="0" w:space="0" w:color="auto"/>
        <w:left w:val="none" w:sz="0" w:space="0" w:color="auto"/>
        <w:bottom w:val="none" w:sz="0" w:space="0" w:color="auto"/>
        <w:right w:val="none" w:sz="0" w:space="0" w:color="auto"/>
      </w:divBdr>
    </w:div>
    <w:div w:id="1805151787">
      <w:bodyDiv w:val="1"/>
      <w:marLeft w:val="0"/>
      <w:marRight w:val="0"/>
      <w:marTop w:val="0"/>
      <w:marBottom w:val="0"/>
      <w:divBdr>
        <w:top w:val="none" w:sz="0" w:space="0" w:color="auto"/>
        <w:left w:val="none" w:sz="0" w:space="0" w:color="auto"/>
        <w:bottom w:val="none" w:sz="0" w:space="0" w:color="auto"/>
        <w:right w:val="none" w:sz="0" w:space="0" w:color="auto"/>
      </w:divBdr>
    </w:div>
    <w:div w:id="1909076292">
      <w:bodyDiv w:val="1"/>
      <w:marLeft w:val="0"/>
      <w:marRight w:val="0"/>
      <w:marTop w:val="0"/>
      <w:marBottom w:val="0"/>
      <w:divBdr>
        <w:top w:val="none" w:sz="0" w:space="0" w:color="auto"/>
        <w:left w:val="none" w:sz="0" w:space="0" w:color="auto"/>
        <w:bottom w:val="none" w:sz="0" w:space="0" w:color="auto"/>
        <w:right w:val="none" w:sz="0" w:space="0" w:color="auto"/>
      </w:divBdr>
    </w:div>
    <w:div w:id="19732490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hyperlink" Target="https://www.lb.lt/en/personal-data-protection" TargetMode="External"/><Relationship Id="rId1" Type="http://schemas.openxmlformats.org/officeDocument/2006/relationships/hyperlink" Target="mailto:prieziura@lb.lt" TargetMode="External"/></Relationships>
</file>

<file path=word/_rels/footnotes.xml.rels><?xml version="1.0" encoding="UTF-8" standalone="yes"?>
<Relationships xmlns="http://schemas.openxmlformats.org/package/2006/relationships"><Relationship Id="rId3" Type="http://schemas.openxmlformats.org/officeDocument/2006/relationships/hyperlink" Target="https://e-seimas.lrs.lt/portal/legalAct/lt/TAD/0ff5fa2098fb11e58856802eb9fdffa1?jfwid=m4xrexbty" TargetMode="External"/><Relationship Id="rId7" Type="http://schemas.openxmlformats.org/officeDocument/2006/relationships/hyperlink" Target="https://e-seimas.lrs.lt/portal/legalAct/lt/TAD/0ff5fa2098fb11e58856802eb9fdffa1?jfwid=m4xrexbty" TargetMode="External"/><Relationship Id="rId2" Type="http://schemas.openxmlformats.org/officeDocument/2006/relationships/hyperlink" Target="https://www.lb.lt/uploads/documents/files/2023%20m_%20L%C5%ABkes%C4%8Di%C5%B3%20ra%C5%A1tas_EN.pdf" TargetMode="External"/><Relationship Id="rId1" Type="http://schemas.openxmlformats.org/officeDocument/2006/relationships/hyperlink" Target="https://www.lb.lt/lt/naujienos/lietuvos-bankas-patvirtino-mokejimo-paslaugu-teikimo-gaires" TargetMode="External"/><Relationship Id="rId6" Type="http://schemas.openxmlformats.org/officeDocument/2006/relationships/hyperlink" Target="https://www.lb.lt/en/payment-service-basket" TargetMode="External"/><Relationship Id="rId5" Type="http://schemas.openxmlformats.org/officeDocument/2006/relationships/hyperlink" Target="https://www.lb.lt/en/payment-service-basket" TargetMode="External"/><Relationship Id="rId4" Type="http://schemas.openxmlformats.org/officeDocument/2006/relationships/hyperlink" Target="https://www.lb.lt/lt/naujienos/pagrindine-mokejimo-saskaita-visos-gyventojams-butiniausios-mokejimo-paslaugo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dc6e9e92-b498-4b84-8e30-029fa84c5b78">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kumentas" ma:contentTypeID="0x0101007A445DE0AFF53C498D30282550A9296A" ma:contentTypeVersion="9" ma:contentTypeDescription="Kurkite naują dokumentą." ma:contentTypeScope="" ma:versionID="c207af71d29c2f2ca2295de6e8fb7259">
  <xsd:schema xmlns:xsd="http://www.w3.org/2001/XMLSchema" xmlns:xs="http://www.w3.org/2001/XMLSchema" xmlns:p="http://schemas.microsoft.com/office/2006/metadata/properties" xmlns:ns2="dc6e9e92-b498-4b84-8e30-029fa84c5b78" targetNamespace="http://schemas.microsoft.com/office/2006/metadata/properties" ma:root="true" ma:fieldsID="1af31e9291e6c8aefad102baa6093e48" ns2:_="">
    <xsd:import namespace="dc6e9e92-b498-4b84-8e30-029fa84c5b78"/>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2:MediaServiceObjectDetectorVersions" minOccurs="0"/>
                <xsd:element ref="ns2:MediaServiceOCR" minOccurs="0"/>
                <xsd:element ref="ns2:MediaServiceGenerationTime" minOccurs="0"/>
                <xsd:element ref="ns2:MediaServiceEventHashCode"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c6e9e92-b498-4b84-8e30-029fa84c5b7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Vaizdų žymės" ma:readOnly="false" ma:fieldId="{5cf76f15-5ced-4ddc-b409-7134ff3c332f}" ma:taxonomyMulti="true" ma:sspId="9b329fa9-29d7-4cc7-a3ef-ad51766cd359"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SearchProperties" ma:index="16"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urinio tipas"/>
        <xsd:element ref="dc:title" minOccurs="0" maxOccurs="1" ma:index="4" ma:displayName="Antraštė"/>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8B41612-031B-4B5F-8CBE-8696F6AF35EA}">
  <ds:schemaRefs>
    <ds:schemaRef ds:uri="http://schemas.microsoft.com/sharepoint/v3/contenttype/forms"/>
  </ds:schemaRefs>
</ds:datastoreItem>
</file>

<file path=customXml/itemProps2.xml><?xml version="1.0" encoding="utf-8"?>
<ds:datastoreItem xmlns:ds="http://schemas.openxmlformats.org/officeDocument/2006/customXml" ds:itemID="{00AB87AD-A6BE-4DE2-AA9D-A127C1B28DF5}">
  <ds:schemaRefs>
    <ds:schemaRef ds:uri="http://schemas.microsoft.com/office/2006/metadata/properties"/>
    <ds:schemaRef ds:uri="http://schemas.microsoft.com/office/infopath/2007/PartnerControls"/>
    <ds:schemaRef ds:uri="dc6e9e92-b498-4b84-8e30-029fa84c5b78"/>
  </ds:schemaRefs>
</ds:datastoreItem>
</file>

<file path=customXml/itemProps3.xml><?xml version="1.0" encoding="utf-8"?>
<ds:datastoreItem xmlns:ds="http://schemas.openxmlformats.org/officeDocument/2006/customXml" ds:itemID="{50459965-B85E-4954-8E3F-D0C2E446F8C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c6e9e92-b498-4b84-8e30-029fa84c5b7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8B521132-87D7-422B-A2AF-CC40A3EEFEB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2813</Words>
  <Characters>14720</Characters>
  <Application>Microsoft Office Word</Application>
  <DocSecurity>0</DocSecurity>
  <Lines>230</Lines>
  <Paragraphs>38</Paragraphs>
  <ScaleCrop>false</ScaleCrop>
  <HeadingPairs>
    <vt:vector size="4" baseType="variant">
      <vt:variant>
        <vt:lpstr>Title</vt:lpstr>
      </vt:variant>
      <vt:variant>
        <vt:i4>1</vt:i4>
      </vt:variant>
      <vt:variant>
        <vt:lpstr>Pavadinimas</vt:lpstr>
      </vt:variant>
      <vt:variant>
        <vt:i4>1</vt:i4>
      </vt:variant>
    </vt:vector>
  </HeadingPairs>
  <TitlesOfParts>
    <vt:vector size="2" baseType="lpstr">
      <vt:lpstr/>
      <vt:lpstr/>
    </vt:vector>
  </TitlesOfParts>
  <Company/>
  <LinksUpToDate>false</LinksUpToDate>
  <CharactersWithSpaces>17495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Julija Krasnickienė</dc:creator>
  <cp:keywords/>
  <dc:description/>
  <cp:lastModifiedBy>Giedrė Abromaitytė</cp:lastModifiedBy>
  <cp:revision>3</cp:revision>
  <dcterms:created xsi:type="dcterms:W3CDTF">2025-02-10T12:31:00Z</dcterms:created>
  <dcterms:modified xsi:type="dcterms:W3CDTF">2025-02-10T12:31:00Z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0x0101007A445DE0AFF53C498D30282550A9296A</vt:lpwstr>
  </property>
  <property fmtid="{D5CDD505-2E9C-101B-9397-08002B2CF9AE}" pid="3" name="MediaServiceImageTags">
    <vt:lpwstr/>
  </property>
  <property fmtid="{D5CDD505-2E9C-101B-9397-08002B2CF9AE}" pid="4" name="GrammarlyDocumentId">
    <vt:lpwstr>9ba5a01bb61a84b0280109ce23ebd1ab48bec0ff7059c6501bf962afca0a35d5</vt:lpwstr>
  </property>
  <property fmtid="{D5CDD505-2E9C-101B-9397-08002B2CF9AE}" pid="5" name="MSIP_Label_f0206465-89f4-4003-9066-ae60a6349420_Enabled">
    <vt:lpwstr>true</vt:lpwstr>
  </property>
  <property fmtid="{D5CDD505-2E9C-101B-9397-08002B2CF9AE}" pid="6" name="MSIP_Label_f0206465-89f4-4003-9066-ae60a6349420_SetDate">
    <vt:lpwstr>2024-05-30T10:47:32Z</vt:lpwstr>
  </property>
  <property fmtid="{D5CDD505-2E9C-101B-9397-08002B2CF9AE}" pid="7" name="MSIP_Label_f0206465-89f4-4003-9066-ae60a6349420_Method">
    <vt:lpwstr>Privileged</vt:lpwstr>
  </property>
  <property fmtid="{D5CDD505-2E9C-101B-9397-08002B2CF9AE}" pid="8" name="MSIP_Label_f0206465-89f4-4003-9066-ae60a6349420_Name">
    <vt:lpwstr>LB RIBOTO NAUDOJIMO Nematoma (Invisible)</vt:lpwstr>
  </property>
  <property fmtid="{D5CDD505-2E9C-101B-9397-08002B2CF9AE}" pid="9" name="MSIP_Label_f0206465-89f4-4003-9066-ae60a6349420_SiteId">
    <vt:lpwstr>5a40b399-6903-4594-ad73-dc4ed7ed91c0</vt:lpwstr>
  </property>
  <property fmtid="{D5CDD505-2E9C-101B-9397-08002B2CF9AE}" pid="10" name="MSIP_Label_f0206465-89f4-4003-9066-ae60a6349420_ActionId">
    <vt:lpwstr>9bd1fd4d-6875-4594-8586-17a323fd34e9</vt:lpwstr>
  </property>
  <property fmtid="{D5CDD505-2E9C-101B-9397-08002B2CF9AE}" pid="11" name="MSIP_Label_f0206465-89f4-4003-9066-ae60a6349420_ContentBits">
    <vt:lpwstr>0</vt:lpwstr>
  </property>
  <property fmtid="{D5CDD505-2E9C-101B-9397-08002B2CF9AE}" pid="12" name="Title">
    <vt:lpwstr>Dėl sutarties sąlygų keitimo</vt:lpwstr>
  </property>
  <property fmtid="{D5CDD505-2E9C-101B-9397-08002B2CF9AE}" pid="13" name="reg_nr">
    <vt:lpwstr>S 2024/(34.55.E-4700)-12-2333</vt:lpwstr>
  </property>
  <property fmtid="{D5CDD505-2E9C-101B-9397-08002B2CF9AE}" pid="14" name="dok_data">
    <vt:lpwstr>2024-06-05</vt:lpwstr>
  </property>
  <property fmtid="{D5CDD505-2E9C-101B-9397-08002B2CF9AE}" pid="15" name="pas_pareigos">
    <vt:lpwstr>Direktorius</vt:lpwstr>
  </property>
  <property fmtid="{D5CDD505-2E9C-101B-9397-08002B2CF9AE}" pid="16" name="pas_pareigos_1">
    <vt:lpwstr/>
  </property>
  <property fmtid="{D5CDD505-2E9C-101B-9397-08002B2CF9AE}" pid="17" name="dok_pasirase">
    <vt:lpwstr>Vaidas Cibas</vt:lpwstr>
  </property>
  <property fmtid="{D5CDD505-2E9C-101B-9397-08002B2CF9AE}" pid="18" name="dok_pasirase_1">
    <vt:lpwstr/>
  </property>
  <property fmtid="{D5CDD505-2E9C-101B-9397-08002B2CF9AE}" pid="19" name="dok_rubrika">
    <vt:lpwstr>Susirašinėjimas su bankais</vt:lpwstr>
  </property>
  <property fmtid="{D5CDD505-2E9C-101B-9397-08002B2CF9AE}" pid="20" name="AprvLog_1a">
    <vt:lpwstr>Vizuotas (1.0) -  Nikitinė Ligita - Data:  2024-06-05,  , Vizuotas (1.0) -  Krasnickienė Julija - Data:  2024-06-05,  , Vizuotas (1.0) -  Butkutė Jūratė - Data:  2024-06-05,  , Vizuotas (1.0) -  Karpavičius Tomas - Data:  2024-06-05,  , Vizuotas (1.0) -  </vt:lpwstr>
  </property>
  <property fmtid="{D5CDD505-2E9C-101B-9397-08002B2CF9AE}" pid="21" name="AprvLog_2a">
    <vt:lpwstr>Pasirašytas (1.0) - Cibas Vaidas - Data: 2024-06-05</vt:lpwstr>
  </property>
  <property fmtid="{D5CDD505-2E9C-101B-9397-08002B2CF9AE}" pid="22" name="DocID">
    <vt:lpwstr>758D377054F5E8E8C2258B330045D781</vt:lpwstr>
  </property>
  <property fmtid="{D5CDD505-2E9C-101B-9397-08002B2CF9AE}" pid="23" name="Projektas">
    <vt:lpwstr> </vt:lpwstr>
  </property>
</Properties>
</file>