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3F34D" w14:textId="77777777" w:rsidR="007B3ADE" w:rsidRPr="007B3ADE" w:rsidRDefault="007B3ADE" w:rsidP="007B3ADE">
      <w:pPr>
        <w:jc w:val="right"/>
        <w:rPr>
          <w:sz w:val="20"/>
        </w:rPr>
      </w:pPr>
      <w:r>
        <w:rPr>
          <w:b/>
          <w:bCs/>
          <w:i/>
          <w:iCs/>
        </w:rPr>
        <w:t>Translated by the Bank of Lithuania</w:t>
      </w:r>
    </w:p>
    <w:p w14:paraId="5EF9A62B" w14:textId="77777777" w:rsidR="007B3ADE" w:rsidRDefault="007B3ADE" w:rsidP="00F3494E">
      <w:pPr>
        <w:suppressAutoHyphens/>
        <w:jc w:val="both"/>
        <w:textAlignment w:val="baseline"/>
        <w:rPr>
          <w:b/>
          <w:i/>
          <w:sz w:val="20"/>
        </w:rPr>
      </w:pPr>
    </w:p>
    <w:p w14:paraId="2A689E42" w14:textId="77777777" w:rsidR="007B3ADE" w:rsidRDefault="007B3ADE" w:rsidP="00F3494E">
      <w:pPr>
        <w:suppressAutoHyphens/>
        <w:jc w:val="both"/>
        <w:textAlignment w:val="baseline"/>
        <w:rPr>
          <w:b/>
          <w:i/>
          <w:sz w:val="20"/>
        </w:rPr>
      </w:pPr>
    </w:p>
    <w:p w14:paraId="2FDA3AB1" w14:textId="09D6E085" w:rsidR="001B5130" w:rsidRDefault="001B5130" w:rsidP="00F3494E">
      <w:pPr>
        <w:suppressAutoHyphens/>
        <w:jc w:val="both"/>
        <w:textAlignment w:val="baseline"/>
        <w:rPr>
          <w:b/>
          <w:bCs/>
          <w:i/>
          <w:iCs/>
          <w:color w:val="000000"/>
        </w:rPr>
      </w:pPr>
      <w:r>
        <w:rPr>
          <w:b/>
          <w:bCs/>
          <w:i/>
          <w:iCs/>
          <w:color w:val="000000"/>
        </w:rPr>
        <w:t>Consolidated version from 01/12/2022 till 27/02/2023</w:t>
      </w:r>
    </w:p>
    <w:p w14:paraId="13700757" w14:textId="77777777" w:rsidR="001B5130" w:rsidRDefault="001B5130" w:rsidP="00F3494E">
      <w:pPr>
        <w:suppressAutoHyphens/>
        <w:jc w:val="both"/>
        <w:textAlignment w:val="baseline"/>
        <w:rPr>
          <w:b/>
          <w:i/>
          <w:sz w:val="20"/>
        </w:rPr>
      </w:pPr>
    </w:p>
    <w:p w14:paraId="00D128E9" w14:textId="77777777" w:rsidR="00ED3A7E" w:rsidRPr="000550CF" w:rsidRDefault="00ED3A7E" w:rsidP="00F3494E">
      <w:pPr>
        <w:suppressAutoHyphens/>
        <w:jc w:val="center"/>
        <w:textAlignment w:val="baseline"/>
        <w:rPr>
          <w:bCs/>
          <w:caps/>
          <w:szCs w:val="24"/>
        </w:rPr>
      </w:pPr>
    </w:p>
    <w:p w14:paraId="731B1E7A" w14:textId="77777777" w:rsidR="00ED3A7E" w:rsidRPr="000550CF" w:rsidRDefault="00ED3A7E" w:rsidP="00F3494E">
      <w:pPr>
        <w:suppressAutoHyphens/>
        <w:jc w:val="center"/>
        <w:textAlignment w:val="baseline"/>
        <w:rPr>
          <w:bCs/>
          <w:caps/>
          <w:szCs w:val="24"/>
        </w:rPr>
      </w:pPr>
    </w:p>
    <w:p w14:paraId="726D1220" w14:textId="77777777" w:rsidR="00ED3A7E" w:rsidRPr="000550CF" w:rsidRDefault="00ED3A7E" w:rsidP="00F3494E">
      <w:pPr>
        <w:suppressAutoHyphens/>
        <w:jc w:val="center"/>
        <w:textAlignment w:val="baseline"/>
        <w:rPr>
          <w:b/>
          <w:bCs/>
          <w:caps/>
          <w:szCs w:val="24"/>
        </w:rPr>
      </w:pPr>
      <w:r>
        <w:rPr>
          <w:b/>
          <w:bCs/>
          <w:caps/>
          <w:szCs w:val="24"/>
        </w:rPr>
        <w:t xml:space="preserve">REPUBLIC OF LITHUANIA </w:t>
      </w:r>
    </w:p>
    <w:p w14:paraId="5D5D38E7" w14:textId="77777777" w:rsidR="00ED3A7E" w:rsidRPr="000550CF" w:rsidRDefault="00ED3A7E" w:rsidP="00F3494E">
      <w:pPr>
        <w:suppressAutoHyphens/>
        <w:jc w:val="center"/>
        <w:textAlignment w:val="baseline"/>
        <w:rPr>
          <w:b/>
          <w:bCs/>
          <w:caps/>
          <w:szCs w:val="24"/>
        </w:rPr>
      </w:pPr>
      <w:r>
        <w:rPr>
          <w:b/>
          <w:bCs/>
          <w:caps/>
          <w:szCs w:val="24"/>
        </w:rPr>
        <w:t xml:space="preserve">LAW ON MARKETS IN FINANCIAL INSTRUMENTS </w:t>
      </w:r>
    </w:p>
    <w:p w14:paraId="5C5CE9AE" w14:textId="77777777" w:rsidR="00ED3A7E" w:rsidRPr="000550CF" w:rsidRDefault="00ED3A7E" w:rsidP="00F3494E">
      <w:pPr>
        <w:suppressAutoHyphens/>
        <w:jc w:val="center"/>
        <w:textAlignment w:val="baseline"/>
        <w:rPr>
          <w:b/>
          <w:caps/>
          <w:szCs w:val="24"/>
        </w:rPr>
      </w:pPr>
    </w:p>
    <w:p w14:paraId="737DAA66" w14:textId="77777777" w:rsidR="00ED3A7E" w:rsidRPr="000550CF" w:rsidRDefault="00ED3A7E" w:rsidP="00F3494E">
      <w:pPr>
        <w:suppressAutoHyphens/>
        <w:jc w:val="center"/>
        <w:textAlignment w:val="baseline"/>
        <w:rPr>
          <w:szCs w:val="24"/>
        </w:rPr>
      </w:pPr>
      <w:r>
        <w:t>18 January 2007 No X-1024</w:t>
      </w:r>
      <w:r>
        <w:br/>
        <w:t>Vilnius</w:t>
      </w:r>
    </w:p>
    <w:p w14:paraId="36FF045D" w14:textId="77777777" w:rsidR="00ED3A7E" w:rsidRPr="000550CF" w:rsidRDefault="00ED3A7E" w:rsidP="00F3494E">
      <w:pPr>
        <w:suppressAutoHyphens/>
        <w:textAlignment w:val="baseline"/>
        <w:rPr>
          <w:szCs w:val="24"/>
        </w:rPr>
      </w:pPr>
    </w:p>
    <w:p w14:paraId="7057409E" w14:textId="77777777" w:rsidR="00ED3A7E" w:rsidRPr="000550CF" w:rsidRDefault="00ED3A7E" w:rsidP="00F3494E">
      <w:pPr>
        <w:suppressAutoHyphens/>
        <w:jc w:val="center"/>
        <w:textAlignment w:val="baseline"/>
        <w:rPr>
          <w:szCs w:val="24"/>
        </w:rPr>
      </w:pPr>
      <w:r>
        <w:rPr>
          <w:b/>
          <w:caps/>
          <w:szCs w:val="24"/>
        </w:rPr>
        <w:t xml:space="preserve">CHAPTER I </w:t>
      </w:r>
    </w:p>
    <w:p w14:paraId="5E56EF9F" w14:textId="77777777" w:rsidR="00ED3A7E" w:rsidRPr="000550CF" w:rsidRDefault="00ED3A7E" w:rsidP="00F3494E">
      <w:pPr>
        <w:suppressAutoHyphens/>
        <w:jc w:val="center"/>
        <w:textAlignment w:val="baseline"/>
        <w:rPr>
          <w:szCs w:val="24"/>
        </w:rPr>
      </w:pPr>
      <w:r>
        <w:rPr>
          <w:b/>
          <w:szCs w:val="24"/>
        </w:rPr>
        <w:t>GENERAL PROVISIONS</w:t>
      </w:r>
    </w:p>
    <w:p w14:paraId="48339B46" w14:textId="77777777" w:rsidR="00ED3A7E" w:rsidRPr="000550CF" w:rsidRDefault="00ED3A7E" w:rsidP="00F3494E">
      <w:pPr>
        <w:suppressAutoHyphens/>
        <w:ind w:firstLine="720"/>
        <w:jc w:val="center"/>
        <w:textAlignment w:val="baseline"/>
        <w:rPr>
          <w:b/>
          <w:szCs w:val="24"/>
        </w:rPr>
      </w:pPr>
    </w:p>
    <w:p w14:paraId="7ED8B793" w14:textId="77777777" w:rsidR="00ED3A7E" w:rsidRPr="000550CF" w:rsidRDefault="00ED3A7E" w:rsidP="00F3494E">
      <w:pPr>
        <w:suppressAutoHyphens/>
        <w:ind w:firstLine="720"/>
        <w:textAlignment w:val="baseline"/>
        <w:rPr>
          <w:szCs w:val="24"/>
        </w:rPr>
      </w:pPr>
      <w:r>
        <w:rPr>
          <w:b/>
          <w:bCs/>
          <w:color w:val="000000"/>
          <w:szCs w:val="24"/>
          <w:shd w:val="clear" w:color="auto" w:fill="FFFFFF"/>
        </w:rPr>
        <w:t>Article 1. Purpose of the Law</w:t>
      </w:r>
    </w:p>
    <w:p w14:paraId="5B0778DD" w14:textId="77777777" w:rsidR="00ED3A7E" w:rsidRPr="000550CF" w:rsidRDefault="00ED3A7E" w:rsidP="00F3494E">
      <w:pPr>
        <w:suppressAutoHyphens/>
        <w:ind w:firstLine="720"/>
        <w:jc w:val="both"/>
        <w:textAlignment w:val="baseline"/>
        <w:rPr>
          <w:szCs w:val="24"/>
        </w:rPr>
      </w:pPr>
      <w:r>
        <w:t>1. The purpose of this Law shall be to regulate public relations with a view to ensuring the fair, open and effective functioning of markets in financial instruments, the protection of investor interests and the prudential management of systemic risk.</w:t>
      </w:r>
    </w:p>
    <w:p w14:paraId="48B496DE" w14:textId="77777777" w:rsidR="00ED3A7E" w:rsidRPr="000550CF" w:rsidRDefault="00ED3A7E" w:rsidP="00F3494E">
      <w:pPr>
        <w:suppressAutoHyphens/>
        <w:ind w:firstLine="720"/>
        <w:jc w:val="both"/>
        <w:textAlignment w:val="baseline"/>
        <w:rPr>
          <w:szCs w:val="24"/>
        </w:rPr>
      </w:pPr>
      <w:r>
        <w:t>2. The Law is intended to harmonise the regulation of markets in financial instruments with legal acts of the European Union listed in the Annex to this Law.</w:t>
      </w:r>
    </w:p>
    <w:p w14:paraId="530CA1A8" w14:textId="77777777" w:rsidR="00ED3A7E" w:rsidRPr="000550CF" w:rsidRDefault="00ED3A7E" w:rsidP="00F3494E">
      <w:pPr>
        <w:suppressAutoHyphens/>
        <w:ind w:firstLine="720"/>
        <w:jc w:val="both"/>
        <w:textAlignment w:val="baseline"/>
        <w:rPr>
          <w:szCs w:val="24"/>
        </w:rPr>
      </w:pPr>
    </w:p>
    <w:p w14:paraId="26A29029" w14:textId="77777777" w:rsidR="00ED3A7E" w:rsidRPr="000550CF" w:rsidRDefault="00ED3A7E" w:rsidP="00F3494E">
      <w:pPr>
        <w:suppressAutoHyphens/>
        <w:ind w:firstLine="720"/>
        <w:jc w:val="both"/>
        <w:textAlignment w:val="baseline"/>
        <w:rPr>
          <w:szCs w:val="24"/>
        </w:rPr>
      </w:pPr>
      <w:r>
        <w:rPr>
          <w:b/>
          <w:szCs w:val="24"/>
        </w:rPr>
        <w:t>Article 2. Scope of the Law</w:t>
      </w:r>
    </w:p>
    <w:p w14:paraId="45813E79" w14:textId="4EE7B6E9" w:rsidR="00ED3A7E" w:rsidRDefault="00ED3A7E" w:rsidP="00F3494E">
      <w:pPr>
        <w:suppressAutoHyphens/>
        <w:ind w:firstLine="720"/>
        <w:jc w:val="both"/>
        <w:textAlignment w:val="baseline"/>
        <w:rPr>
          <w:szCs w:val="24"/>
        </w:rPr>
      </w:pPr>
      <w:r>
        <w:t xml:space="preserve">1. </w:t>
      </w:r>
    </w:p>
    <w:p w14:paraId="784DA005" w14:textId="77777777" w:rsidR="002320DC" w:rsidRDefault="002320DC" w:rsidP="002320DC">
      <w:pPr>
        <w:spacing w:line="360" w:lineRule="atLeast"/>
        <w:ind w:firstLine="720"/>
        <w:jc w:val="both"/>
      </w:pPr>
      <w:r>
        <w:t xml:space="preserve">This Law shall establish the requirements to be followed by financial brokerage firms, regulated market operators, transaction data reporting services providers, third-country firms providing investment services or engaged in investment activities, central securities depositories, proxy advisors, institutional </w:t>
      </w:r>
      <w:proofErr w:type="gramStart"/>
      <w:r>
        <w:t>investors</w:t>
      </w:r>
      <w:proofErr w:type="gramEnd"/>
      <w:r>
        <w:t xml:space="preserve"> and asset managers.</w:t>
      </w:r>
    </w:p>
    <w:p w14:paraId="5500C62B" w14:textId="77777777" w:rsidR="002320DC" w:rsidRDefault="002320DC" w:rsidP="002320DC">
      <w:r>
        <w:rPr>
          <w:i/>
          <w:iCs/>
          <w:sz w:val="20"/>
        </w:rPr>
        <w:t>Amendments to the paragraph of the Article:</w:t>
      </w:r>
    </w:p>
    <w:p w14:paraId="58C42D43" w14:textId="3F5B8956" w:rsidR="002320DC" w:rsidRDefault="002320DC" w:rsidP="002320DC">
      <w:pPr>
        <w:jc w:val="both"/>
      </w:pPr>
      <w:r>
        <w:rPr>
          <w:i/>
          <w:iCs/>
          <w:sz w:val="20"/>
        </w:rPr>
        <w:t xml:space="preserve">No </w:t>
      </w:r>
      <w:hyperlink r:id="rId6" w:tgtFrame="_parent" w:history="1">
        <w:r>
          <w:rPr>
            <w:rStyle w:val="Hyperlink"/>
            <w:i/>
            <w:iCs/>
            <w:sz w:val="20"/>
          </w:rPr>
          <w:t>XIII-2252</w:t>
        </w:r>
      </w:hyperlink>
      <w:r>
        <w:rPr>
          <w:i/>
          <w:iCs/>
          <w:sz w:val="20"/>
        </w:rPr>
        <w:t>, 27/06/2019, published in the RLA, 05/07/2019, ID code 2019-11172</w:t>
      </w:r>
    </w:p>
    <w:p w14:paraId="6864EB1A" w14:textId="77777777" w:rsidR="002320DC" w:rsidRPr="000550CF" w:rsidRDefault="002320DC" w:rsidP="00F3494E">
      <w:pPr>
        <w:suppressAutoHyphens/>
        <w:ind w:firstLine="720"/>
        <w:jc w:val="both"/>
        <w:textAlignment w:val="baseline"/>
        <w:rPr>
          <w:szCs w:val="24"/>
        </w:rPr>
      </w:pPr>
    </w:p>
    <w:p w14:paraId="0A469009" w14:textId="77777777" w:rsidR="00ED3A7E" w:rsidRPr="000550CF" w:rsidRDefault="00ED3A7E" w:rsidP="00F3494E">
      <w:pPr>
        <w:ind w:firstLine="720"/>
        <w:jc w:val="both"/>
      </w:pPr>
      <w:r>
        <w:t xml:space="preserve">2. Provisions of paragraph 7 of this Article, Articles 12, 16, 21 to 24, Section Three (excluding Article 36(4)), Sections Four, Five and Six of Chapter II, Articles 93, 96, 101, 102, 109, 110, 112, 113, 114 and 115 of this Law shall apply mutatis mutandis to credit institutions providing investment services or activities. </w:t>
      </w:r>
    </w:p>
    <w:p w14:paraId="50106835" w14:textId="5A104E45" w:rsidR="00ED3A7E" w:rsidRDefault="00ED3A7E" w:rsidP="00F3494E">
      <w:pPr>
        <w:widowControl w:val="0"/>
        <w:ind w:firstLine="720"/>
        <w:jc w:val="both"/>
        <w:rPr>
          <w:szCs w:val="24"/>
        </w:rPr>
      </w:pPr>
      <w:r>
        <w:t xml:space="preserve">3. </w:t>
      </w:r>
    </w:p>
    <w:p w14:paraId="28BF6458" w14:textId="77777777" w:rsidR="002320DC" w:rsidRPr="002320DC" w:rsidRDefault="002320DC" w:rsidP="002320DC">
      <w:pPr>
        <w:spacing w:line="360" w:lineRule="atLeast"/>
        <w:ind w:firstLine="720"/>
        <w:jc w:val="both"/>
        <w:rPr>
          <w:color w:val="000000"/>
          <w:szCs w:val="24"/>
        </w:rPr>
      </w:pPr>
      <w:r>
        <w:rPr>
          <w:color w:val="000000"/>
          <w:szCs w:val="24"/>
        </w:rPr>
        <w:t>Provisions of Article 12, Article 16(1) to (8) and (12), Articles 28 to 32, 34, 35 and 36 (excluding its paragraph 4), 39, 93, 94, 101, 102, 112, 113, 114 of this Law shall apply mutatis mutandis to financial brokerage firms and credit institutions selling or advising on structured deposits.</w:t>
      </w:r>
    </w:p>
    <w:p w14:paraId="51793DE3" w14:textId="77777777" w:rsidR="002320DC" w:rsidRDefault="002320DC" w:rsidP="002320DC">
      <w:pPr>
        <w:rPr>
          <w:color w:val="000000"/>
          <w:sz w:val="27"/>
          <w:szCs w:val="27"/>
        </w:rPr>
      </w:pPr>
      <w:r>
        <w:rPr>
          <w:i/>
          <w:iCs/>
          <w:color w:val="000000"/>
          <w:sz w:val="20"/>
        </w:rPr>
        <w:t>Amendments to the paragraph of the Article:</w:t>
      </w:r>
    </w:p>
    <w:p w14:paraId="334816F7" w14:textId="77777777" w:rsidR="002320DC" w:rsidRDefault="002320DC" w:rsidP="002320DC">
      <w:pPr>
        <w:jc w:val="both"/>
        <w:rPr>
          <w:color w:val="000000"/>
          <w:sz w:val="27"/>
          <w:szCs w:val="27"/>
        </w:rPr>
      </w:pPr>
      <w:r>
        <w:rPr>
          <w:i/>
          <w:iCs/>
          <w:color w:val="000000"/>
          <w:sz w:val="20"/>
        </w:rPr>
        <w:t xml:space="preserve">No </w:t>
      </w:r>
      <w:hyperlink r:id="rId7" w:tgtFrame="_parent" w:history="1">
        <w:r>
          <w:rPr>
            <w:rStyle w:val="Hyperlink"/>
            <w:i/>
            <w:iCs/>
            <w:sz w:val="20"/>
          </w:rPr>
          <w:t>XIII-1877</w:t>
        </w:r>
      </w:hyperlink>
      <w:r>
        <w:rPr>
          <w:i/>
          <w:iCs/>
          <w:color w:val="000000"/>
          <w:sz w:val="20"/>
        </w:rPr>
        <w:t>, 20/12/2018, published in the RLA, 08/01/2019, ID code 2019-00227</w:t>
      </w:r>
    </w:p>
    <w:p w14:paraId="78C61AAD" w14:textId="77777777" w:rsidR="002320DC" w:rsidRPr="000550CF" w:rsidRDefault="002320DC" w:rsidP="00F3494E">
      <w:pPr>
        <w:widowControl w:val="0"/>
        <w:ind w:firstLine="720"/>
        <w:jc w:val="both"/>
        <w:rPr>
          <w:szCs w:val="24"/>
          <w:lang w:eastAsia="lt-LT"/>
        </w:rPr>
      </w:pPr>
    </w:p>
    <w:p w14:paraId="207AA946" w14:textId="0A1CBFB6" w:rsidR="00ED3A7E" w:rsidRDefault="00ED3A7E" w:rsidP="00F3494E">
      <w:pPr>
        <w:widowControl w:val="0"/>
        <w:ind w:firstLine="720"/>
        <w:jc w:val="both"/>
        <w:rPr>
          <w:szCs w:val="24"/>
        </w:rPr>
      </w:pPr>
      <w:r>
        <w:t>4. Provisions of Article 21 of this Law shall apply mutatis mutandis to members or participants of regulated markers and multilateral trading facilities pursuant to points 1, 5, 9 and 10 of paragraph 5 of this Article, even if they are not required to be authorised under this Law.</w:t>
      </w:r>
    </w:p>
    <w:p w14:paraId="7B993A27" w14:textId="77777777" w:rsidR="002320DC" w:rsidRDefault="002320DC" w:rsidP="002320DC">
      <w:pPr>
        <w:spacing w:line="360" w:lineRule="atLeast"/>
        <w:ind w:firstLine="720"/>
        <w:jc w:val="both"/>
        <w:rPr>
          <w:color w:val="000000"/>
        </w:rPr>
      </w:pPr>
      <w:r>
        <w:rPr>
          <w:color w:val="000000"/>
        </w:rPr>
        <w:t>4</w:t>
      </w:r>
      <w:r>
        <w:rPr>
          <w:color w:val="000000"/>
          <w:vertAlign w:val="superscript"/>
        </w:rPr>
        <w:t>1</w:t>
      </w:r>
      <w:r>
        <w:rPr>
          <w:color w:val="000000"/>
        </w:rPr>
        <w:t>. Articles 89 and 89</w:t>
      </w:r>
      <w:r>
        <w:rPr>
          <w:color w:val="000000"/>
          <w:vertAlign w:val="superscript"/>
        </w:rPr>
        <w:t>1</w:t>
      </w:r>
      <w:r>
        <w:rPr>
          <w:color w:val="000000"/>
        </w:rPr>
        <w:t xml:space="preserve"> of this Law shall apply to account operators (including account operators who have neither a registered office nor headquarters in the European Union), when they provide shareholders or other account operators with services related to the shares of companies </w:t>
      </w:r>
      <w:r>
        <w:rPr>
          <w:color w:val="000000"/>
        </w:rPr>
        <w:lastRenderedPageBreak/>
        <w:t>which have their registered office in a Member State and whose shares are admitted to trading on a regulated market.</w:t>
      </w:r>
    </w:p>
    <w:p w14:paraId="4058F0F7" w14:textId="77777777" w:rsidR="002320DC" w:rsidRDefault="002320DC" w:rsidP="002320DC">
      <w:pPr>
        <w:rPr>
          <w:color w:val="000000"/>
        </w:rPr>
      </w:pPr>
      <w:r>
        <w:rPr>
          <w:i/>
          <w:iCs/>
          <w:color w:val="000000"/>
          <w:sz w:val="20"/>
        </w:rPr>
        <w:t>Supplemented with a paragraph to the Article:</w:t>
      </w:r>
    </w:p>
    <w:p w14:paraId="20C4FAB7" w14:textId="7A95C6B2" w:rsidR="002320DC" w:rsidRDefault="002320DC" w:rsidP="002320DC">
      <w:pPr>
        <w:jc w:val="both"/>
        <w:rPr>
          <w:color w:val="000000"/>
        </w:rPr>
      </w:pPr>
      <w:r>
        <w:rPr>
          <w:i/>
          <w:iCs/>
          <w:color w:val="000000"/>
          <w:sz w:val="20"/>
        </w:rPr>
        <w:t xml:space="preserve">No </w:t>
      </w:r>
      <w:hyperlink r:id="rId8" w:tgtFrame="_parent" w:history="1">
        <w:r>
          <w:rPr>
            <w:rStyle w:val="Hyperlink"/>
            <w:i/>
            <w:iCs/>
            <w:sz w:val="20"/>
          </w:rPr>
          <w:t>XIII-2252</w:t>
        </w:r>
      </w:hyperlink>
      <w:r>
        <w:rPr>
          <w:i/>
          <w:iCs/>
          <w:color w:val="000000"/>
          <w:sz w:val="20"/>
        </w:rPr>
        <w:t>, 27/06/2019, published in the RLA, 05/07/2019, ID code 2019-11172</w:t>
      </w:r>
    </w:p>
    <w:p w14:paraId="3FD30331" w14:textId="77777777" w:rsidR="002320DC" w:rsidRDefault="002320DC" w:rsidP="002320DC">
      <w:pPr>
        <w:spacing w:line="360" w:lineRule="atLeast"/>
        <w:ind w:firstLine="720"/>
        <w:jc w:val="both"/>
        <w:rPr>
          <w:color w:val="000000"/>
        </w:rPr>
      </w:pPr>
      <w:bookmarkStart w:id="0" w:name="part_74e8f09eef5f44d988f8407f720d7fb0"/>
      <w:bookmarkEnd w:id="0"/>
      <w:r>
        <w:rPr>
          <w:color w:val="000000"/>
        </w:rPr>
        <w:t>4</w:t>
      </w:r>
      <w:r>
        <w:rPr>
          <w:color w:val="000000"/>
          <w:vertAlign w:val="superscript"/>
        </w:rPr>
        <w:t>2</w:t>
      </w:r>
      <w:r>
        <w:rPr>
          <w:color w:val="000000"/>
        </w:rPr>
        <w:t>. Articles 41</w:t>
      </w:r>
      <w:r>
        <w:rPr>
          <w:color w:val="000000"/>
          <w:vertAlign w:val="superscript"/>
        </w:rPr>
        <w:t>1</w:t>
      </w:r>
      <w:r>
        <w:rPr>
          <w:color w:val="000000"/>
        </w:rPr>
        <w:t>, 41</w:t>
      </w:r>
      <w:r>
        <w:rPr>
          <w:color w:val="000000"/>
          <w:vertAlign w:val="superscript"/>
        </w:rPr>
        <w:t>2</w:t>
      </w:r>
      <w:r>
        <w:rPr>
          <w:color w:val="000000"/>
        </w:rPr>
        <w:t>, 41</w:t>
      </w:r>
      <w:r>
        <w:rPr>
          <w:color w:val="000000"/>
          <w:vertAlign w:val="superscript"/>
        </w:rPr>
        <w:t>3</w:t>
      </w:r>
      <w:r>
        <w:rPr>
          <w:color w:val="000000"/>
        </w:rPr>
        <w:t xml:space="preserve"> and 41</w:t>
      </w:r>
      <w:r>
        <w:rPr>
          <w:color w:val="000000"/>
          <w:vertAlign w:val="superscript"/>
        </w:rPr>
        <w:t>4</w:t>
      </w:r>
      <w:r>
        <w:rPr>
          <w:color w:val="000000"/>
        </w:rPr>
        <w:t xml:space="preserve"> of this Law shall apply to:</w:t>
      </w:r>
    </w:p>
    <w:p w14:paraId="1D2E37EF" w14:textId="77777777" w:rsidR="002320DC" w:rsidRDefault="002320DC" w:rsidP="002320DC">
      <w:pPr>
        <w:spacing w:line="360" w:lineRule="atLeast"/>
        <w:ind w:firstLine="720"/>
        <w:jc w:val="both"/>
        <w:rPr>
          <w:color w:val="000000"/>
        </w:rPr>
      </w:pPr>
      <w:bookmarkStart w:id="1" w:name="part_07eeb9b4a06549f5b1db1d7b962bbbd2"/>
      <w:bookmarkEnd w:id="1"/>
      <w:r>
        <w:rPr>
          <w:color w:val="000000"/>
        </w:rPr>
        <w:t xml:space="preserve">1) institutional investors, when they invest directly or through an asset manager in the shares of public companies traded on the regulated </w:t>
      </w:r>
      <w:proofErr w:type="gramStart"/>
      <w:r>
        <w:rPr>
          <w:color w:val="000000"/>
        </w:rPr>
        <w:t>market;</w:t>
      </w:r>
      <w:proofErr w:type="gramEnd"/>
    </w:p>
    <w:p w14:paraId="11248A18" w14:textId="77777777" w:rsidR="002320DC" w:rsidRDefault="002320DC" w:rsidP="002320DC">
      <w:pPr>
        <w:spacing w:line="360" w:lineRule="atLeast"/>
        <w:ind w:firstLine="720"/>
        <w:jc w:val="both"/>
        <w:rPr>
          <w:color w:val="000000"/>
        </w:rPr>
      </w:pPr>
      <w:bookmarkStart w:id="2" w:name="part_a102ae7ee7dc4a04b9352914ae6ea58c"/>
      <w:bookmarkEnd w:id="2"/>
      <w:r>
        <w:rPr>
          <w:color w:val="000000"/>
        </w:rPr>
        <w:t xml:space="preserve">2) asset managers, when they invest in shares specified in point 1 of this paragraph for the benefit of </w:t>
      </w:r>
      <w:proofErr w:type="gramStart"/>
      <w:r>
        <w:rPr>
          <w:color w:val="000000"/>
        </w:rPr>
        <w:t>investors;</w:t>
      </w:r>
      <w:proofErr w:type="gramEnd"/>
    </w:p>
    <w:p w14:paraId="41D26C06" w14:textId="77777777" w:rsidR="002320DC" w:rsidRDefault="002320DC" w:rsidP="002320DC">
      <w:pPr>
        <w:spacing w:line="360" w:lineRule="atLeast"/>
        <w:ind w:firstLine="720"/>
        <w:jc w:val="both"/>
        <w:rPr>
          <w:color w:val="000000"/>
        </w:rPr>
      </w:pPr>
      <w:bookmarkStart w:id="3" w:name="part_dff53bb3f87d4708b4b688aa594a300b"/>
      <w:bookmarkEnd w:id="3"/>
      <w:r>
        <w:rPr>
          <w:color w:val="000000"/>
        </w:rPr>
        <w:t>3) proxy advisors where they provide shareholders with services relating to shares in companies which have their registered office in a Member State and whose shares are admitted to trading on a regulated market.</w:t>
      </w:r>
    </w:p>
    <w:p w14:paraId="4086E996" w14:textId="77777777" w:rsidR="002320DC" w:rsidRDefault="002320DC" w:rsidP="002320DC">
      <w:pPr>
        <w:rPr>
          <w:color w:val="000000"/>
        </w:rPr>
      </w:pPr>
      <w:r>
        <w:rPr>
          <w:i/>
          <w:iCs/>
          <w:color w:val="000000"/>
          <w:sz w:val="20"/>
        </w:rPr>
        <w:t>Supplemented with a paragraph to the Article:</w:t>
      </w:r>
    </w:p>
    <w:p w14:paraId="50F15CB2" w14:textId="69CEDDD8" w:rsidR="002320DC" w:rsidRDefault="002320DC" w:rsidP="002320DC">
      <w:pPr>
        <w:jc w:val="both"/>
        <w:rPr>
          <w:color w:val="000000"/>
        </w:rPr>
      </w:pPr>
      <w:r>
        <w:rPr>
          <w:i/>
          <w:iCs/>
          <w:color w:val="000000"/>
          <w:sz w:val="20"/>
        </w:rPr>
        <w:t xml:space="preserve">No </w:t>
      </w:r>
      <w:hyperlink r:id="rId9" w:tgtFrame="_parent" w:history="1">
        <w:r>
          <w:rPr>
            <w:rStyle w:val="Hyperlink"/>
            <w:i/>
            <w:iCs/>
            <w:sz w:val="20"/>
          </w:rPr>
          <w:t>XIII-2252</w:t>
        </w:r>
      </w:hyperlink>
      <w:r>
        <w:rPr>
          <w:i/>
          <w:iCs/>
          <w:color w:val="000000"/>
          <w:sz w:val="20"/>
        </w:rPr>
        <w:t>, 27/06/2019, published in the RLA, 05/07/2019, ID code 2019-11172</w:t>
      </w:r>
    </w:p>
    <w:p w14:paraId="0BF35CF9" w14:textId="77777777" w:rsidR="002320DC" w:rsidRPr="000550CF" w:rsidRDefault="002320DC" w:rsidP="00F3494E">
      <w:pPr>
        <w:widowControl w:val="0"/>
        <w:ind w:firstLine="720"/>
        <w:jc w:val="both"/>
        <w:rPr>
          <w:szCs w:val="24"/>
          <w:lang w:eastAsia="lt-LT"/>
        </w:rPr>
      </w:pPr>
    </w:p>
    <w:p w14:paraId="1CBCAB1D" w14:textId="77777777" w:rsidR="00ED3A7E" w:rsidRPr="000550CF" w:rsidRDefault="00ED3A7E" w:rsidP="00F3494E">
      <w:pPr>
        <w:widowControl w:val="0"/>
        <w:ind w:firstLine="720"/>
        <w:jc w:val="both"/>
        <w:rPr>
          <w:szCs w:val="24"/>
        </w:rPr>
      </w:pPr>
      <w:r>
        <w:t>5. This Law, excluding the requirements established in Chapter IV, shall not apply to:</w:t>
      </w:r>
    </w:p>
    <w:p w14:paraId="0CFD325B" w14:textId="77777777" w:rsidR="00ED3A7E" w:rsidRPr="000550CF" w:rsidRDefault="00ED3A7E" w:rsidP="00F3494E">
      <w:pPr>
        <w:widowControl w:val="0"/>
        <w:ind w:firstLine="720"/>
        <w:jc w:val="both"/>
        <w:rPr>
          <w:szCs w:val="24"/>
        </w:rPr>
      </w:pPr>
      <w:r>
        <w:t xml:space="preserve">1) insurance undertakings or undertakings authorised to carry out the reinsurance or retrocession activities in the Republic of Lithuania as provided for in the Law of the Republic of Lithuania on </w:t>
      </w:r>
      <w:proofErr w:type="gramStart"/>
      <w:r>
        <w:t>Insurance;</w:t>
      </w:r>
      <w:proofErr w:type="gramEnd"/>
    </w:p>
    <w:p w14:paraId="68819716" w14:textId="77777777" w:rsidR="00ED3A7E" w:rsidRPr="000550CF" w:rsidRDefault="00ED3A7E" w:rsidP="00F3494E">
      <w:pPr>
        <w:widowControl w:val="0"/>
        <w:ind w:firstLine="720"/>
        <w:jc w:val="both"/>
        <w:rPr>
          <w:szCs w:val="24"/>
        </w:rPr>
      </w:pPr>
      <w:r>
        <w:t xml:space="preserve">2) persons providing investment services exclusively for their parent undertakings, for their subsidiaries or for other subsidiaries of their parent </w:t>
      </w:r>
      <w:proofErr w:type="gramStart"/>
      <w:r>
        <w:t>undertakings;</w:t>
      </w:r>
      <w:proofErr w:type="gramEnd"/>
    </w:p>
    <w:p w14:paraId="0252CC2A" w14:textId="76A1E221" w:rsidR="002320DC" w:rsidRPr="002320DC" w:rsidRDefault="00ED3A7E" w:rsidP="002320DC">
      <w:pPr>
        <w:spacing w:line="400" w:lineRule="atLeast"/>
        <w:ind w:firstLine="720"/>
        <w:jc w:val="both"/>
        <w:rPr>
          <w:color w:val="000000"/>
          <w:szCs w:val="24"/>
        </w:rPr>
      </w:pPr>
      <w:r>
        <w:t>3) persons providing investment services in an incidental manner in the course of a professional activity regulated by legal instruments or ethic frameworks that do not prohibit the provision of investment services under Article 4 of the Commission Delegated Regulation (EU) 2017/565 of 25 April 2016 supplementing Directive 2014/65/EU of the European Parliament and of the Council as regards organisational requirements and operating conditions for investment firms and defined terms for the purposes of that Directive, ;</w:t>
      </w:r>
    </w:p>
    <w:p w14:paraId="3D6F1989" w14:textId="77777777" w:rsidR="002320DC" w:rsidRDefault="002320DC" w:rsidP="002320DC">
      <w:pPr>
        <w:rPr>
          <w:color w:val="000000"/>
          <w:sz w:val="27"/>
          <w:szCs w:val="27"/>
        </w:rPr>
      </w:pPr>
      <w:r>
        <w:rPr>
          <w:i/>
          <w:iCs/>
          <w:color w:val="000000"/>
          <w:sz w:val="20"/>
        </w:rPr>
        <w:t>Amendments to the paragraph of the Article:</w:t>
      </w:r>
    </w:p>
    <w:p w14:paraId="6A33720A" w14:textId="77777777" w:rsidR="002320DC" w:rsidRDefault="002320DC" w:rsidP="002320DC">
      <w:pPr>
        <w:jc w:val="both"/>
        <w:rPr>
          <w:color w:val="000000"/>
          <w:sz w:val="27"/>
          <w:szCs w:val="27"/>
        </w:rPr>
      </w:pPr>
      <w:r>
        <w:rPr>
          <w:i/>
          <w:iCs/>
          <w:color w:val="000000"/>
          <w:sz w:val="20"/>
        </w:rPr>
        <w:t xml:space="preserve">No </w:t>
      </w:r>
      <w:hyperlink r:id="rId10" w:tgtFrame="_parent" w:history="1">
        <w:r>
          <w:rPr>
            <w:rStyle w:val="Hyperlink"/>
            <w:i/>
            <w:iCs/>
            <w:sz w:val="20"/>
          </w:rPr>
          <w:t>XIII-2974</w:t>
        </w:r>
      </w:hyperlink>
      <w:r>
        <w:rPr>
          <w:i/>
          <w:iCs/>
          <w:color w:val="000000"/>
          <w:sz w:val="20"/>
        </w:rPr>
        <w:t>, 21/05/2020, published in the RLA, 29/05/2020, ID code 2020-11674</w:t>
      </w:r>
    </w:p>
    <w:p w14:paraId="4E8E1284" w14:textId="52AACF3C" w:rsidR="00ED3A7E" w:rsidRPr="000550CF" w:rsidRDefault="00ED3A7E" w:rsidP="00F3494E">
      <w:pPr>
        <w:widowControl w:val="0"/>
        <w:ind w:firstLine="720"/>
        <w:jc w:val="both"/>
        <w:rPr>
          <w:szCs w:val="24"/>
          <w:lang w:eastAsia="lt-LT"/>
        </w:rPr>
      </w:pPr>
    </w:p>
    <w:p w14:paraId="3B691E88" w14:textId="77777777" w:rsidR="00ED3A7E" w:rsidRPr="000550CF" w:rsidRDefault="00ED3A7E" w:rsidP="00F3494E">
      <w:pPr>
        <w:widowControl w:val="0"/>
        <w:ind w:firstLine="720"/>
        <w:jc w:val="both"/>
        <w:rPr>
          <w:szCs w:val="24"/>
        </w:rPr>
      </w:pPr>
      <w:r>
        <w:t xml:space="preserve">4) persons dealing on own account in financial instruments and not providing any other investment services, as well as financial institutions engaged in exchange-traded activities that are deemed to be objectively measurable as reducing risks directly relating to the commercial activity or treasury financing activity and intragroup transactions. The exemption shall not apply to persons who deal or perform investment services in commodity derivatives or emission allowances (hereinafter – an emission allowance) or derivatives thereof, market makers, members of or participants in a regulated market or a multilateral trading facility or persons who have direct electronic access to a trading venue, apply a high-frequency algorithmic trading technique or deal on own account when executing client </w:t>
      </w:r>
      <w:proofErr w:type="gramStart"/>
      <w:r>
        <w:t>orders;</w:t>
      </w:r>
      <w:proofErr w:type="gramEnd"/>
    </w:p>
    <w:p w14:paraId="4AC5134F" w14:textId="77777777" w:rsidR="00ED3A7E" w:rsidRPr="000550CF" w:rsidRDefault="00ED3A7E" w:rsidP="00F3494E">
      <w:pPr>
        <w:widowControl w:val="0"/>
        <w:ind w:firstLine="720"/>
        <w:jc w:val="both"/>
        <w:rPr>
          <w:szCs w:val="24"/>
        </w:rPr>
      </w:pPr>
      <w:r>
        <w:t xml:space="preserve">5) operators with compliance obligations under the Law of the Republic of Lithuania on Financial Instruments for Climate Change Management who, when dealing in emission allowances, do not execute client orders and who do not provide any investment services or perform any investment activities other than dealing on own account, provided that those persons do not apply a high-frequency algorithmic trading </w:t>
      </w:r>
      <w:proofErr w:type="gramStart"/>
      <w:r>
        <w:t>technique;</w:t>
      </w:r>
      <w:proofErr w:type="gramEnd"/>
    </w:p>
    <w:p w14:paraId="0582979E" w14:textId="77777777" w:rsidR="00ED3A7E" w:rsidRPr="000550CF" w:rsidRDefault="00ED3A7E" w:rsidP="00F3494E">
      <w:pPr>
        <w:widowControl w:val="0"/>
        <w:ind w:firstLine="720"/>
        <w:jc w:val="both"/>
        <w:rPr>
          <w:szCs w:val="24"/>
        </w:rPr>
      </w:pPr>
      <w:r>
        <w:t xml:space="preserve">6) persons providing investment services consisting exclusively in the administration of their employee-participation </w:t>
      </w:r>
      <w:proofErr w:type="gramStart"/>
      <w:r>
        <w:t>schemes;</w:t>
      </w:r>
      <w:proofErr w:type="gramEnd"/>
    </w:p>
    <w:p w14:paraId="7DFF3AAC" w14:textId="77777777" w:rsidR="00ED3A7E" w:rsidRPr="000550CF" w:rsidRDefault="00ED3A7E" w:rsidP="00F3494E">
      <w:pPr>
        <w:widowControl w:val="0"/>
        <w:ind w:firstLine="720"/>
        <w:jc w:val="both"/>
        <w:rPr>
          <w:szCs w:val="24"/>
        </w:rPr>
      </w:pPr>
      <w:r>
        <w:t xml:space="preserve">7) persons providing investment services which only involve both the administration of employee-participation schemes and the provision of investment services exclusively for their parent </w:t>
      </w:r>
      <w:r>
        <w:lastRenderedPageBreak/>
        <w:t xml:space="preserve">undertakings, for their subsidiaries or for other subsidiaries of their parent </w:t>
      </w:r>
      <w:proofErr w:type="gramStart"/>
      <w:r>
        <w:t>undertakings;</w:t>
      </w:r>
      <w:proofErr w:type="gramEnd"/>
    </w:p>
    <w:p w14:paraId="437AD41E" w14:textId="77777777" w:rsidR="00ED3A7E" w:rsidRPr="000550CF" w:rsidRDefault="00ED3A7E" w:rsidP="00F3494E">
      <w:pPr>
        <w:widowControl w:val="0"/>
        <w:ind w:firstLine="720"/>
        <w:jc w:val="both"/>
        <w:rPr>
          <w:szCs w:val="24"/>
        </w:rPr>
      </w:pPr>
      <w:r>
        <w:t xml:space="preserve">8) the members of the </w:t>
      </w:r>
      <w:proofErr w:type="spellStart"/>
      <w:r>
        <w:t>ESCB</w:t>
      </w:r>
      <w:proofErr w:type="spellEnd"/>
      <w:r>
        <w:t xml:space="preserve"> and other national bodies performing similar functions in the Union, other public bodies charged with or intervening in the management of the public debt in the Union and international financial institutions established by two or more Member States which have the purpose of mobilising funding and providing financial assistance to the benefit of their members that are experiencing or threatened by financing </w:t>
      </w:r>
      <w:proofErr w:type="gramStart"/>
      <w:r>
        <w:t>problems;</w:t>
      </w:r>
      <w:proofErr w:type="gramEnd"/>
      <w:r>
        <w:t xml:space="preserve"> </w:t>
      </w:r>
    </w:p>
    <w:p w14:paraId="5A2851A6" w14:textId="77777777" w:rsidR="00ED3A7E" w:rsidRPr="000550CF" w:rsidRDefault="00ED3A7E" w:rsidP="00F3494E">
      <w:pPr>
        <w:widowControl w:val="0"/>
        <w:ind w:firstLine="720"/>
        <w:jc w:val="both"/>
        <w:rPr>
          <w:szCs w:val="24"/>
        </w:rPr>
      </w:pPr>
      <w:r>
        <w:t xml:space="preserve">9) collective investment undertakings and pension funds whether coordinated at Union level or not and the depositories and managers of such </w:t>
      </w:r>
      <w:proofErr w:type="gramStart"/>
      <w:r>
        <w:t>undertakings;</w:t>
      </w:r>
      <w:proofErr w:type="gramEnd"/>
    </w:p>
    <w:p w14:paraId="57D12379" w14:textId="77777777" w:rsidR="00ED3A7E" w:rsidRPr="000550CF" w:rsidRDefault="00ED3A7E" w:rsidP="00F3494E">
      <w:pPr>
        <w:widowControl w:val="0"/>
        <w:ind w:firstLine="720"/>
        <w:jc w:val="both"/>
        <w:rPr>
          <w:szCs w:val="24"/>
        </w:rPr>
      </w:pPr>
      <w:r>
        <w:t>10) persons, including market makers, dealing on own account in commodity derivatives or emission allowances or derivatives thereof, excluding persons who deal on own account when executing client orders or providing investment services, other than dealing on own account, in commodity derivatives or emission allowances or derivatives thereof to the customers or suppliers of their main business. Exemptions specified in this point shall apply provided all of the following indications exist:</w:t>
      </w:r>
    </w:p>
    <w:p w14:paraId="0D4AAE74" w14:textId="77777777" w:rsidR="00ED3A7E" w:rsidRPr="000550CF" w:rsidRDefault="00ED3A7E" w:rsidP="00F3494E">
      <w:pPr>
        <w:widowControl w:val="0"/>
        <w:ind w:firstLine="720"/>
        <w:jc w:val="both"/>
        <w:rPr>
          <w:szCs w:val="24"/>
        </w:rPr>
      </w:pPr>
      <w:r>
        <w:t xml:space="preserve">a) for each of those cases individually and on an aggregate basis this is an ancillary activity to their main business, when considered on a group basis, and that main business is not the provision of investment services or banking activities, or acting as a market-maker in relation to commodity derivatives; </w:t>
      </w:r>
    </w:p>
    <w:p w14:paraId="05135549" w14:textId="77777777" w:rsidR="00ED3A7E" w:rsidRPr="000550CF" w:rsidRDefault="00ED3A7E" w:rsidP="00F3494E">
      <w:pPr>
        <w:widowControl w:val="0"/>
        <w:ind w:firstLine="720"/>
        <w:jc w:val="both"/>
        <w:rPr>
          <w:szCs w:val="24"/>
        </w:rPr>
      </w:pPr>
      <w:r>
        <w:t xml:space="preserve">b) those persons do not apply a high-frequency algorithmic trading technique; </w:t>
      </w:r>
    </w:p>
    <w:p w14:paraId="412B21A6" w14:textId="653D8AFF" w:rsidR="002320DC" w:rsidRPr="002320DC" w:rsidRDefault="00ED3A7E" w:rsidP="002320DC">
      <w:pPr>
        <w:spacing w:line="360" w:lineRule="atLeast"/>
        <w:ind w:firstLine="720"/>
        <w:jc w:val="both"/>
        <w:rPr>
          <w:color w:val="000000"/>
          <w:szCs w:val="24"/>
        </w:rPr>
      </w:pPr>
      <w:r>
        <w:t xml:space="preserve">c) these persons, upon receipt of the request of the supervisory authority, shall notify the supervisory authority that they make use of the exemption provided for in this point, and provide justification as to why they classify their activities referred to herein as ancillary </w:t>
      </w:r>
      <w:proofErr w:type="gramStart"/>
      <w:r>
        <w:t>activities;</w:t>
      </w:r>
      <w:proofErr w:type="gramEnd"/>
    </w:p>
    <w:p w14:paraId="2EB6C528" w14:textId="77777777" w:rsidR="002320DC" w:rsidRDefault="002320DC" w:rsidP="002320DC">
      <w:pPr>
        <w:rPr>
          <w:color w:val="000000"/>
          <w:sz w:val="27"/>
          <w:szCs w:val="27"/>
        </w:rPr>
      </w:pPr>
      <w:r>
        <w:rPr>
          <w:i/>
          <w:iCs/>
          <w:color w:val="000000"/>
          <w:sz w:val="20"/>
        </w:rPr>
        <w:t xml:space="preserve">Amendments to the </w:t>
      </w:r>
      <w:proofErr w:type="gramStart"/>
      <w:r>
        <w:rPr>
          <w:i/>
          <w:iCs/>
          <w:color w:val="000000"/>
          <w:sz w:val="20"/>
        </w:rPr>
        <w:t>subparagraph :</w:t>
      </w:r>
      <w:proofErr w:type="gramEnd"/>
    </w:p>
    <w:p w14:paraId="34B66B65" w14:textId="77777777" w:rsidR="002320DC" w:rsidRDefault="002320DC" w:rsidP="002320DC">
      <w:pPr>
        <w:jc w:val="both"/>
        <w:rPr>
          <w:color w:val="000000"/>
          <w:sz w:val="27"/>
          <w:szCs w:val="27"/>
        </w:rPr>
      </w:pPr>
      <w:r>
        <w:rPr>
          <w:i/>
          <w:iCs/>
          <w:color w:val="000000"/>
          <w:sz w:val="20"/>
        </w:rPr>
        <w:t xml:space="preserve">No </w:t>
      </w:r>
      <w:hyperlink r:id="rId11" w:tgtFrame="_parent" w:history="1">
        <w:r>
          <w:rPr>
            <w:rStyle w:val="Hyperlink"/>
            <w:i/>
            <w:iCs/>
            <w:sz w:val="20"/>
          </w:rPr>
          <w:t>XIV-821</w:t>
        </w:r>
      </w:hyperlink>
      <w:r>
        <w:rPr>
          <w:i/>
          <w:iCs/>
          <w:color w:val="000000"/>
          <w:sz w:val="20"/>
        </w:rPr>
        <w:t>, 23/12/2021, published in the RLA, 30/12/2021, ID code 2021-27710</w:t>
      </w:r>
    </w:p>
    <w:p w14:paraId="51BB8D63" w14:textId="5542CFB1" w:rsidR="00ED3A7E" w:rsidRPr="000550CF" w:rsidRDefault="00ED3A7E" w:rsidP="00F3494E">
      <w:pPr>
        <w:widowControl w:val="0"/>
        <w:ind w:firstLine="720"/>
        <w:jc w:val="both"/>
        <w:rPr>
          <w:szCs w:val="24"/>
          <w:lang w:eastAsia="lt-LT"/>
        </w:rPr>
      </w:pPr>
    </w:p>
    <w:p w14:paraId="232BEDD3" w14:textId="77777777" w:rsidR="00ED3A7E" w:rsidRPr="000550CF" w:rsidRDefault="00ED3A7E" w:rsidP="00F3494E">
      <w:pPr>
        <w:ind w:firstLine="720"/>
        <w:jc w:val="both"/>
        <w:rPr>
          <w:szCs w:val="24"/>
        </w:rPr>
      </w:pPr>
      <w:r>
        <w:t xml:space="preserve">11) persons providing investment advice in the course of providing another professional activity not covered by this Directive provided that the provision of such advice is not specifically </w:t>
      </w:r>
      <w:proofErr w:type="gramStart"/>
      <w:r>
        <w:t>remunerated;</w:t>
      </w:r>
      <w:proofErr w:type="gramEnd"/>
    </w:p>
    <w:p w14:paraId="674F8FD7" w14:textId="77777777" w:rsidR="00ED3A7E" w:rsidRPr="000550CF" w:rsidRDefault="00ED3A7E" w:rsidP="00F3494E">
      <w:pPr>
        <w:widowControl w:val="0"/>
        <w:ind w:firstLine="720"/>
        <w:jc w:val="both"/>
        <w:rPr>
          <w:szCs w:val="24"/>
        </w:rPr>
      </w:pPr>
      <w:r>
        <w:t xml:space="preserve">12) associations set up by Danish and Finnish pension funds with the sole aim of managing the assets of pension funds that are members of those </w:t>
      </w:r>
      <w:proofErr w:type="gramStart"/>
      <w:r>
        <w:t>associations;</w:t>
      </w:r>
      <w:proofErr w:type="gramEnd"/>
    </w:p>
    <w:p w14:paraId="724E234A" w14:textId="77777777" w:rsidR="00ED3A7E" w:rsidRPr="000550CF" w:rsidRDefault="00ED3A7E" w:rsidP="00F3494E">
      <w:pPr>
        <w:widowControl w:val="0"/>
        <w:ind w:firstLine="720"/>
        <w:jc w:val="both"/>
        <w:rPr>
          <w:szCs w:val="24"/>
        </w:rPr>
      </w:pPr>
      <w:r>
        <w:t>13) ‘</w:t>
      </w:r>
      <w:proofErr w:type="spellStart"/>
      <w:r>
        <w:t>agenti</w:t>
      </w:r>
      <w:proofErr w:type="spellEnd"/>
      <w:r>
        <w:t xml:space="preserve"> di </w:t>
      </w:r>
      <w:proofErr w:type="spellStart"/>
      <w:r>
        <w:t>cambio</w:t>
      </w:r>
      <w:proofErr w:type="spellEnd"/>
      <w:r>
        <w:t xml:space="preserve">’ whose activities and functions are governed by Article 201 of Italian Legislative Decree No 58 of 24 February </w:t>
      </w:r>
      <w:proofErr w:type="gramStart"/>
      <w:r>
        <w:t>1998;</w:t>
      </w:r>
      <w:proofErr w:type="gramEnd"/>
    </w:p>
    <w:p w14:paraId="35DEA9FA" w14:textId="16BC3A4E" w:rsidR="002320DC" w:rsidRPr="002320DC" w:rsidRDefault="00ED3A7E" w:rsidP="002320DC">
      <w:pPr>
        <w:spacing w:line="400" w:lineRule="atLeast"/>
        <w:ind w:firstLine="720"/>
        <w:jc w:val="both"/>
        <w:rPr>
          <w:color w:val="000000"/>
          <w:szCs w:val="24"/>
        </w:rPr>
      </w:pPr>
      <w:r>
        <w:t>14) transmission system operators as defined in the Law of the Republic of Lithuania on Electricity and natural gas transmission system operators as defined in the Law of the Republic of Lithuania on Natural Gas (hereinafter – a transmission system operator) performing the activities of transmission system operators specified in these laws, under Regulation (EC) No 714/2009 of the European Parliament and of the Council of 13 July 2009 on conditions for access to the network for cross-border exchanges in electricity and repealing Regulation (EC) No 1228/2003, under Regulation (EC) No 715/2009 of the European Parliament and of the Council on conditions for access to the natural gas transmission networks and repealing Regulation (EC) No 1775/2005, or under network codes or guidelines adopted in the implementation of the provisions of the Regulations referred herein, as well as balancing energy suppliers, distribution network and distribution system operators, liquefied natural gas system operators and administrators of funds of public service obligations.</w:t>
      </w:r>
      <w:r>
        <w:rPr>
          <w:color w:val="000000"/>
          <w:szCs w:val="24"/>
        </w:rPr>
        <w:t xml:space="preserve"> The exemption established in this point shall only apply to persons who seek to perform the assigned functions specified in this point, who carry out investment activities or provide investment services </w:t>
      </w:r>
      <w:r>
        <w:rPr>
          <w:color w:val="000000"/>
          <w:szCs w:val="24"/>
        </w:rPr>
        <w:lastRenderedPageBreak/>
        <w:t xml:space="preserve">related to commodity derivatives.  The exemption shall not apply to secondary market operators, including operators of secondary trading platforms where financial transmission rights are </w:t>
      </w:r>
      <w:proofErr w:type="gramStart"/>
      <w:r>
        <w:rPr>
          <w:color w:val="000000"/>
          <w:szCs w:val="24"/>
        </w:rPr>
        <w:t>traded;</w:t>
      </w:r>
      <w:proofErr w:type="gramEnd"/>
    </w:p>
    <w:p w14:paraId="3A2B9AB0" w14:textId="77777777" w:rsidR="002320DC" w:rsidRDefault="002320DC" w:rsidP="002320DC">
      <w:pPr>
        <w:rPr>
          <w:color w:val="000000"/>
          <w:sz w:val="27"/>
          <w:szCs w:val="27"/>
        </w:rPr>
      </w:pPr>
      <w:r>
        <w:rPr>
          <w:i/>
          <w:iCs/>
          <w:color w:val="000000"/>
          <w:sz w:val="20"/>
        </w:rPr>
        <w:t>Amendments to the paragraph of the Article:</w:t>
      </w:r>
    </w:p>
    <w:p w14:paraId="35DA14A0" w14:textId="77777777" w:rsidR="002320DC" w:rsidRDefault="002320DC" w:rsidP="002320DC">
      <w:pPr>
        <w:jc w:val="both"/>
        <w:rPr>
          <w:color w:val="000000"/>
          <w:sz w:val="27"/>
          <w:szCs w:val="27"/>
        </w:rPr>
      </w:pPr>
      <w:r>
        <w:rPr>
          <w:i/>
          <w:iCs/>
          <w:color w:val="000000"/>
          <w:sz w:val="20"/>
        </w:rPr>
        <w:t xml:space="preserve">No </w:t>
      </w:r>
      <w:hyperlink r:id="rId12" w:tgtFrame="_parent" w:history="1">
        <w:r>
          <w:rPr>
            <w:rStyle w:val="Hyperlink"/>
            <w:i/>
            <w:iCs/>
            <w:sz w:val="20"/>
          </w:rPr>
          <w:t>XIII-2974</w:t>
        </w:r>
      </w:hyperlink>
      <w:r>
        <w:rPr>
          <w:i/>
          <w:iCs/>
          <w:color w:val="000000"/>
          <w:sz w:val="20"/>
        </w:rPr>
        <w:t>, 21/05/2020, published in the RLA, 29/05/2020, ID code 2020-11674</w:t>
      </w:r>
    </w:p>
    <w:p w14:paraId="3AACB536" w14:textId="0A560AEE" w:rsidR="00ED3A7E" w:rsidRPr="000550CF" w:rsidRDefault="00ED3A7E" w:rsidP="00F3494E">
      <w:pPr>
        <w:widowControl w:val="0"/>
        <w:ind w:firstLine="720"/>
        <w:jc w:val="both"/>
        <w:rPr>
          <w:szCs w:val="24"/>
          <w:lang w:eastAsia="lt-LT"/>
        </w:rPr>
      </w:pPr>
    </w:p>
    <w:p w14:paraId="0EB09EAE" w14:textId="77777777" w:rsidR="00ED3A7E" w:rsidRPr="000550CF" w:rsidRDefault="00ED3A7E" w:rsidP="00F3494E">
      <w:pPr>
        <w:widowControl w:val="0"/>
        <w:ind w:firstLine="720"/>
        <w:jc w:val="both"/>
        <w:rPr>
          <w:szCs w:val="24"/>
        </w:rPr>
      </w:pPr>
      <w:r>
        <w:t>15) central securities depositaries and other entities performing equivalent functions in Member States that are regulated as such under the European Union law to the extent that they are regulated under that European Union law.</w:t>
      </w:r>
    </w:p>
    <w:p w14:paraId="28C42652" w14:textId="4A3DD51F" w:rsidR="00ED3A7E" w:rsidRDefault="00ED3A7E" w:rsidP="00F3494E">
      <w:pPr>
        <w:widowControl w:val="0"/>
        <w:ind w:firstLine="720"/>
        <w:jc w:val="both"/>
        <w:rPr>
          <w:szCs w:val="24"/>
        </w:rPr>
      </w:pPr>
      <w:r>
        <w:t>6. Provisions of this Law shall not apply to the persons referred to in points 1, 9 and 10 of paragraph 5 of this Article regardless of whether they meet the conditions specified in the second sentence of point 4 of paragraph 5 of this Article.</w:t>
      </w:r>
    </w:p>
    <w:p w14:paraId="1B5AE73F" w14:textId="77777777" w:rsidR="002320DC" w:rsidRDefault="002320DC" w:rsidP="002320DC">
      <w:pPr>
        <w:spacing w:line="360" w:lineRule="atLeast"/>
        <w:ind w:firstLine="720"/>
        <w:jc w:val="both"/>
        <w:rPr>
          <w:color w:val="000000"/>
        </w:rPr>
      </w:pPr>
      <w:r>
        <w:rPr>
          <w:color w:val="000000"/>
        </w:rPr>
        <w:t>6</w:t>
      </w:r>
      <w:r>
        <w:rPr>
          <w:color w:val="000000"/>
          <w:vertAlign w:val="superscript"/>
        </w:rPr>
        <w:t>1</w:t>
      </w:r>
      <w:r>
        <w:rPr>
          <w:color w:val="000000"/>
        </w:rPr>
        <w:t>. Articles 9(8) to (10), 13, 14, 14</w:t>
      </w:r>
      <w:r>
        <w:rPr>
          <w:color w:val="000000"/>
          <w:vertAlign w:val="superscript"/>
        </w:rPr>
        <w:t>1</w:t>
      </w:r>
      <w:r>
        <w:rPr>
          <w:color w:val="000000"/>
        </w:rPr>
        <w:t>, 14</w:t>
      </w:r>
      <w:r>
        <w:rPr>
          <w:color w:val="000000"/>
          <w:vertAlign w:val="superscript"/>
        </w:rPr>
        <w:t>2</w:t>
      </w:r>
      <w:r>
        <w:rPr>
          <w:color w:val="000000"/>
        </w:rPr>
        <w:t>, 15, 15</w:t>
      </w:r>
      <w:r>
        <w:rPr>
          <w:color w:val="000000"/>
          <w:vertAlign w:val="superscript"/>
        </w:rPr>
        <w:t>1</w:t>
      </w:r>
      <w:r>
        <w:rPr>
          <w:color w:val="000000"/>
        </w:rPr>
        <w:t>, 15</w:t>
      </w:r>
      <w:r>
        <w:rPr>
          <w:color w:val="000000"/>
          <w:vertAlign w:val="superscript"/>
        </w:rPr>
        <w:t>2</w:t>
      </w:r>
      <w:r>
        <w:rPr>
          <w:color w:val="000000"/>
        </w:rPr>
        <w:t>, 15</w:t>
      </w:r>
      <w:r>
        <w:rPr>
          <w:color w:val="000000"/>
          <w:vertAlign w:val="superscript"/>
        </w:rPr>
        <w:t>3</w:t>
      </w:r>
      <w:r>
        <w:rPr>
          <w:color w:val="000000"/>
        </w:rPr>
        <w:t>, 15</w:t>
      </w:r>
      <w:r>
        <w:rPr>
          <w:color w:val="000000"/>
          <w:vertAlign w:val="superscript"/>
        </w:rPr>
        <w:t>4</w:t>
      </w:r>
      <w:r>
        <w:rPr>
          <w:color w:val="000000"/>
        </w:rPr>
        <w:t>, 15</w:t>
      </w:r>
      <w:r>
        <w:rPr>
          <w:color w:val="000000"/>
          <w:vertAlign w:val="superscript"/>
        </w:rPr>
        <w:t>5</w:t>
      </w:r>
      <w:r>
        <w:rPr>
          <w:color w:val="000000"/>
        </w:rPr>
        <w:t>, 15</w:t>
      </w:r>
      <w:r>
        <w:rPr>
          <w:color w:val="000000"/>
          <w:vertAlign w:val="superscript"/>
        </w:rPr>
        <w:t>6</w:t>
      </w:r>
      <w:r>
        <w:rPr>
          <w:color w:val="000000"/>
        </w:rPr>
        <w:t>, 44</w:t>
      </w:r>
      <w:r>
        <w:rPr>
          <w:color w:val="000000"/>
          <w:vertAlign w:val="superscript"/>
        </w:rPr>
        <w:t>1</w:t>
      </w:r>
      <w:r>
        <w:rPr>
          <w:color w:val="000000"/>
        </w:rPr>
        <w:t>, 50(3) and (4), and Articles 97(7) to (12) of this Law shall not apply to financial brokerage firms specified in Paragraphs 2 and 5 of Article 1 of Regulation (EU) 2019/2033. Such financial brokerage firms shall mutatis mutandis be subject to prudential requirements specified in the sixth paragraph of Article 1(5) of Regulation (EU) 2019/2033 and applied to credit institutions.</w:t>
      </w:r>
    </w:p>
    <w:p w14:paraId="09660A45" w14:textId="77777777" w:rsidR="002320DC" w:rsidRDefault="002320DC" w:rsidP="002320DC">
      <w:pPr>
        <w:rPr>
          <w:color w:val="000000"/>
        </w:rPr>
      </w:pPr>
      <w:r>
        <w:rPr>
          <w:i/>
          <w:iCs/>
          <w:color w:val="000000"/>
          <w:sz w:val="20"/>
        </w:rPr>
        <w:t>Supplemented with the paragraph to the Article:</w:t>
      </w:r>
    </w:p>
    <w:p w14:paraId="0CFD2555" w14:textId="42085D2A" w:rsidR="002320DC" w:rsidRDefault="002320DC" w:rsidP="002320DC">
      <w:pPr>
        <w:jc w:val="both"/>
        <w:rPr>
          <w:color w:val="000000"/>
        </w:rPr>
      </w:pPr>
      <w:r>
        <w:rPr>
          <w:i/>
          <w:iCs/>
          <w:color w:val="000000"/>
          <w:sz w:val="20"/>
        </w:rPr>
        <w:t xml:space="preserve">No </w:t>
      </w:r>
      <w:hyperlink r:id="rId13" w:tgtFrame="_parent" w:history="1">
        <w:r>
          <w:rPr>
            <w:rStyle w:val="Hyperlink"/>
            <w:i/>
            <w:iCs/>
            <w:sz w:val="20"/>
          </w:rPr>
          <w:t>XIV-821</w:t>
        </w:r>
      </w:hyperlink>
      <w:r>
        <w:rPr>
          <w:i/>
          <w:iCs/>
          <w:color w:val="000000"/>
          <w:sz w:val="20"/>
        </w:rPr>
        <w:t>, 23/12/2021, published in the RLA, 30/12/2021, ID code 2021-27710</w:t>
      </w:r>
    </w:p>
    <w:p w14:paraId="668DE2A0" w14:textId="77777777" w:rsidR="002320DC" w:rsidRDefault="002320DC" w:rsidP="002320DC">
      <w:pPr>
        <w:spacing w:line="360" w:lineRule="atLeast"/>
        <w:ind w:firstLine="720"/>
        <w:jc w:val="both"/>
        <w:rPr>
          <w:color w:val="000000"/>
        </w:rPr>
      </w:pPr>
      <w:bookmarkStart w:id="4" w:name="part_58a5c6f37fd440498beafd84edf4eef3"/>
      <w:bookmarkEnd w:id="4"/>
      <w:r>
        <w:rPr>
          <w:color w:val="000000"/>
        </w:rPr>
        <w:t>6</w:t>
      </w:r>
      <w:r>
        <w:rPr>
          <w:color w:val="000000"/>
          <w:vertAlign w:val="superscript"/>
        </w:rPr>
        <w:t>2</w:t>
      </w:r>
      <w:r>
        <w:rPr>
          <w:color w:val="000000"/>
        </w:rPr>
        <w:t>. Articles 9(8) to (10), 44</w:t>
      </w:r>
      <w:r>
        <w:rPr>
          <w:color w:val="000000"/>
          <w:vertAlign w:val="superscript"/>
        </w:rPr>
        <w:t>1</w:t>
      </w:r>
      <w:r>
        <w:rPr>
          <w:color w:val="000000"/>
        </w:rPr>
        <w:t>, 15</w:t>
      </w:r>
      <w:r>
        <w:rPr>
          <w:color w:val="000000"/>
          <w:vertAlign w:val="superscript"/>
        </w:rPr>
        <w:t>4</w:t>
      </w:r>
      <w:r>
        <w:rPr>
          <w:color w:val="000000"/>
        </w:rPr>
        <w:t>(7) to (10), 15</w:t>
      </w:r>
      <w:r>
        <w:rPr>
          <w:color w:val="000000"/>
          <w:vertAlign w:val="superscript"/>
        </w:rPr>
        <w:t>5</w:t>
      </w:r>
      <w:r>
        <w:rPr>
          <w:color w:val="000000"/>
        </w:rPr>
        <w:t> and 15</w:t>
      </w:r>
      <w:r>
        <w:rPr>
          <w:color w:val="000000"/>
          <w:vertAlign w:val="superscript"/>
        </w:rPr>
        <w:t>6</w:t>
      </w:r>
      <w:r>
        <w:rPr>
          <w:color w:val="000000"/>
        </w:rPr>
        <w:t xml:space="preserve"> of this Law shall not apply to small and non-interconnected financial brokerage firms.</w:t>
      </w:r>
    </w:p>
    <w:p w14:paraId="6C3C0F88" w14:textId="77777777" w:rsidR="002320DC" w:rsidRDefault="002320DC" w:rsidP="002320DC">
      <w:pPr>
        <w:rPr>
          <w:color w:val="000000"/>
        </w:rPr>
      </w:pPr>
      <w:r>
        <w:rPr>
          <w:i/>
          <w:iCs/>
          <w:color w:val="000000"/>
          <w:sz w:val="20"/>
        </w:rPr>
        <w:t>Supplemented with the paragraph to the Article:</w:t>
      </w:r>
    </w:p>
    <w:p w14:paraId="572CB477" w14:textId="77777777" w:rsidR="002320DC" w:rsidRDefault="002320DC" w:rsidP="002320DC">
      <w:pPr>
        <w:jc w:val="both"/>
        <w:rPr>
          <w:color w:val="000000"/>
        </w:rPr>
      </w:pPr>
      <w:r>
        <w:rPr>
          <w:i/>
          <w:iCs/>
          <w:color w:val="000000"/>
          <w:sz w:val="20"/>
        </w:rPr>
        <w:t xml:space="preserve">No </w:t>
      </w:r>
      <w:hyperlink r:id="rId14" w:tgtFrame="_parent" w:history="1">
        <w:r>
          <w:rPr>
            <w:rStyle w:val="Hyperlink"/>
            <w:i/>
            <w:iCs/>
            <w:sz w:val="20"/>
          </w:rPr>
          <w:t>XIV-821</w:t>
        </w:r>
      </w:hyperlink>
      <w:r>
        <w:rPr>
          <w:i/>
          <w:iCs/>
          <w:color w:val="000000"/>
          <w:sz w:val="20"/>
        </w:rPr>
        <w:t>, 23/12/2021, published in the RLA, 30/12/2021, ID code 2021-27710</w:t>
      </w:r>
    </w:p>
    <w:p w14:paraId="4125EDD0" w14:textId="77777777" w:rsidR="002320DC" w:rsidRPr="000550CF" w:rsidRDefault="002320DC" w:rsidP="00F3494E">
      <w:pPr>
        <w:widowControl w:val="0"/>
        <w:ind w:firstLine="720"/>
        <w:jc w:val="both"/>
        <w:rPr>
          <w:szCs w:val="24"/>
          <w:lang w:eastAsia="lt-LT"/>
        </w:rPr>
      </w:pPr>
    </w:p>
    <w:p w14:paraId="07FED89B" w14:textId="77777777" w:rsidR="00ED3A7E" w:rsidRPr="000550CF" w:rsidRDefault="00ED3A7E" w:rsidP="00F3494E">
      <w:pPr>
        <w:ind w:firstLine="720"/>
        <w:jc w:val="both"/>
      </w:pPr>
      <w:r>
        <w:t xml:space="preserve">7.   The rights conferred by this Directive shall not extend to the provision of services as counterparty in transactions carried out by public bodies dealing with public debt or by members of the </w:t>
      </w:r>
      <w:proofErr w:type="spellStart"/>
      <w:r>
        <w:t>ESCB</w:t>
      </w:r>
      <w:proofErr w:type="spellEnd"/>
      <w:r>
        <w:t xml:space="preserve"> performing their tasks as provided for by the </w:t>
      </w:r>
      <w:proofErr w:type="spellStart"/>
      <w:r>
        <w:t>TFEU</w:t>
      </w:r>
      <w:proofErr w:type="spellEnd"/>
      <w:r>
        <w:t xml:space="preserve"> and by Protocol No 4 on the Statute of the European System of Central Banks and of the European Central Bank or performing equivalent functions under national provisions.</w:t>
      </w:r>
    </w:p>
    <w:p w14:paraId="56C86A5B" w14:textId="77777777" w:rsidR="00ED3A7E" w:rsidRPr="000550CF" w:rsidRDefault="00ED3A7E" w:rsidP="00F3494E">
      <w:pPr>
        <w:widowControl w:val="0"/>
        <w:ind w:firstLine="720"/>
        <w:jc w:val="both"/>
        <w:rPr>
          <w:szCs w:val="24"/>
        </w:rPr>
      </w:pPr>
      <w:r>
        <w:t>8. All multilateral systems shall operate either in accordance with the provisions of Chapter II of this Law concerning activities of multilateral trading facilities or organised trading facilities or the provisions of Chapter III of this Law concerning regulated market activities.</w:t>
      </w:r>
    </w:p>
    <w:p w14:paraId="61A4F9CD" w14:textId="77777777" w:rsidR="00ED3A7E" w:rsidRPr="000550CF" w:rsidRDefault="00ED3A7E" w:rsidP="00F3494E">
      <w:pPr>
        <w:widowControl w:val="0"/>
        <w:ind w:firstLine="720"/>
        <w:jc w:val="both"/>
        <w:rPr>
          <w:szCs w:val="24"/>
        </w:rPr>
      </w:pPr>
      <w:r>
        <w:t xml:space="preserve">9. Financial brokerage firms and credit institutions which, on an organised, frequent, systematic and substantial basis, deal on own account when executing client orders outside a regulated market, a </w:t>
      </w:r>
      <w:proofErr w:type="gramStart"/>
      <w:r>
        <w:t>multilateral trading facilities</w:t>
      </w:r>
      <w:proofErr w:type="gramEnd"/>
      <w:r>
        <w:t xml:space="preserve"> or an organised trading facilities shall operate in accordance with requirements of Title III of Regulation (EU) No 600/2014.</w:t>
      </w:r>
    </w:p>
    <w:p w14:paraId="11101806" w14:textId="77777777" w:rsidR="00ED3A7E" w:rsidRPr="000550CF" w:rsidRDefault="00ED3A7E" w:rsidP="00F3494E">
      <w:pPr>
        <w:widowControl w:val="0"/>
        <w:ind w:firstLine="720"/>
        <w:jc w:val="both"/>
        <w:rPr>
          <w:szCs w:val="24"/>
        </w:rPr>
      </w:pPr>
      <w:r>
        <w:t xml:space="preserve">10. Without prejudice to requirements of Articles 23 and 28 of Regulation (EU) No 600/2014, all transactions in financial instruments as referred to in paragraphs 8 and 9 of this Article which are not concluded on multilateral systems or not by financial brokerage firms acting as systematic </w:t>
      </w:r>
      <w:proofErr w:type="spellStart"/>
      <w:r>
        <w:t>internalisers</w:t>
      </w:r>
      <w:proofErr w:type="spellEnd"/>
      <w:r>
        <w:t xml:space="preserve"> shall comply with the relevant provisions of Title III of Regulation (EU) No 600/2014.</w:t>
      </w:r>
    </w:p>
    <w:p w14:paraId="3C39322F" w14:textId="77777777" w:rsidR="002320DC" w:rsidRDefault="002320DC" w:rsidP="002320DC">
      <w:pPr>
        <w:spacing w:line="360" w:lineRule="atLeast"/>
        <w:ind w:firstLine="720"/>
        <w:jc w:val="both"/>
        <w:rPr>
          <w:color w:val="000000"/>
        </w:rPr>
      </w:pPr>
      <w:r>
        <w:rPr>
          <w:color w:val="000000"/>
        </w:rPr>
        <w:t>10</w:t>
      </w:r>
      <w:r>
        <w:rPr>
          <w:color w:val="000000"/>
          <w:vertAlign w:val="superscript"/>
        </w:rPr>
        <w:t>1</w:t>
      </w:r>
      <w:r>
        <w:rPr>
          <w:color w:val="000000"/>
        </w:rPr>
        <w:t>. Approved publication arrangements and approved reporting mechanisms which, in accordance with Article 2(3) of Regulation (EU) No 600/2014, are subject to the exemption from the supervision of the European Securities and Markets Authority and which have a license from the supervisory authority that entitles them to provide transaction information services, shall be required to comply with the operating conditions set forth in this Law and Regulation (EU) No. 600/2014.</w:t>
      </w:r>
    </w:p>
    <w:p w14:paraId="79470399" w14:textId="77777777" w:rsidR="002320DC" w:rsidRDefault="002320DC" w:rsidP="002320DC">
      <w:pPr>
        <w:rPr>
          <w:color w:val="000000"/>
        </w:rPr>
      </w:pPr>
      <w:r>
        <w:rPr>
          <w:i/>
          <w:iCs/>
          <w:color w:val="000000"/>
          <w:sz w:val="20"/>
        </w:rPr>
        <w:t>Supplemented with the paragraph to the Article:</w:t>
      </w:r>
    </w:p>
    <w:p w14:paraId="2BAF8F30" w14:textId="247A5F81" w:rsidR="002320DC" w:rsidRDefault="002320DC" w:rsidP="002320DC">
      <w:pPr>
        <w:jc w:val="both"/>
        <w:rPr>
          <w:color w:val="000000"/>
        </w:rPr>
      </w:pPr>
      <w:r>
        <w:rPr>
          <w:i/>
          <w:iCs/>
          <w:color w:val="000000"/>
          <w:sz w:val="20"/>
        </w:rPr>
        <w:t xml:space="preserve">No </w:t>
      </w:r>
      <w:hyperlink r:id="rId15" w:tgtFrame="_parent" w:history="1">
        <w:r>
          <w:rPr>
            <w:rStyle w:val="Hyperlink"/>
            <w:i/>
            <w:iCs/>
            <w:sz w:val="20"/>
          </w:rPr>
          <w:t>XIV-821</w:t>
        </w:r>
      </w:hyperlink>
      <w:r>
        <w:rPr>
          <w:i/>
          <w:iCs/>
          <w:color w:val="000000"/>
          <w:sz w:val="20"/>
        </w:rPr>
        <w:t>, 23/12/2021, published in the RLA, 30/12/2021, ID code 2021-27710</w:t>
      </w:r>
    </w:p>
    <w:p w14:paraId="0914E76D" w14:textId="77777777" w:rsidR="002320DC" w:rsidRDefault="002320DC" w:rsidP="002320DC">
      <w:pPr>
        <w:spacing w:line="360" w:lineRule="atLeast"/>
        <w:ind w:firstLine="720"/>
        <w:jc w:val="both"/>
        <w:rPr>
          <w:color w:val="000000"/>
        </w:rPr>
      </w:pPr>
      <w:bookmarkStart w:id="5" w:name="part_2781143376394094a7b90d9aa782c58c"/>
      <w:bookmarkEnd w:id="5"/>
      <w:r>
        <w:rPr>
          <w:color w:val="000000"/>
        </w:rPr>
        <w:lastRenderedPageBreak/>
        <w:t>10</w:t>
      </w:r>
      <w:r>
        <w:rPr>
          <w:color w:val="000000"/>
          <w:vertAlign w:val="superscript"/>
        </w:rPr>
        <w:t>2</w:t>
      </w:r>
      <w:r>
        <w:rPr>
          <w:color w:val="000000"/>
        </w:rPr>
        <w:t xml:space="preserve">. This Law, </w:t>
      </w:r>
      <w:proofErr w:type="gramStart"/>
      <w:r>
        <w:rPr>
          <w:color w:val="000000"/>
        </w:rPr>
        <w:t>with the exception of</w:t>
      </w:r>
      <w:proofErr w:type="gramEnd"/>
      <w:r>
        <w:rPr>
          <w:color w:val="000000"/>
        </w:rPr>
        <w:t xml:space="preserve"> the provisions of the first and fourth sections of Chapter VII of this Law, shall not apply to crowdfunding service providers as defined in Article 2(1)(e) of Regulation (EU) 2020/1503.</w:t>
      </w:r>
    </w:p>
    <w:p w14:paraId="01FF02EA" w14:textId="77777777" w:rsidR="002320DC" w:rsidRDefault="002320DC" w:rsidP="002320DC">
      <w:pPr>
        <w:rPr>
          <w:color w:val="000000"/>
        </w:rPr>
      </w:pPr>
      <w:r>
        <w:rPr>
          <w:i/>
          <w:iCs/>
          <w:color w:val="000000"/>
          <w:sz w:val="20"/>
        </w:rPr>
        <w:t>Supplemented with the paragraph to the Article:</w:t>
      </w:r>
    </w:p>
    <w:p w14:paraId="64D71D25" w14:textId="182C4BDA" w:rsidR="002320DC" w:rsidRDefault="002320DC" w:rsidP="002320DC">
      <w:pPr>
        <w:jc w:val="both"/>
        <w:rPr>
          <w:color w:val="000000"/>
        </w:rPr>
      </w:pPr>
      <w:r>
        <w:rPr>
          <w:i/>
          <w:iCs/>
          <w:color w:val="000000"/>
          <w:sz w:val="20"/>
        </w:rPr>
        <w:t xml:space="preserve">No </w:t>
      </w:r>
      <w:hyperlink r:id="rId16" w:tgtFrame="_parent" w:history="1">
        <w:r>
          <w:rPr>
            <w:rStyle w:val="Hyperlink"/>
            <w:i/>
            <w:iCs/>
            <w:sz w:val="20"/>
          </w:rPr>
          <w:t>XIV-821</w:t>
        </w:r>
      </w:hyperlink>
      <w:r>
        <w:rPr>
          <w:i/>
          <w:iCs/>
          <w:color w:val="000000"/>
          <w:sz w:val="20"/>
        </w:rPr>
        <w:t>, 23/12/2021, published in the RLA, 30/12/2021, ID code 2021-27710</w:t>
      </w:r>
    </w:p>
    <w:p w14:paraId="2B85F720" w14:textId="77777777" w:rsidR="002320DC" w:rsidRDefault="002320DC" w:rsidP="002320DC">
      <w:pPr>
        <w:spacing w:line="360" w:lineRule="atLeast"/>
        <w:ind w:firstLine="720"/>
        <w:jc w:val="both"/>
        <w:rPr>
          <w:color w:val="000000"/>
        </w:rPr>
      </w:pPr>
      <w:bookmarkStart w:id="6" w:name="part_fa46f93dcdee41dfa68f2f4b8c252e17"/>
      <w:bookmarkEnd w:id="6"/>
      <w:r>
        <w:rPr>
          <w:color w:val="000000"/>
        </w:rPr>
        <w:t>11. Financial brokerage firms, as well as central counterparties, shall be subject to the provisions of the Republic of Lithuania Law on Companies to the extent that this Law does not provide otherwise.</w:t>
      </w:r>
    </w:p>
    <w:p w14:paraId="4D664291" w14:textId="77777777" w:rsidR="002320DC" w:rsidRDefault="002320DC" w:rsidP="002320DC">
      <w:pPr>
        <w:rPr>
          <w:color w:val="000000"/>
        </w:rPr>
      </w:pPr>
      <w:r>
        <w:rPr>
          <w:i/>
          <w:iCs/>
          <w:color w:val="000000"/>
          <w:sz w:val="20"/>
        </w:rPr>
        <w:t>Amendments to the paragraph of the Article:</w:t>
      </w:r>
    </w:p>
    <w:p w14:paraId="67149A80" w14:textId="77777777" w:rsidR="002320DC" w:rsidRDefault="002320DC" w:rsidP="002320DC">
      <w:pPr>
        <w:jc w:val="both"/>
        <w:rPr>
          <w:color w:val="000000"/>
        </w:rPr>
      </w:pPr>
      <w:r>
        <w:rPr>
          <w:i/>
          <w:iCs/>
          <w:color w:val="000000"/>
          <w:sz w:val="20"/>
        </w:rPr>
        <w:t xml:space="preserve">No </w:t>
      </w:r>
      <w:hyperlink r:id="rId17" w:tgtFrame="_parent" w:history="1">
        <w:r>
          <w:rPr>
            <w:rStyle w:val="Hyperlink"/>
            <w:i/>
            <w:iCs/>
            <w:sz w:val="20"/>
          </w:rPr>
          <w:t>XIV-1455</w:t>
        </w:r>
      </w:hyperlink>
      <w:r>
        <w:rPr>
          <w:i/>
          <w:iCs/>
          <w:color w:val="000000"/>
          <w:sz w:val="20"/>
        </w:rPr>
        <w:t>, 27/10/2022, published in the RLA, 07/11/2022, ID code 2022-22566</w:t>
      </w:r>
    </w:p>
    <w:p w14:paraId="03220424" w14:textId="77777777" w:rsidR="002320DC" w:rsidRPr="000550CF" w:rsidRDefault="002320DC" w:rsidP="00F3494E">
      <w:pPr>
        <w:widowControl w:val="0"/>
        <w:ind w:firstLine="720"/>
        <w:jc w:val="both"/>
        <w:rPr>
          <w:szCs w:val="24"/>
          <w:lang w:eastAsia="lt-LT"/>
        </w:rPr>
      </w:pPr>
    </w:p>
    <w:p w14:paraId="24D6984E" w14:textId="77777777" w:rsidR="00ED3A7E" w:rsidRPr="000550CF" w:rsidRDefault="00ED3A7E" w:rsidP="00F3494E">
      <w:pPr>
        <w:widowControl w:val="0"/>
        <w:ind w:firstLine="720"/>
        <w:jc w:val="both"/>
        <w:rPr>
          <w:szCs w:val="24"/>
          <w:lang w:eastAsia="lt-LT"/>
        </w:rPr>
      </w:pPr>
    </w:p>
    <w:p w14:paraId="579DBD61" w14:textId="77777777" w:rsidR="00ED3A7E" w:rsidRPr="000550CF" w:rsidRDefault="00ED3A7E" w:rsidP="00F3494E">
      <w:pPr>
        <w:widowControl w:val="0"/>
        <w:ind w:firstLine="720"/>
        <w:jc w:val="both"/>
        <w:rPr>
          <w:b/>
          <w:szCs w:val="24"/>
        </w:rPr>
      </w:pPr>
      <w:r>
        <w:rPr>
          <w:b/>
          <w:szCs w:val="24"/>
        </w:rPr>
        <w:t xml:space="preserve">Article 3. </w:t>
      </w:r>
      <w:r>
        <w:t> </w:t>
      </w:r>
      <w:r>
        <w:rPr>
          <w:b/>
        </w:rPr>
        <w:t xml:space="preserve">Main terms used for the purposes of this </w:t>
      </w:r>
      <w:proofErr w:type="gramStart"/>
      <w:r>
        <w:rPr>
          <w:b/>
        </w:rPr>
        <w:t>Law</w:t>
      </w:r>
      <w:proofErr w:type="gramEnd"/>
    </w:p>
    <w:p w14:paraId="5977124C" w14:textId="7187E6ED" w:rsidR="00ED3A7E" w:rsidRDefault="00ED3A7E" w:rsidP="00F3494E">
      <w:pPr>
        <w:widowControl w:val="0"/>
        <w:ind w:firstLine="720"/>
        <w:jc w:val="both"/>
        <w:rPr>
          <w:szCs w:val="24"/>
        </w:rPr>
      </w:pPr>
      <w:r>
        <w:t xml:space="preserve">1. </w:t>
      </w:r>
      <w:r>
        <w:rPr>
          <w:b/>
          <w:szCs w:val="24"/>
        </w:rPr>
        <w:t>Algorithmic trading</w:t>
      </w:r>
      <w:r>
        <w:t xml:space="preserve"> – means trading in financial instruments where a computer algorithm automatically determines individual parameters of orders such as whether to initiate the order, the timing, price or quantity of the order or how to manage the order after its submission, with limited or no human intervention, and does not include any system that is only used for the purpose of routing orders to one or more trading venues or for the processing of orders involving no determination of any trading parameters or for the confirmation of orders or the post-trade processing of executed transactions.</w:t>
      </w:r>
    </w:p>
    <w:p w14:paraId="7C74DE91" w14:textId="77777777" w:rsidR="00A70F09" w:rsidRPr="00A70F09" w:rsidRDefault="00A70F09" w:rsidP="00A70F09">
      <w:pPr>
        <w:spacing w:line="360" w:lineRule="atLeast"/>
        <w:ind w:firstLine="720"/>
        <w:jc w:val="both"/>
        <w:rPr>
          <w:color w:val="000000"/>
          <w:szCs w:val="24"/>
        </w:rPr>
      </w:pPr>
      <w:r>
        <w:rPr>
          <w:color w:val="000000"/>
          <w:szCs w:val="24"/>
        </w:rPr>
        <w:t>1</w:t>
      </w:r>
      <w:r>
        <w:rPr>
          <w:color w:val="000000"/>
          <w:szCs w:val="24"/>
          <w:vertAlign w:val="superscript"/>
        </w:rPr>
        <w:t>1</w:t>
      </w:r>
      <w:r>
        <w:rPr>
          <w:color w:val="000000"/>
          <w:szCs w:val="24"/>
        </w:rPr>
        <w:t>. </w:t>
      </w:r>
      <w:r>
        <w:rPr>
          <w:b/>
          <w:bCs/>
          <w:color w:val="000000"/>
          <w:szCs w:val="24"/>
        </w:rPr>
        <w:t>Alternative consolidation requirement</w:t>
      </w:r>
      <w:r>
        <w:rPr>
          <w:color w:val="000000"/>
          <w:szCs w:val="24"/>
        </w:rPr>
        <w:t xml:space="preserve"> </w:t>
      </w:r>
      <w:r>
        <w:rPr>
          <w:b/>
          <w:bCs/>
          <w:color w:val="000000"/>
          <w:szCs w:val="24"/>
        </w:rPr>
        <w:t>for groups of undertakings</w:t>
      </w:r>
      <w:r>
        <w:rPr>
          <w:color w:val="000000"/>
          <w:szCs w:val="24"/>
        </w:rPr>
        <w:t xml:space="preserve"> – means the requirement under Article 8 of Regulation (EU) 2019/2033 applicable to the parent undertaking of a group of financial brokerage firms.</w:t>
      </w:r>
    </w:p>
    <w:p w14:paraId="2A8B6BBF" w14:textId="77777777" w:rsidR="00A70F09" w:rsidRDefault="00A70F09" w:rsidP="00A70F09">
      <w:pPr>
        <w:rPr>
          <w:color w:val="000000"/>
          <w:sz w:val="27"/>
          <w:szCs w:val="27"/>
        </w:rPr>
      </w:pPr>
      <w:r>
        <w:rPr>
          <w:i/>
          <w:iCs/>
          <w:color w:val="000000"/>
          <w:sz w:val="20"/>
        </w:rPr>
        <w:t>Supplemented with the paragraph to the Article:</w:t>
      </w:r>
    </w:p>
    <w:p w14:paraId="41B136A8" w14:textId="77777777" w:rsidR="00A70F09" w:rsidRDefault="00A70F09" w:rsidP="00A70F09">
      <w:pPr>
        <w:jc w:val="both"/>
        <w:rPr>
          <w:color w:val="000000"/>
          <w:sz w:val="27"/>
          <w:szCs w:val="27"/>
        </w:rPr>
      </w:pPr>
      <w:r>
        <w:rPr>
          <w:i/>
          <w:iCs/>
          <w:color w:val="000000"/>
          <w:sz w:val="20"/>
        </w:rPr>
        <w:t xml:space="preserve">No </w:t>
      </w:r>
      <w:hyperlink r:id="rId18" w:tgtFrame="_parent" w:history="1">
        <w:r>
          <w:rPr>
            <w:rStyle w:val="Hyperlink"/>
            <w:i/>
            <w:iCs/>
            <w:sz w:val="20"/>
          </w:rPr>
          <w:t>XIV-821</w:t>
        </w:r>
      </w:hyperlink>
      <w:r>
        <w:rPr>
          <w:i/>
          <w:iCs/>
          <w:color w:val="000000"/>
          <w:sz w:val="20"/>
        </w:rPr>
        <w:t>, 23/12/2021, published in the RLA, 30/12/2021, ID code 2021-27710</w:t>
      </w:r>
    </w:p>
    <w:p w14:paraId="05B307BD" w14:textId="77777777" w:rsidR="00A70F09" w:rsidRPr="000550CF" w:rsidRDefault="00A70F09" w:rsidP="00F3494E">
      <w:pPr>
        <w:widowControl w:val="0"/>
        <w:ind w:firstLine="720"/>
        <w:jc w:val="both"/>
        <w:rPr>
          <w:szCs w:val="24"/>
          <w:lang w:eastAsia="lt-LT"/>
        </w:rPr>
      </w:pPr>
    </w:p>
    <w:p w14:paraId="4805C234" w14:textId="77777777" w:rsidR="00ED3A7E" w:rsidRPr="000550CF" w:rsidRDefault="00ED3A7E" w:rsidP="00F3494E">
      <w:pPr>
        <w:widowControl w:val="0"/>
        <w:ind w:firstLine="720"/>
        <w:jc w:val="both"/>
        <w:rPr>
          <w:szCs w:val="24"/>
        </w:rPr>
      </w:pPr>
      <w:r>
        <w:t xml:space="preserve">2. </w:t>
      </w:r>
      <w:r>
        <w:rPr>
          <w:b/>
          <w:szCs w:val="24"/>
        </w:rPr>
        <w:t>E</w:t>
      </w:r>
      <w:r>
        <w:rPr>
          <w:b/>
        </w:rPr>
        <w:t>xchange-traded fund</w:t>
      </w:r>
      <w:r>
        <w:t xml:space="preserve"> – means a collective investment undertaking of which at least one unit or share class is traded throughout the day on at least one trading venue and with at least one market maker which takes action to ensure that the price of its units or shares on the trading venue does not vary significantly from its net asset value and, where applicable, from its indicative net asset value of one unit or share of that collective investment undertaking.</w:t>
      </w:r>
    </w:p>
    <w:p w14:paraId="1FF82181" w14:textId="77777777" w:rsidR="00ED3A7E" w:rsidRPr="000550CF" w:rsidRDefault="00ED3A7E" w:rsidP="00F3494E">
      <w:pPr>
        <w:widowControl w:val="0"/>
        <w:ind w:firstLine="720"/>
        <w:jc w:val="both"/>
        <w:rPr>
          <w:szCs w:val="24"/>
        </w:rPr>
      </w:pPr>
      <w:r>
        <w:t xml:space="preserve">3. </w:t>
      </w:r>
      <w:r>
        <w:rPr>
          <w:b/>
          <w:szCs w:val="24"/>
        </w:rPr>
        <w:t>C</w:t>
      </w:r>
      <w:r>
        <w:rPr>
          <w:b/>
        </w:rPr>
        <w:t>ommodity derivatives</w:t>
      </w:r>
      <w:r>
        <w:t xml:space="preserve"> – means financial instruments defined in Article 2(1)(30) of Regulation (EU) No 600/2014. </w:t>
      </w:r>
    </w:p>
    <w:p w14:paraId="0D2A18D3" w14:textId="77777777" w:rsidR="00ED3A7E" w:rsidRPr="000550CF" w:rsidRDefault="00ED3A7E" w:rsidP="00F3494E">
      <w:pPr>
        <w:widowControl w:val="0"/>
        <w:ind w:firstLine="720"/>
        <w:jc w:val="both"/>
        <w:rPr>
          <w:szCs w:val="24"/>
        </w:rPr>
      </w:pPr>
      <w:r>
        <w:t xml:space="preserve">4. </w:t>
      </w:r>
      <w:r>
        <w:rPr>
          <w:b/>
          <w:bCs/>
          <w:szCs w:val="24"/>
        </w:rPr>
        <w:t>Home Member State</w:t>
      </w:r>
      <w:r>
        <w:t>:</w:t>
      </w:r>
    </w:p>
    <w:p w14:paraId="23070AA8" w14:textId="77777777" w:rsidR="00ED3A7E" w:rsidRPr="000550CF" w:rsidRDefault="00ED3A7E" w:rsidP="00F3494E">
      <w:pPr>
        <w:ind w:firstLine="720"/>
        <w:jc w:val="both"/>
      </w:pPr>
      <w:r>
        <w:t xml:space="preserve">1) the Member State in which its head office is registered. Where a financial brokerage firm incorporated in another Member State under its national law has no registered office or a natural person operates under the rights of the financial brokerage firm – the Member State in which the registered office of the firm or a registered residence of a natural person is </w:t>
      </w:r>
      <w:proofErr w:type="gramStart"/>
      <w:r>
        <w:t>situated;</w:t>
      </w:r>
      <w:proofErr w:type="gramEnd"/>
    </w:p>
    <w:p w14:paraId="603084C1" w14:textId="77777777" w:rsidR="00ED3A7E" w:rsidRPr="000550CF" w:rsidRDefault="00ED3A7E" w:rsidP="00F3494E">
      <w:pPr>
        <w:widowControl w:val="0"/>
        <w:ind w:firstLine="720"/>
        <w:jc w:val="both"/>
        <w:rPr>
          <w:szCs w:val="24"/>
        </w:rPr>
      </w:pPr>
      <w:r>
        <w:t xml:space="preserve">2) the Member State in which the registered office of the regulated market is situated.  Where the regulated market established in another Member State under the law of that Member State has no registered office – the Member State in which the registered office of the regulated market is </w:t>
      </w:r>
      <w:proofErr w:type="gramStart"/>
      <w:r>
        <w:t>situated;</w:t>
      </w:r>
      <w:proofErr w:type="gramEnd"/>
    </w:p>
    <w:p w14:paraId="4061C305" w14:textId="77777777" w:rsidR="00ED3A7E" w:rsidRPr="000550CF" w:rsidRDefault="00ED3A7E" w:rsidP="00F3494E">
      <w:pPr>
        <w:widowControl w:val="0"/>
        <w:ind w:firstLine="720"/>
        <w:jc w:val="both"/>
        <w:rPr>
          <w:szCs w:val="24"/>
        </w:rPr>
      </w:pPr>
      <w:r>
        <w:t xml:space="preserve">3) the Member State in which the registered office of an operator of the multilateral trading system is situated. Where the operator of the multilateral trading facility established in another Member State under the law of that Member State has no registered office – the Member State in which the registered office of the operator of the multilateral trading system is </w:t>
      </w:r>
      <w:proofErr w:type="gramStart"/>
      <w:r>
        <w:t>situated;</w:t>
      </w:r>
      <w:proofErr w:type="gramEnd"/>
    </w:p>
    <w:p w14:paraId="6923FBD3" w14:textId="1D8351EF" w:rsidR="00A70F09" w:rsidRDefault="00ED3A7E" w:rsidP="00A70F09">
      <w:pPr>
        <w:spacing w:line="360" w:lineRule="atLeast"/>
        <w:ind w:firstLine="720"/>
        <w:jc w:val="both"/>
        <w:rPr>
          <w:color w:val="000000"/>
          <w:sz w:val="27"/>
          <w:szCs w:val="27"/>
        </w:rPr>
      </w:pPr>
      <w:r>
        <w:rPr>
          <w:i/>
          <w:iCs/>
          <w:color w:val="000000"/>
          <w:sz w:val="20"/>
        </w:rPr>
        <w:t>4) lost validity as of 02/01/2022.</w:t>
      </w:r>
    </w:p>
    <w:p w14:paraId="2480B6B4" w14:textId="77777777" w:rsidR="00A70F09" w:rsidRDefault="00A70F09" w:rsidP="00A70F09">
      <w:pPr>
        <w:rPr>
          <w:color w:val="000000"/>
          <w:sz w:val="27"/>
          <w:szCs w:val="27"/>
        </w:rPr>
      </w:pPr>
      <w:r>
        <w:rPr>
          <w:i/>
          <w:iCs/>
          <w:color w:val="000000"/>
          <w:sz w:val="20"/>
        </w:rPr>
        <w:t>Amendments to the paragraph of the Article:</w:t>
      </w:r>
    </w:p>
    <w:p w14:paraId="78EDE430" w14:textId="77777777" w:rsidR="00A70F09" w:rsidRDefault="00A70F09" w:rsidP="00A70F09">
      <w:pPr>
        <w:jc w:val="both"/>
        <w:rPr>
          <w:color w:val="000000"/>
          <w:sz w:val="27"/>
          <w:szCs w:val="27"/>
        </w:rPr>
      </w:pPr>
      <w:r>
        <w:rPr>
          <w:i/>
          <w:iCs/>
          <w:color w:val="000000"/>
          <w:sz w:val="20"/>
        </w:rPr>
        <w:t xml:space="preserve">No </w:t>
      </w:r>
      <w:hyperlink r:id="rId19" w:tgtFrame="_parent" w:history="1">
        <w:r>
          <w:rPr>
            <w:rStyle w:val="Hyperlink"/>
            <w:i/>
            <w:iCs/>
            <w:sz w:val="20"/>
          </w:rPr>
          <w:t>XIV-821</w:t>
        </w:r>
      </w:hyperlink>
      <w:r>
        <w:rPr>
          <w:i/>
          <w:iCs/>
          <w:color w:val="000000"/>
          <w:sz w:val="20"/>
        </w:rPr>
        <w:t>, 23/12/2021, published in the RLA, 30/12/2021, ID code 2021-27710</w:t>
      </w:r>
    </w:p>
    <w:p w14:paraId="018367AB" w14:textId="59580C9B" w:rsidR="00ED3A7E" w:rsidRPr="000550CF" w:rsidRDefault="00ED3A7E" w:rsidP="00F3494E">
      <w:pPr>
        <w:widowControl w:val="0"/>
        <w:ind w:firstLine="720"/>
        <w:jc w:val="both"/>
        <w:rPr>
          <w:szCs w:val="24"/>
          <w:lang w:eastAsia="lt-LT"/>
        </w:rPr>
      </w:pPr>
    </w:p>
    <w:p w14:paraId="292CBE39" w14:textId="77777777" w:rsidR="00ED3A7E" w:rsidRPr="000550CF" w:rsidRDefault="00ED3A7E" w:rsidP="00F3494E">
      <w:pPr>
        <w:widowControl w:val="0"/>
        <w:ind w:firstLine="720"/>
        <w:jc w:val="both"/>
        <w:rPr>
          <w:szCs w:val="24"/>
        </w:rPr>
      </w:pPr>
      <w:r>
        <w:t xml:space="preserve">5. </w:t>
      </w:r>
      <w:r>
        <w:rPr>
          <w:b/>
          <w:szCs w:val="24"/>
        </w:rPr>
        <w:t>Central securities depositary</w:t>
      </w:r>
      <w:r>
        <w:t xml:space="preserve"> (hereinafter – a central depositary) – as defined under Article 2(1)(1) of Regulation (EU) No 909/2014 2.</w:t>
      </w:r>
    </w:p>
    <w:p w14:paraId="348A65E7" w14:textId="77777777" w:rsidR="00ED3A7E" w:rsidRPr="000550CF" w:rsidRDefault="00ED3A7E" w:rsidP="00F3494E">
      <w:pPr>
        <w:widowControl w:val="0"/>
        <w:ind w:firstLine="720"/>
        <w:jc w:val="both"/>
        <w:rPr>
          <w:szCs w:val="24"/>
        </w:rPr>
      </w:pPr>
      <w:r>
        <w:lastRenderedPageBreak/>
        <w:t xml:space="preserve">6. </w:t>
      </w:r>
      <w:r>
        <w:rPr>
          <w:b/>
          <w:szCs w:val="24"/>
        </w:rPr>
        <w:t>Multilateral trading facility</w:t>
      </w:r>
      <w:r>
        <w:t xml:space="preserve"> (</w:t>
      </w:r>
      <w:r>
        <w:rPr>
          <w:b/>
          <w:szCs w:val="24"/>
        </w:rPr>
        <w:t>MTF</w:t>
      </w:r>
      <w:r>
        <w:t xml:space="preserve">) – means a multilateral system operated by a financial brokerage firm or a market operator, which in accordance with non-discretionary rules brings together third-party buying and selling interests in financial instruments in a way that results in transactions in financial instruments. </w:t>
      </w:r>
    </w:p>
    <w:p w14:paraId="3C74220D" w14:textId="77777777" w:rsidR="00ED3A7E" w:rsidRPr="000550CF" w:rsidRDefault="00ED3A7E" w:rsidP="00F3494E">
      <w:pPr>
        <w:widowControl w:val="0"/>
        <w:ind w:firstLine="720"/>
        <w:jc w:val="both"/>
        <w:rPr>
          <w:szCs w:val="24"/>
        </w:rPr>
      </w:pPr>
      <w:r>
        <w:t xml:space="preserve">7. </w:t>
      </w:r>
      <w:r>
        <w:rPr>
          <w:b/>
          <w:szCs w:val="24"/>
        </w:rPr>
        <w:t>M</w:t>
      </w:r>
      <w:r>
        <w:rPr>
          <w:b/>
        </w:rPr>
        <w:t>ultilateral system</w:t>
      </w:r>
      <w:r>
        <w:t xml:space="preserve"> – means any system in which multiple third-party buying and selling trading interests in financial instruments </w:t>
      </w:r>
      <w:proofErr w:type="gramStart"/>
      <w:r>
        <w:t>are able to</w:t>
      </w:r>
      <w:proofErr w:type="gramEnd"/>
      <w:r>
        <w:t xml:space="preserve"> interact in the system.</w:t>
      </w:r>
    </w:p>
    <w:p w14:paraId="4E4B27B9" w14:textId="77777777" w:rsidR="00ED3A7E" w:rsidRPr="000550CF" w:rsidRDefault="00ED3A7E" w:rsidP="00F3494E">
      <w:pPr>
        <w:widowControl w:val="0"/>
        <w:ind w:firstLine="720"/>
        <w:jc w:val="both"/>
        <w:rPr>
          <w:szCs w:val="24"/>
        </w:rPr>
      </w:pPr>
      <w:r>
        <w:t xml:space="preserve">8. </w:t>
      </w:r>
      <w:r>
        <w:rPr>
          <w:b/>
        </w:rPr>
        <w:t>Depositary receipts</w:t>
      </w:r>
      <w:r>
        <w:t xml:space="preserve"> – means securities which are negotiable on the capital </w:t>
      </w:r>
      <w:proofErr w:type="gramStart"/>
      <w:r>
        <w:t>market</w:t>
      </w:r>
      <w:proofErr w:type="gramEnd"/>
      <w:r>
        <w:t xml:space="preserve"> and which represent ownership of the securities of a non-domiciled issuer while being able to be admitted to trading on a regulated market and traded independently of the securities of the non-domiciled issuer.</w:t>
      </w:r>
    </w:p>
    <w:p w14:paraId="343FC205" w14:textId="77777777" w:rsidR="00ED3A7E" w:rsidRPr="000550CF" w:rsidRDefault="00ED3A7E" w:rsidP="00F3494E">
      <w:pPr>
        <w:widowControl w:val="0"/>
        <w:ind w:firstLine="720"/>
        <w:jc w:val="both"/>
        <w:rPr>
          <w:szCs w:val="24"/>
        </w:rPr>
      </w:pPr>
      <w:r>
        <w:t xml:space="preserve">9. </w:t>
      </w:r>
      <w:r>
        <w:rPr>
          <w:b/>
          <w:szCs w:val="24"/>
        </w:rPr>
        <w:t>H</w:t>
      </w:r>
      <w:r>
        <w:rPr>
          <w:b/>
        </w:rPr>
        <w:t>igh-frequency algorithmic trading technique</w:t>
      </w:r>
      <w:r>
        <w:t xml:space="preserve"> – means an algorithmic trading technique bearing </w:t>
      </w:r>
      <w:proofErr w:type="gramStart"/>
      <w:r>
        <w:t>all of</w:t>
      </w:r>
      <w:proofErr w:type="gramEnd"/>
      <w:r>
        <w:t xml:space="preserve"> the below specified characteristics:</w:t>
      </w:r>
    </w:p>
    <w:p w14:paraId="0D02FD2E" w14:textId="77777777" w:rsidR="00ED3A7E" w:rsidRPr="000550CF" w:rsidRDefault="00ED3A7E" w:rsidP="00F3494E">
      <w:pPr>
        <w:ind w:firstLine="720"/>
        <w:jc w:val="both"/>
      </w:pPr>
      <w:r>
        <w:t xml:space="preserve">1) infrastructure intended to minimise network and other types of latencies, including at least one of the following facilities for algorithmic order entry: co-location, proximity hosting or high-speed direct electronic </w:t>
      </w:r>
      <w:proofErr w:type="gramStart"/>
      <w:r>
        <w:t>access;</w:t>
      </w:r>
      <w:proofErr w:type="gramEnd"/>
    </w:p>
    <w:p w14:paraId="46B78C80" w14:textId="77777777" w:rsidR="00ED3A7E" w:rsidRPr="000550CF" w:rsidRDefault="00ED3A7E" w:rsidP="00F3494E">
      <w:pPr>
        <w:ind w:firstLine="720"/>
        <w:jc w:val="both"/>
      </w:pPr>
      <w:r>
        <w:t xml:space="preserve">2) system-determination of order initiation, generation, routing or execution without human intervention for individual transactions or </w:t>
      </w:r>
      <w:proofErr w:type="gramStart"/>
      <w:r>
        <w:t>orders;</w:t>
      </w:r>
      <w:proofErr w:type="gramEnd"/>
      <w:r>
        <w:t xml:space="preserve"> </w:t>
      </w:r>
    </w:p>
    <w:p w14:paraId="0A95EC96" w14:textId="77777777" w:rsidR="00ED3A7E" w:rsidRPr="000550CF" w:rsidRDefault="00ED3A7E" w:rsidP="00F3494E">
      <w:pPr>
        <w:widowControl w:val="0"/>
        <w:ind w:firstLine="720"/>
        <w:jc w:val="both"/>
        <w:rPr>
          <w:szCs w:val="24"/>
        </w:rPr>
      </w:pPr>
      <w:r>
        <w:t xml:space="preserve">3) high message intraday rates which constitute orders, </w:t>
      </w:r>
      <w:proofErr w:type="gramStart"/>
      <w:r>
        <w:t>quotes</w:t>
      </w:r>
      <w:proofErr w:type="gramEnd"/>
      <w:r>
        <w:t xml:space="preserve"> or cancellations.</w:t>
      </w:r>
    </w:p>
    <w:p w14:paraId="34A1E10D" w14:textId="033B8FD9" w:rsidR="00ED3A7E" w:rsidRDefault="00ED3A7E" w:rsidP="00F3494E">
      <w:pPr>
        <w:widowControl w:val="0"/>
        <w:ind w:firstLine="720"/>
        <w:jc w:val="both"/>
        <w:rPr>
          <w:szCs w:val="24"/>
        </w:rPr>
      </w:pPr>
      <w:r>
        <w:t xml:space="preserve">10. </w:t>
      </w:r>
    </w:p>
    <w:p w14:paraId="38ECDF70" w14:textId="77777777" w:rsidR="00A70F09" w:rsidRPr="00A70F09" w:rsidRDefault="00A70F09" w:rsidP="00A70F09">
      <w:pPr>
        <w:spacing w:line="400" w:lineRule="atLeast"/>
        <w:ind w:firstLine="720"/>
        <w:jc w:val="both"/>
        <w:rPr>
          <w:color w:val="000000"/>
          <w:szCs w:val="24"/>
        </w:rPr>
      </w:pPr>
      <w:r>
        <w:rPr>
          <w:b/>
          <w:bCs/>
          <w:color w:val="000000"/>
          <w:szCs w:val="24"/>
        </w:rPr>
        <w:t>Wholesale energy product</w:t>
      </w:r>
      <w:r>
        <w:rPr>
          <w:color w:val="000000"/>
          <w:szCs w:val="24"/>
        </w:rPr>
        <w:t xml:space="preserve"> – as defined in Article 2(4) of Regulation (EU) No 1227/2011 of 25 October 2011 of the European Parliament and of the Council on wholesale energy market integrity and transparency (hereinafter – Regulation (EU) No 1227/2011).</w:t>
      </w:r>
    </w:p>
    <w:p w14:paraId="724499AF" w14:textId="77777777" w:rsidR="00A70F09" w:rsidRDefault="00A70F09" w:rsidP="00A70F09">
      <w:pPr>
        <w:rPr>
          <w:color w:val="000000"/>
          <w:sz w:val="27"/>
          <w:szCs w:val="27"/>
        </w:rPr>
      </w:pPr>
      <w:r>
        <w:rPr>
          <w:i/>
          <w:iCs/>
          <w:color w:val="000000"/>
          <w:sz w:val="20"/>
        </w:rPr>
        <w:t>Amendments to the paragraph of the Article:</w:t>
      </w:r>
    </w:p>
    <w:p w14:paraId="4CC8D226" w14:textId="77777777" w:rsidR="00A70F09" w:rsidRDefault="00A70F09" w:rsidP="00A70F09">
      <w:pPr>
        <w:jc w:val="both"/>
        <w:rPr>
          <w:color w:val="000000"/>
          <w:sz w:val="27"/>
          <w:szCs w:val="27"/>
        </w:rPr>
      </w:pPr>
      <w:r>
        <w:rPr>
          <w:i/>
          <w:iCs/>
          <w:color w:val="000000"/>
          <w:sz w:val="20"/>
        </w:rPr>
        <w:t xml:space="preserve">No </w:t>
      </w:r>
      <w:hyperlink r:id="rId20" w:tgtFrame="_parent" w:history="1">
        <w:r>
          <w:rPr>
            <w:rStyle w:val="Hyperlink"/>
            <w:i/>
            <w:iCs/>
            <w:sz w:val="20"/>
          </w:rPr>
          <w:t>XIII-2974</w:t>
        </w:r>
      </w:hyperlink>
      <w:r>
        <w:rPr>
          <w:i/>
          <w:iCs/>
          <w:color w:val="000000"/>
          <w:sz w:val="20"/>
        </w:rPr>
        <w:t>, 21/05/2020, published in the RLA, 29/05/2020, ID code 2020-11674</w:t>
      </w:r>
    </w:p>
    <w:p w14:paraId="2F447BC3" w14:textId="77777777" w:rsidR="00A70F09" w:rsidRPr="00A70F09" w:rsidRDefault="00A70F09" w:rsidP="00A70F09">
      <w:pPr>
        <w:spacing w:line="360" w:lineRule="atLeast"/>
        <w:ind w:firstLine="720"/>
        <w:jc w:val="both"/>
        <w:rPr>
          <w:color w:val="000000"/>
          <w:szCs w:val="24"/>
        </w:rPr>
      </w:pPr>
      <w:r>
        <w:rPr>
          <w:color w:val="000000"/>
          <w:szCs w:val="24"/>
        </w:rPr>
        <w:t>10</w:t>
      </w:r>
      <w:r>
        <w:rPr>
          <w:color w:val="000000"/>
          <w:szCs w:val="24"/>
          <w:vertAlign w:val="superscript"/>
        </w:rPr>
        <w:t>1</w:t>
      </w:r>
      <w:r>
        <w:rPr>
          <w:color w:val="000000"/>
          <w:szCs w:val="24"/>
        </w:rPr>
        <w:t>.</w:t>
      </w:r>
      <w:r>
        <w:rPr>
          <w:b/>
          <w:bCs/>
          <w:color w:val="000000"/>
          <w:szCs w:val="24"/>
        </w:rPr>
        <w:t> Electronic format</w:t>
      </w:r>
      <w:r>
        <w:rPr>
          <w:color w:val="000000"/>
          <w:szCs w:val="24"/>
        </w:rPr>
        <w:t xml:space="preserve"> – means the form of data stored in a durable medium other than paper.</w:t>
      </w:r>
    </w:p>
    <w:p w14:paraId="714CC666" w14:textId="77777777" w:rsidR="00A70F09" w:rsidRDefault="00A70F09" w:rsidP="00A70F09">
      <w:pPr>
        <w:rPr>
          <w:color w:val="000000"/>
          <w:sz w:val="27"/>
          <w:szCs w:val="27"/>
        </w:rPr>
      </w:pPr>
      <w:r>
        <w:rPr>
          <w:i/>
          <w:iCs/>
          <w:color w:val="000000"/>
          <w:sz w:val="20"/>
        </w:rPr>
        <w:t>Supplemented with the paragraph to the Article:</w:t>
      </w:r>
    </w:p>
    <w:p w14:paraId="296419BD" w14:textId="77777777" w:rsidR="00A70F09" w:rsidRDefault="00A70F09" w:rsidP="00A70F09">
      <w:pPr>
        <w:jc w:val="both"/>
        <w:rPr>
          <w:color w:val="000000"/>
          <w:sz w:val="27"/>
          <w:szCs w:val="27"/>
        </w:rPr>
      </w:pPr>
      <w:r>
        <w:rPr>
          <w:i/>
          <w:iCs/>
          <w:color w:val="000000"/>
          <w:sz w:val="20"/>
        </w:rPr>
        <w:t xml:space="preserve">No </w:t>
      </w:r>
      <w:hyperlink r:id="rId21" w:tgtFrame="_parent" w:history="1">
        <w:r>
          <w:rPr>
            <w:rStyle w:val="Hyperlink"/>
            <w:i/>
            <w:iCs/>
            <w:sz w:val="20"/>
          </w:rPr>
          <w:t>XIV-821</w:t>
        </w:r>
      </w:hyperlink>
      <w:r>
        <w:rPr>
          <w:i/>
          <w:iCs/>
          <w:color w:val="000000"/>
          <w:sz w:val="20"/>
        </w:rPr>
        <w:t>, 23/12/2021, published in the RLA, 30/12/2021, ID code 2021-27710</w:t>
      </w:r>
    </w:p>
    <w:p w14:paraId="158FE301" w14:textId="77777777" w:rsidR="00A70F09" w:rsidRPr="000550CF" w:rsidRDefault="00A70F09" w:rsidP="00F3494E">
      <w:pPr>
        <w:widowControl w:val="0"/>
        <w:ind w:firstLine="720"/>
        <w:jc w:val="both"/>
        <w:rPr>
          <w:szCs w:val="24"/>
          <w:lang w:eastAsia="lt-LT"/>
        </w:rPr>
      </w:pPr>
    </w:p>
    <w:p w14:paraId="318F6522" w14:textId="269D2A7D" w:rsidR="00A70F09" w:rsidRPr="00A70F09" w:rsidRDefault="00ED3A7E" w:rsidP="00A70F09">
      <w:pPr>
        <w:spacing w:line="400" w:lineRule="atLeast"/>
        <w:ind w:firstLine="720"/>
        <w:jc w:val="both"/>
        <w:rPr>
          <w:color w:val="000000"/>
          <w:szCs w:val="24"/>
        </w:rPr>
      </w:pPr>
      <w:r>
        <w:t xml:space="preserve">11.  </w:t>
      </w:r>
      <w:r>
        <w:rPr>
          <w:b/>
          <w:bCs/>
          <w:color w:val="000000"/>
          <w:szCs w:val="24"/>
        </w:rPr>
        <w:t>Agency for the Cooperation of Energy Regulators</w:t>
      </w:r>
      <w:r>
        <w:rPr>
          <w:color w:val="000000"/>
          <w:szCs w:val="24"/>
        </w:rPr>
        <w:t xml:space="preserve"> – means an authority established by Regulation (EC) No 713/2009 of the European Parliament and of the Council of 13 July 2009 establishing the Agency for the Cooperation of Energy Regulators.</w:t>
      </w:r>
    </w:p>
    <w:p w14:paraId="65279B79" w14:textId="77777777" w:rsidR="00A70F09" w:rsidRDefault="00A70F09" w:rsidP="00A70F09">
      <w:pPr>
        <w:rPr>
          <w:color w:val="000000"/>
          <w:sz w:val="27"/>
          <w:szCs w:val="27"/>
        </w:rPr>
      </w:pPr>
      <w:r>
        <w:rPr>
          <w:i/>
          <w:iCs/>
          <w:color w:val="000000"/>
          <w:sz w:val="20"/>
        </w:rPr>
        <w:t>Amendments to the paragraph of the Article:</w:t>
      </w:r>
    </w:p>
    <w:p w14:paraId="3B844DCB" w14:textId="77777777" w:rsidR="00A70F09" w:rsidRDefault="00A70F09" w:rsidP="00A70F09">
      <w:pPr>
        <w:jc w:val="both"/>
        <w:rPr>
          <w:color w:val="000000"/>
          <w:sz w:val="27"/>
          <w:szCs w:val="27"/>
        </w:rPr>
      </w:pPr>
      <w:r>
        <w:rPr>
          <w:i/>
          <w:iCs/>
          <w:color w:val="000000"/>
          <w:sz w:val="20"/>
        </w:rPr>
        <w:t xml:space="preserve">No </w:t>
      </w:r>
      <w:hyperlink r:id="rId22" w:tgtFrame="_parent" w:history="1">
        <w:r>
          <w:rPr>
            <w:rStyle w:val="Hyperlink"/>
            <w:i/>
            <w:iCs/>
            <w:sz w:val="20"/>
          </w:rPr>
          <w:t>XIII-2974</w:t>
        </w:r>
      </w:hyperlink>
      <w:r>
        <w:rPr>
          <w:i/>
          <w:iCs/>
          <w:color w:val="000000"/>
          <w:sz w:val="20"/>
        </w:rPr>
        <w:t>, 21/05/2020, published in the RLA, 29/05/2020, ID code 2020-11674</w:t>
      </w:r>
    </w:p>
    <w:p w14:paraId="41439028" w14:textId="5DA9409B" w:rsidR="00ED3A7E" w:rsidRPr="000550CF" w:rsidRDefault="00ED3A7E" w:rsidP="00F3494E">
      <w:pPr>
        <w:widowControl w:val="0"/>
        <w:ind w:firstLine="720"/>
        <w:jc w:val="both"/>
        <w:rPr>
          <w:szCs w:val="24"/>
          <w:lang w:eastAsia="lt-LT"/>
        </w:rPr>
      </w:pPr>
    </w:p>
    <w:p w14:paraId="15D8E549" w14:textId="760EDD8D" w:rsidR="00A70F09" w:rsidRPr="00A70F09" w:rsidRDefault="00ED3A7E" w:rsidP="00A70F09">
      <w:pPr>
        <w:spacing w:line="400" w:lineRule="atLeast"/>
        <w:ind w:firstLine="720"/>
        <w:jc w:val="both"/>
        <w:rPr>
          <w:color w:val="000000"/>
          <w:szCs w:val="24"/>
        </w:rPr>
      </w:pPr>
      <w:r>
        <w:t xml:space="preserve">12.  </w:t>
      </w:r>
      <w:r>
        <w:rPr>
          <w:b/>
          <w:bCs/>
          <w:color w:val="000000"/>
          <w:szCs w:val="24"/>
        </w:rPr>
        <w:t xml:space="preserve">European Banking Authority </w:t>
      </w:r>
      <w:r>
        <w:rPr>
          <w:color w:val="000000"/>
          <w:szCs w:val="24"/>
        </w:rPr>
        <w:t xml:space="preserve">– means an authority established by Regulation (EU) No 1093/2010 of the European Parliament and of the Council of 24 November 2010 establishing a European Supervisory Authority (European Banking Authority), </w:t>
      </w:r>
      <w:proofErr w:type="gramStart"/>
      <w:r>
        <w:rPr>
          <w:color w:val="000000"/>
          <w:szCs w:val="24"/>
        </w:rPr>
        <w:t>amending  Decision</w:t>
      </w:r>
      <w:proofErr w:type="gramEnd"/>
      <w:r>
        <w:rPr>
          <w:color w:val="000000"/>
          <w:szCs w:val="24"/>
        </w:rPr>
        <w:t xml:space="preserve"> No 716/2009/EC and repealing Commission Decision 2009/78/EC.</w:t>
      </w:r>
    </w:p>
    <w:p w14:paraId="3CE0DC7D" w14:textId="77777777" w:rsidR="00A70F09" w:rsidRDefault="00A70F09" w:rsidP="00A70F09">
      <w:pPr>
        <w:rPr>
          <w:color w:val="000000"/>
          <w:sz w:val="27"/>
          <w:szCs w:val="27"/>
        </w:rPr>
      </w:pPr>
      <w:r>
        <w:rPr>
          <w:i/>
          <w:iCs/>
          <w:color w:val="000000"/>
          <w:sz w:val="20"/>
        </w:rPr>
        <w:t>Amendments to the paragraph of the Article:</w:t>
      </w:r>
    </w:p>
    <w:p w14:paraId="19777F61" w14:textId="77777777" w:rsidR="00A70F09" w:rsidRDefault="00A70F09" w:rsidP="00A70F09">
      <w:pPr>
        <w:jc w:val="both"/>
        <w:rPr>
          <w:color w:val="000000"/>
          <w:sz w:val="27"/>
          <w:szCs w:val="27"/>
        </w:rPr>
      </w:pPr>
      <w:r>
        <w:rPr>
          <w:i/>
          <w:iCs/>
          <w:color w:val="000000"/>
          <w:sz w:val="20"/>
        </w:rPr>
        <w:t xml:space="preserve">No </w:t>
      </w:r>
      <w:hyperlink r:id="rId23" w:tgtFrame="_parent" w:history="1">
        <w:r>
          <w:rPr>
            <w:rStyle w:val="Hyperlink"/>
            <w:i/>
            <w:iCs/>
            <w:sz w:val="20"/>
          </w:rPr>
          <w:t>XIII-2974</w:t>
        </w:r>
      </w:hyperlink>
      <w:r>
        <w:rPr>
          <w:i/>
          <w:iCs/>
          <w:color w:val="000000"/>
          <w:sz w:val="20"/>
        </w:rPr>
        <w:t>, 21/05/2020, published in the RLA, 29/05/2020, ID code 2020-11674</w:t>
      </w:r>
    </w:p>
    <w:p w14:paraId="704ABB2B" w14:textId="77777777" w:rsidR="00A70F09" w:rsidRDefault="00A70F09" w:rsidP="00A70F09">
      <w:pPr>
        <w:spacing w:line="360" w:lineRule="atLeast"/>
        <w:ind w:firstLine="720"/>
        <w:jc w:val="both"/>
        <w:rPr>
          <w:color w:val="000000"/>
        </w:rPr>
      </w:pPr>
      <w:r>
        <w:rPr>
          <w:color w:val="000000"/>
        </w:rPr>
        <w:t>12</w:t>
      </w:r>
      <w:r>
        <w:rPr>
          <w:color w:val="000000"/>
          <w:vertAlign w:val="superscript"/>
        </w:rPr>
        <w:t>1</w:t>
      </w:r>
      <w:r>
        <w:rPr>
          <w:color w:val="000000"/>
        </w:rPr>
        <w:t>. </w:t>
      </w:r>
      <w:r>
        <w:rPr>
          <w:b/>
          <w:bCs/>
          <w:color w:val="000000"/>
        </w:rPr>
        <w:t>Union parent investment firm</w:t>
      </w:r>
      <w:r>
        <w:rPr>
          <w:color w:val="000000"/>
        </w:rPr>
        <w:t xml:space="preserve"> – as defined in point 56 of Article 4(1) of Regulation (EU) 2019/2033.</w:t>
      </w:r>
    </w:p>
    <w:p w14:paraId="7DFB62D8" w14:textId="77777777" w:rsidR="00A70F09" w:rsidRDefault="00A70F09" w:rsidP="00A70F09">
      <w:pPr>
        <w:rPr>
          <w:color w:val="000000"/>
        </w:rPr>
      </w:pPr>
      <w:r>
        <w:rPr>
          <w:i/>
          <w:iCs/>
          <w:color w:val="000000"/>
          <w:sz w:val="20"/>
        </w:rPr>
        <w:t>Supplemented with the paragraph to the Article:</w:t>
      </w:r>
    </w:p>
    <w:p w14:paraId="548F4468" w14:textId="5B074096" w:rsidR="00A70F09" w:rsidRDefault="00A70F09" w:rsidP="00A70F09">
      <w:pPr>
        <w:jc w:val="both"/>
        <w:rPr>
          <w:color w:val="000000"/>
        </w:rPr>
      </w:pPr>
      <w:r>
        <w:rPr>
          <w:i/>
          <w:iCs/>
          <w:color w:val="000000"/>
          <w:sz w:val="20"/>
        </w:rPr>
        <w:t xml:space="preserve">No </w:t>
      </w:r>
      <w:hyperlink r:id="rId24" w:tgtFrame="_parent" w:history="1">
        <w:r>
          <w:rPr>
            <w:rStyle w:val="Hyperlink"/>
            <w:i/>
            <w:iCs/>
            <w:sz w:val="20"/>
          </w:rPr>
          <w:t>XIV-821</w:t>
        </w:r>
      </w:hyperlink>
      <w:r>
        <w:rPr>
          <w:i/>
          <w:iCs/>
          <w:color w:val="000000"/>
          <w:sz w:val="20"/>
        </w:rPr>
        <w:t>, 23/12/2021, published in the RLA, 30/12/2021, ID code 2021-27710</w:t>
      </w:r>
    </w:p>
    <w:p w14:paraId="174020DA" w14:textId="77777777" w:rsidR="00A70F09" w:rsidRDefault="00A70F09" w:rsidP="00A70F09">
      <w:pPr>
        <w:spacing w:line="360" w:lineRule="atLeast"/>
        <w:ind w:firstLine="720"/>
        <w:jc w:val="both"/>
        <w:rPr>
          <w:color w:val="000000"/>
        </w:rPr>
      </w:pPr>
      <w:bookmarkStart w:id="7" w:name="part_485056d2d67c441889ce115f1ed57730"/>
      <w:bookmarkEnd w:id="7"/>
      <w:r>
        <w:rPr>
          <w:color w:val="000000"/>
        </w:rPr>
        <w:t>12</w:t>
      </w:r>
      <w:r>
        <w:rPr>
          <w:color w:val="000000"/>
          <w:vertAlign w:val="superscript"/>
        </w:rPr>
        <w:t>2</w:t>
      </w:r>
      <w:r>
        <w:rPr>
          <w:color w:val="000000"/>
        </w:rPr>
        <w:t>.</w:t>
      </w:r>
      <w:r>
        <w:rPr>
          <w:b/>
          <w:bCs/>
          <w:color w:val="000000"/>
        </w:rPr>
        <w:t> Union parent investment holding company</w:t>
      </w:r>
      <w:r>
        <w:rPr>
          <w:color w:val="000000"/>
        </w:rPr>
        <w:t xml:space="preserve"> – as defined in point 57 of Article 4(1) of Regulation (EU) 2019/2033.</w:t>
      </w:r>
    </w:p>
    <w:p w14:paraId="12390139" w14:textId="77777777" w:rsidR="00A70F09" w:rsidRDefault="00A70F09" w:rsidP="00A70F09">
      <w:pPr>
        <w:rPr>
          <w:color w:val="000000"/>
        </w:rPr>
      </w:pPr>
      <w:r>
        <w:rPr>
          <w:i/>
          <w:iCs/>
          <w:color w:val="000000"/>
          <w:sz w:val="20"/>
        </w:rPr>
        <w:t>Supplemented with the paragraph to the Article:</w:t>
      </w:r>
    </w:p>
    <w:p w14:paraId="3C478E34" w14:textId="47A61A92" w:rsidR="00A70F09" w:rsidRDefault="00A70F09" w:rsidP="00A70F09">
      <w:pPr>
        <w:jc w:val="both"/>
        <w:rPr>
          <w:color w:val="000000"/>
        </w:rPr>
      </w:pPr>
      <w:r>
        <w:rPr>
          <w:i/>
          <w:iCs/>
          <w:color w:val="000000"/>
          <w:sz w:val="20"/>
        </w:rPr>
        <w:t xml:space="preserve">No </w:t>
      </w:r>
      <w:hyperlink r:id="rId25" w:tgtFrame="_parent" w:history="1">
        <w:r>
          <w:rPr>
            <w:rStyle w:val="Hyperlink"/>
            <w:i/>
            <w:iCs/>
            <w:sz w:val="20"/>
          </w:rPr>
          <w:t>XIV-821</w:t>
        </w:r>
      </w:hyperlink>
      <w:r>
        <w:rPr>
          <w:i/>
          <w:iCs/>
          <w:color w:val="000000"/>
          <w:sz w:val="20"/>
        </w:rPr>
        <w:t>, 23/12/2021, published in the RLA, 30/12/2021, ID code 2021-27710</w:t>
      </w:r>
    </w:p>
    <w:p w14:paraId="20273BDB" w14:textId="77777777" w:rsidR="00A70F09" w:rsidRDefault="00A70F09" w:rsidP="00A70F09">
      <w:pPr>
        <w:spacing w:line="360" w:lineRule="atLeast"/>
        <w:ind w:firstLine="720"/>
        <w:jc w:val="both"/>
        <w:rPr>
          <w:color w:val="000000"/>
        </w:rPr>
      </w:pPr>
      <w:bookmarkStart w:id="8" w:name="part_463af219cb334970b751f70d9b8b9152"/>
      <w:bookmarkEnd w:id="8"/>
      <w:r>
        <w:rPr>
          <w:color w:val="000000"/>
        </w:rPr>
        <w:lastRenderedPageBreak/>
        <w:t>12</w:t>
      </w:r>
      <w:r>
        <w:rPr>
          <w:color w:val="000000"/>
          <w:vertAlign w:val="superscript"/>
        </w:rPr>
        <w:t>3</w:t>
      </w:r>
      <w:r>
        <w:rPr>
          <w:color w:val="000000"/>
        </w:rPr>
        <w:t>.</w:t>
      </w:r>
      <w:r>
        <w:rPr>
          <w:b/>
          <w:bCs/>
          <w:color w:val="000000"/>
        </w:rPr>
        <w:t> Union parent mixed financial holding company</w:t>
      </w:r>
      <w:r>
        <w:rPr>
          <w:color w:val="000000"/>
        </w:rPr>
        <w:t xml:space="preserve"> – as defined in point 58 of Article 4(1) of Regulation (EU) 2019/2033.</w:t>
      </w:r>
    </w:p>
    <w:p w14:paraId="1C3007AB" w14:textId="77777777" w:rsidR="00A70F09" w:rsidRDefault="00A70F09" w:rsidP="00A70F09">
      <w:pPr>
        <w:rPr>
          <w:color w:val="000000"/>
        </w:rPr>
      </w:pPr>
      <w:r>
        <w:rPr>
          <w:i/>
          <w:iCs/>
          <w:color w:val="000000"/>
          <w:sz w:val="20"/>
        </w:rPr>
        <w:t>Supplemented with the paragraph to the Article:</w:t>
      </w:r>
    </w:p>
    <w:p w14:paraId="79A2ED0E" w14:textId="77777777" w:rsidR="00A70F09" w:rsidRDefault="00A70F09" w:rsidP="00A70F09">
      <w:pPr>
        <w:jc w:val="both"/>
        <w:rPr>
          <w:color w:val="000000"/>
        </w:rPr>
      </w:pPr>
      <w:r>
        <w:rPr>
          <w:i/>
          <w:iCs/>
          <w:color w:val="000000"/>
          <w:sz w:val="20"/>
        </w:rPr>
        <w:t xml:space="preserve">No </w:t>
      </w:r>
      <w:hyperlink r:id="rId26" w:tgtFrame="_parent" w:history="1">
        <w:r>
          <w:rPr>
            <w:rStyle w:val="Hyperlink"/>
            <w:i/>
            <w:iCs/>
            <w:sz w:val="20"/>
          </w:rPr>
          <w:t>XIV-821</w:t>
        </w:r>
      </w:hyperlink>
      <w:r>
        <w:rPr>
          <w:i/>
          <w:iCs/>
          <w:color w:val="000000"/>
          <w:sz w:val="20"/>
        </w:rPr>
        <w:t>, 23/12/2021, published in the RLA, 30/12/2021, ID code 2021-27710</w:t>
      </w:r>
    </w:p>
    <w:p w14:paraId="57FE1F9A" w14:textId="185E6928" w:rsidR="00ED3A7E" w:rsidRPr="000550CF" w:rsidRDefault="00ED3A7E" w:rsidP="00F3494E">
      <w:pPr>
        <w:widowControl w:val="0"/>
        <w:ind w:firstLine="720"/>
        <w:jc w:val="both"/>
        <w:rPr>
          <w:szCs w:val="24"/>
          <w:lang w:eastAsia="lt-LT"/>
        </w:rPr>
      </w:pPr>
    </w:p>
    <w:p w14:paraId="029D31AB" w14:textId="3D58F83F" w:rsidR="004F4349" w:rsidRPr="004F4349" w:rsidRDefault="00ED3A7E" w:rsidP="004F4349">
      <w:pPr>
        <w:spacing w:line="400" w:lineRule="atLeast"/>
        <w:ind w:firstLine="720"/>
        <w:jc w:val="both"/>
        <w:rPr>
          <w:color w:val="000000"/>
          <w:szCs w:val="24"/>
        </w:rPr>
      </w:pPr>
      <w:r>
        <w:t xml:space="preserve">13.  </w:t>
      </w:r>
      <w:r>
        <w:rPr>
          <w:b/>
          <w:bCs/>
          <w:color w:val="000000"/>
          <w:szCs w:val="24"/>
        </w:rPr>
        <w:t>European Systemic Risk Board</w:t>
      </w:r>
      <w:r>
        <w:rPr>
          <w:color w:val="000000"/>
          <w:szCs w:val="24"/>
        </w:rPr>
        <w:t xml:space="preserve"> – means an authority established by Regulation (EU) No 1092/2010 of the European Parliament and of the Council of 24 November 2010 on European Union macro prudential oversight of the financial system and establishing a European Systemic Risk Board.</w:t>
      </w:r>
    </w:p>
    <w:p w14:paraId="6387144F" w14:textId="77777777" w:rsidR="004F4349" w:rsidRDefault="004F4349" w:rsidP="004F4349">
      <w:pPr>
        <w:rPr>
          <w:color w:val="000000"/>
          <w:sz w:val="27"/>
          <w:szCs w:val="27"/>
        </w:rPr>
      </w:pPr>
      <w:r>
        <w:rPr>
          <w:i/>
          <w:iCs/>
          <w:color w:val="000000"/>
          <w:sz w:val="20"/>
        </w:rPr>
        <w:t>Amendments to the paragraph of the Article:</w:t>
      </w:r>
    </w:p>
    <w:p w14:paraId="5022F477" w14:textId="77777777" w:rsidR="004F4349" w:rsidRDefault="004F4349" w:rsidP="004F4349">
      <w:pPr>
        <w:jc w:val="both"/>
        <w:rPr>
          <w:color w:val="000000"/>
          <w:sz w:val="27"/>
          <w:szCs w:val="27"/>
        </w:rPr>
      </w:pPr>
      <w:r>
        <w:rPr>
          <w:i/>
          <w:iCs/>
          <w:color w:val="000000"/>
          <w:sz w:val="20"/>
        </w:rPr>
        <w:t xml:space="preserve">No </w:t>
      </w:r>
      <w:hyperlink r:id="rId27" w:tgtFrame="_parent" w:history="1">
        <w:r>
          <w:rPr>
            <w:rStyle w:val="Hyperlink"/>
            <w:i/>
            <w:iCs/>
            <w:sz w:val="20"/>
          </w:rPr>
          <w:t>XIII-2974</w:t>
        </w:r>
      </w:hyperlink>
      <w:r>
        <w:rPr>
          <w:i/>
          <w:iCs/>
          <w:color w:val="000000"/>
          <w:sz w:val="20"/>
        </w:rPr>
        <w:t>, 21/05/2020, published in the RLA, 29/05/2020, ID code 2020-11674</w:t>
      </w:r>
    </w:p>
    <w:p w14:paraId="4B0F4550" w14:textId="68095AEF" w:rsidR="00ED3A7E" w:rsidRPr="000550CF" w:rsidRDefault="00ED3A7E" w:rsidP="00F3494E">
      <w:pPr>
        <w:widowControl w:val="0"/>
        <w:ind w:firstLine="720"/>
        <w:jc w:val="both"/>
        <w:rPr>
          <w:szCs w:val="24"/>
          <w:lang w:eastAsia="lt-LT"/>
        </w:rPr>
      </w:pPr>
    </w:p>
    <w:p w14:paraId="6B73B242" w14:textId="4E9AA15A" w:rsidR="004F4349" w:rsidRPr="004F4349" w:rsidRDefault="00ED3A7E" w:rsidP="004F4349">
      <w:pPr>
        <w:spacing w:line="400" w:lineRule="atLeast"/>
        <w:ind w:firstLine="720"/>
        <w:jc w:val="both"/>
        <w:rPr>
          <w:color w:val="000000"/>
          <w:szCs w:val="24"/>
        </w:rPr>
      </w:pPr>
      <w:r>
        <w:t xml:space="preserve">14.  </w:t>
      </w:r>
      <w:r>
        <w:rPr>
          <w:b/>
          <w:bCs/>
          <w:color w:val="000000"/>
          <w:szCs w:val="24"/>
        </w:rPr>
        <w:t>European Securities and Markets Authority</w:t>
      </w:r>
      <w:r>
        <w:rPr>
          <w:color w:val="000000"/>
          <w:szCs w:val="24"/>
        </w:rPr>
        <w:t xml:space="preserve"> – means an authority established by Regulation (EU) No 1095/2010 of the European Parliament and of the Council of 24 November 2010 establishing a European Supervisory Authority (European Securities and Markets Authority), amending Decision No 716/2009/</w:t>
      </w:r>
      <w:proofErr w:type="gramStart"/>
      <w:r>
        <w:rPr>
          <w:color w:val="000000"/>
          <w:szCs w:val="24"/>
        </w:rPr>
        <w:t>EC</w:t>
      </w:r>
      <w:proofErr w:type="gramEnd"/>
      <w:r>
        <w:rPr>
          <w:color w:val="000000"/>
          <w:szCs w:val="24"/>
        </w:rPr>
        <w:t xml:space="preserve"> and repealing Commission Decision 2009/77/EC (hereinafter – Regulation (EU) No 1095/2010).</w:t>
      </w:r>
    </w:p>
    <w:p w14:paraId="508A78C0" w14:textId="77777777" w:rsidR="004F4349" w:rsidRDefault="004F4349" w:rsidP="004F4349">
      <w:pPr>
        <w:rPr>
          <w:color w:val="000000"/>
          <w:sz w:val="27"/>
          <w:szCs w:val="27"/>
        </w:rPr>
      </w:pPr>
      <w:r>
        <w:rPr>
          <w:i/>
          <w:iCs/>
          <w:color w:val="000000"/>
          <w:sz w:val="20"/>
        </w:rPr>
        <w:t>Amendments to the paragraph of the Article:</w:t>
      </w:r>
    </w:p>
    <w:p w14:paraId="6B473171" w14:textId="77777777" w:rsidR="004F4349" w:rsidRDefault="004F4349" w:rsidP="004F4349">
      <w:pPr>
        <w:jc w:val="both"/>
        <w:rPr>
          <w:color w:val="000000"/>
          <w:sz w:val="27"/>
          <w:szCs w:val="27"/>
        </w:rPr>
      </w:pPr>
      <w:r>
        <w:rPr>
          <w:i/>
          <w:iCs/>
          <w:color w:val="000000"/>
          <w:sz w:val="20"/>
        </w:rPr>
        <w:t xml:space="preserve">No </w:t>
      </w:r>
      <w:hyperlink r:id="rId28" w:tgtFrame="_parent" w:history="1">
        <w:r>
          <w:rPr>
            <w:rStyle w:val="Hyperlink"/>
            <w:i/>
            <w:iCs/>
            <w:sz w:val="20"/>
          </w:rPr>
          <w:t>XIII-2974</w:t>
        </w:r>
      </w:hyperlink>
      <w:r>
        <w:rPr>
          <w:i/>
          <w:iCs/>
          <w:color w:val="000000"/>
          <w:sz w:val="20"/>
        </w:rPr>
        <w:t>, 21/05/2020, published in the RLA, 29/05/2020, ID code 2020-11674</w:t>
      </w:r>
    </w:p>
    <w:p w14:paraId="23E2FD42" w14:textId="2540B822" w:rsidR="00ED3A7E" w:rsidRPr="000550CF" w:rsidRDefault="00ED3A7E" w:rsidP="00F3494E">
      <w:pPr>
        <w:widowControl w:val="0"/>
        <w:ind w:firstLine="720"/>
        <w:jc w:val="both"/>
        <w:rPr>
          <w:szCs w:val="24"/>
          <w:lang w:eastAsia="lt-LT"/>
        </w:rPr>
      </w:pPr>
    </w:p>
    <w:p w14:paraId="561A95BB" w14:textId="77777777" w:rsidR="00ED3A7E" w:rsidRPr="000550CF" w:rsidRDefault="00ED3A7E" w:rsidP="00F3494E">
      <w:pPr>
        <w:widowControl w:val="0"/>
        <w:ind w:firstLine="720"/>
        <w:jc w:val="both"/>
        <w:rPr>
          <w:szCs w:val="24"/>
        </w:rPr>
      </w:pPr>
      <w:r>
        <w:t xml:space="preserve">15. </w:t>
      </w:r>
      <w:r>
        <w:rPr>
          <w:b/>
          <w:szCs w:val="24"/>
        </w:rPr>
        <w:t>Financial instruments</w:t>
      </w:r>
      <w:r>
        <w:t xml:space="preserve"> – means any of the following instruments:</w:t>
      </w:r>
    </w:p>
    <w:p w14:paraId="54EF0F15" w14:textId="77777777" w:rsidR="00ED3A7E" w:rsidRPr="000550CF" w:rsidRDefault="00ED3A7E" w:rsidP="00F3494E">
      <w:pPr>
        <w:widowControl w:val="0"/>
        <w:ind w:firstLine="720"/>
        <w:jc w:val="both"/>
        <w:rPr>
          <w:szCs w:val="24"/>
        </w:rPr>
      </w:pPr>
      <w:r>
        <w:t xml:space="preserve">1) transferable </w:t>
      </w:r>
      <w:proofErr w:type="gramStart"/>
      <w:r>
        <w:t>securities;</w:t>
      </w:r>
      <w:proofErr w:type="gramEnd"/>
    </w:p>
    <w:p w14:paraId="722284E6" w14:textId="77777777" w:rsidR="00ED3A7E" w:rsidRPr="000550CF" w:rsidRDefault="00ED3A7E" w:rsidP="00F3494E">
      <w:pPr>
        <w:widowControl w:val="0"/>
        <w:ind w:firstLine="720"/>
        <w:jc w:val="both"/>
        <w:rPr>
          <w:szCs w:val="24"/>
        </w:rPr>
      </w:pPr>
      <w:r>
        <w:t xml:space="preserve">2) money market </w:t>
      </w:r>
      <w:proofErr w:type="gramStart"/>
      <w:r>
        <w:t>instruments;</w:t>
      </w:r>
      <w:proofErr w:type="gramEnd"/>
    </w:p>
    <w:p w14:paraId="31515774" w14:textId="77777777" w:rsidR="00ED3A7E" w:rsidRPr="000550CF" w:rsidRDefault="00ED3A7E" w:rsidP="00F3494E">
      <w:pPr>
        <w:widowControl w:val="0"/>
        <w:ind w:firstLine="720"/>
        <w:jc w:val="both"/>
        <w:rPr>
          <w:szCs w:val="24"/>
        </w:rPr>
      </w:pPr>
      <w:r>
        <w:t xml:space="preserve">3) securities of collective investment </w:t>
      </w:r>
      <w:proofErr w:type="gramStart"/>
      <w:r>
        <w:t>undertakings;</w:t>
      </w:r>
      <w:proofErr w:type="gramEnd"/>
    </w:p>
    <w:p w14:paraId="1894C633" w14:textId="77777777" w:rsidR="00ED3A7E" w:rsidRPr="000550CF" w:rsidRDefault="00ED3A7E" w:rsidP="00F3494E">
      <w:pPr>
        <w:ind w:firstLine="720"/>
        <w:jc w:val="both"/>
      </w:pPr>
      <w:r>
        <w:t xml:space="preserve">4) options, futures, swaps, forwards and any other derivative contracts related to securities, currencies, interest rates or yields, as well as other derivatives, as well as emission allowances and derivatives thereof, financial indices and instruments which it may be settled in cash or </w:t>
      </w:r>
      <w:proofErr w:type="gramStart"/>
      <w:r>
        <w:t>physically;</w:t>
      </w:r>
      <w:proofErr w:type="gramEnd"/>
    </w:p>
    <w:p w14:paraId="1E8449D4" w14:textId="77777777" w:rsidR="00ED3A7E" w:rsidRPr="000550CF" w:rsidRDefault="00ED3A7E" w:rsidP="00F3494E">
      <w:pPr>
        <w:widowControl w:val="0"/>
        <w:ind w:firstLine="720"/>
        <w:jc w:val="both"/>
        <w:rPr>
          <w:szCs w:val="24"/>
        </w:rPr>
      </w:pPr>
      <w:r>
        <w:t>5) options, futures, swaps, forwards and other derivative contracts relating to commodities that must be settled in cash or may be settled in cash at the option of one of the parties (except for insolvency and dissolutions</w:t>
      </w:r>
      <w:proofErr w:type="gramStart"/>
      <w:r>
        <w:t>);</w:t>
      </w:r>
      <w:proofErr w:type="gramEnd"/>
    </w:p>
    <w:p w14:paraId="5410FF70" w14:textId="77777777" w:rsidR="00ED3A7E" w:rsidRPr="000550CF" w:rsidRDefault="00ED3A7E" w:rsidP="00F3494E">
      <w:pPr>
        <w:widowControl w:val="0"/>
        <w:ind w:firstLine="720"/>
        <w:jc w:val="both"/>
        <w:rPr>
          <w:szCs w:val="24"/>
        </w:rPr>
      </w:pPr>
      <w:r>
        <w:t xml:space="preserve">6) options, futures, swaps and other derivative contracts relating to commodities and admitted to trading on a regulated market and (or) on a multilateral trading facility or on an organised trading facility which may be settled physically, excluding wholesale energy products </w:t>
      </w:r>
      <w:proofErr w:type="gramStart"/>
      <w:r>
        <w:t>traded  in</w:t>
      </w:r>
      <w:proofErr w:type="gramEnd"/>
      <w:r>
        <w:t xml:space="preserve"> an organised trading facility which must be settled physically;</w:t>
      </w:r>
    </w:p>
    <w:p w14:paraId="2B245916" w14:textId="77777777" w:rsidR="00ED3A7E" w:rsidRPr="000550CF" w:rsidRDefault="00ED3A7E" w:rsidP="00F3494E">
      <w:pPr>
        <w:widowControl w:val="0"/>
        <w:ind w:firstLine="720"/>
        <w:jc w:val="both"/>
        <w:rPr>
          <w:szCs w:val="24"/>
        </w:rPr>
      </w:pPr>
      <w:r>
        <w:t xml:space="preserve">7) options, futures, swaps, forwards and other derivative contracts relating to commodities that must be settled physically and which are not specified in point 6 of this paragraph, provided that they are not used for commercial purposes have the characteristics of other derivative financial </w:t>
      </w:r>
      <w:proofErr w:type="gramStart"/>
      <w:r>
        <w:t>instruments;</w:t>
      </w:r>
      <w:proofErr w:type="gramEnd"/>
    </w:p>
    <w:p w14:paraId="2C7A5BF6" w14:textId="77777777" w:rsidR="00ED3A7E" w:rsidRPr="000550CF" w:rsidRDefault="00ED3A7E" w:rsidP="00F3494E">
      <w:pPr>
        <w:widowControl w:val="0"/>
        <w:ind w:firstLine="720"/>
        <w:jc w:val="both"/>
        <w:rPr>
          <w:szCs w:val="24"/>
        </w:rPr>
      </w:pPr>
      <w:r>
        <w:t xml:space="preserve">8) derivative instruments for the transfer of credit </w:t>
      </w:r>
      <w:proofErr w:type="gramStart"/>
      <w:r>
        <w:t>risk;</w:t>
      </w:r>
      <w:proofErr w:type="gramEnd"/>
    </w:p>
    <w:p w14:paraId="6D26C455" w14:textId="77777777" w:rsidR="00ED3A7E" w:rsidRPr="000550CF" w:rsidRDefault="00ED3A7E" w:rsidP="00F3494E">
      <w:pPr>
        <w:widowControl w:val="0"/>
        <w:ind w:firstLine="720"/>
        <w:jc w:val="both"/>
        <w:rPr>
          <w:szCs w:val="24"/>
        </w:rPr>
      </w:pPr>
      <w:r>
        <w:t xml:space="preserve">9) financial contracts for </w:t>
      </w:r>
      <w:proofErr w:type="gramStart"/>
      <w:r>
        <w:t>differences;</w:t>
      </w:r>
      <w:proofErr w:type="gramEnd"/>
    </w:p>
    <w:p w14:paraId="0346D42A" w14:textId="77777777" w:rsidR="00ED3A7E" w:rsidRPr="000550CF" w:rsidRDefault="00ED3A7E" w:rsidP="00F3494E">
      <w:pPr>
        <w:widowControl w:val="0"/>
        <w:ind w:firstLine="720"/>
        <w:jc w:val="both"/>
        <w:rPr>
          <w:szCs w:val="24"/>
        </w:rPr>
      </w:pPr>
      <w:r>
        <w:t>10) options, futures, swaps, forwards and any other derivative contracts relating to climatic variables, freight rates, inflation rates or other official economic statistics that must be settled in cash or may be settled in cash at the option of one of the parties (otherwise than by reason of a default or other termination event), as well as any other derivative contracts relating to assets, rights, obligations, indices and measures not otherwise mentioned in this paragraph, which have the characteristics of other derivative financial instruments, having regard to whether, inter alia, they are traded on a regulated market or a multilateral trading facility or an organised trading facility;</w:t>
      </w:r>
    </w:p>
    <w:p w14:paraId="4F45F64B" w14:textId="77777777" w:rsidR="00ED3A7E" w:rsidRPr="000550CF" w:rsidRDefault="00ED3A7E" w:rsidP="00F3494E">
      <w:pPr>
        <w:widowControl w:val="0"/>
        <w:ind w:firstLine="720"/>
        <w:jc w:val="both"/>
        <w:rPr>
          <w:szCs w:val="24"/>
        </w:rPr>
      </w:pPr>
      <w:r>
        <w:t>11) emission allowances consisting of any units recognised for compliance with the Emissions Trading Scheme.</w:t>
      </w:r>
    </w:p>
    <w:p w14:paraId="4A068D70" w14:textId="77777777" w:rsidR="00ED3A7E" w:rsidRPr="000550CF" w:rsidRDefault="00ED3A7E" w:rsidP="00F3494E">
      <w:pPr>
        <w:widowControl w:val="0"/>
        <w:ind w:firstLine="720"/>
        <w:jc w:val="both"/>
        <w:rPr>
          <w:szCs w:val="24"/>
        </w:rPr>
      </w:pPr>
      <w:r>
        <w:lastRenderedPageBreak/>
        <w:t xml:space="preserve">16. </w:t>
      </w:r>
      <w:r>
        <w:rPr>
          <w:b/>
          <w:szCs w:val="24"/>
        </w:rPr>
        <w:t>Financial instruments portfolio management</w:t>
      </w:r>
      <w:r>
        <w:t xml:space="preserve"> – means managing on a discretionary client-by-client basis of a client’s portfolio which includes one or more financial instruments in accordance with an individual mandate given by the client.</w:t>
      </w:r>
    </w:p>
    <w:p w14:paraId="786CEBA2" w14:textId="65E61AD8" w:rsidR="00ED3A7E" w:rsidRDefault="00ED3A7E" w:rsidP="00F3494E">
      <w:pPr>
        <w:widowControl w:val="0"/>
        <w:ind w:firstLine="720"/>
        <w:jc w:val="both"/>
        <w:rPr>
          <w:szCs w:val="24"/>
        </w:rPr>
      </w:pPr>
      <w:r>
        <w:t xml:space="preserve">17. </w:t>
      </w:r>
      <w:r>
        <w:rPr>
          <w:b/>
          <w:szCs w:val="24"/>
        </w:rPr>
        <w:t>Financial instruments portfolio</w:t>
      </w:r>
      <w:r>
        <w:t xml:space="preserve"> – means a portfolio of financial instruments held by an investor.</w:t>
      </w:r>
    </w:p>
    <w:p w14:paraId="45941827" w14:textId="77777777" w:rsidR="004F4349" w:rsidRPr="004F4349" w:rsidRDefault="004F4349" w:rsidP="004F4349">
      <w:pPr>
        <w:spacing w:line="360" w:lineRule="atLeast"/>
        <w:ind w:firstLine="720"/>
        <w:jc w:val="both"/>
        <w:rPr>
          <w:color w:val="000000"/>
          <w:szCs w:val="24"/>
        </w:rPr>
      </w:pPr>
      <w:r>
        <w:rPr>
          <w:color w:val="000000"/>
          <w:szCs w:val="24"/>
        </w:rPr>
        <w:t>17</w:t>
      </w:r>
      <w:r>
        <w:rPr>
          <w:color w:val="000000"/>
          <w:szCs w:val="24"/>
          <w:vertAlign w:val="superscript"/>
        </w:rPr>
        <w:t>1</w:t>
      </w:r>
      <w:r>
        <w:rPr>
          <w:color w:val="000000"/>
          <w:szCs w:val="24"/>
        </w:rPr>
        <w:t>. </w:t>
      </w:r>
      <w:r>
        <w:rPr>
          <w:b/>
          <w:bCs/>
          <w:color w:val="000000"/>
          <w:szCs w:val="24"/>
        </w:rPr>
        <w:t>Financial institution</w:t>
      </w:r>
      <w:r>
        <w:rPr>
          <w:color w:val="000000"/>
          <w:szCs w:val="24"/>
        </w:rPr>
        <w:t xml:space="preserve"> – means a financial institution as defined in point 14 of Article 4(1) of Regulation (EU) No 2019/2033.</w:t>
      </w:r>
    </w:p>
    <w:p w14:paraId="5D6F7A31" w14:textId="77777777" w:rsidR="004F4349" w:rsidRDefault="004F4349" w:rsidP="004F4349">
      <w:pPr>
        <w:rPr>
          <w:color w:val="000000"/>
          <w:sz w:val="27"/>
          <w:szCs w:val="27"/>
        </w:rPr>
      </w:pPr>
      <w:r>
        <w:rPr>
          <w:i/>
          <w:iCs/>
          <w:color w:val="000000"/>
          <w:sz w:val="20"/>
        </w:rPr>
        <w:t>Supplemented with the paragraph to the Article:</w:t>
      </w:r>
    </w:p>
    <w:p w14:paraId="18AF8477" w14:textId="77777777" w:rsidR="004F4349" w:rsidRDefault="004F4349" w:rsidP="004F4349">
      <w:pPr>
        <w:jc w:val="both"/>
        <w:rPr>
          <w:color w:val="000000"/>
          <w:sz w:val="27"/>
          <w:szCs w:val="27"/>
        </w:rPr>
      </w:pPr>
      <w:r>
        <w:rPr>
          <w:i/>
          <w:iCs/>
          <w:color w:val="000000"/>
          <w:sz w:val="20"/>
        </w:rPr>
        <w:t xml:space="preserve">No </w:t>
      </w:r>
      <w:hyperlink r:id="rId29" w:tgtFrame="_parent" w:history="1">
        <w:r>
          <w:rPr>
            <w:rStyle w:val="Hyperlink"/>
            <w:i/>
            <w:iCs/>
            <w:sz w:val="20"/>
          </w:rPr>
          <w:t>XIV-821</w:t>
        </w:r>
      </w:hyperlink>
      <w:r>
        <w:rPr>
          <w:i/>
          <w:iCs/>
          <w:color w:val="000000"/>
          <w:sz w:val="20"/>
        </w:rPr>
        <w:t>, 23/12/2021, published in the RLA, 30/12/2021, ID code 2021-27710</w:t>
      </w:r>
    </w:p>
    <w:p w14:paraId="47A0BA31" w14:textId="77777777" w:rsidR="004F4349" w:rsidRPr="000550CF" w:rsidRDefault="004F4349" w:rsidP="00F3494E">
      <w:pPr>
        <w:widowControl w:val="0"/>
        <w:ind w:firstLine="720"/>
        <w:jc w:val="both"/>
        <w:rPr>
          <w:szCs w:val="24"/>
          <w:lang w:eastAsia="lt-LT"/>
        </w:rPr>
      </w:pPr>
    </w:p>
    <w:p w14:paraId="05989FEA" w14:textId="77777777" w:rsidR="00ED3A7E" w:rsidRPr="000550CF" w:rsidRDefault="00ED3A7E" w:rsidP="00F3494E">
      <w:pPr>
        <w:ind w:firstLine="720"/>
        <w:jc w:val="both"/>
      </w:pPr>
      <w:r>
        <w:t xml:space="preserve">18. </w:t>
      </w:r>
      <w:r>
        <w:rPr>
          <w:b/>
          <w:szCs w:val="24"/>
        </w:rPr>
        <w:t>Financial brokerage firm</w:t>
      </w:r>
      <w:r>
        <w:t xml:space="preserve"> – means a legal person the regular business of which is the provision of one or more investment services for third parties on a professional basis. Financial brokerage firms established in other Member States may be not legal persons. </w:t>
      </w:r>
    </w:p>
    <w:p w14:paraId="4B3B8370" w14:textId="77777777" w:rsidR="00ED3A7E" w:rsidRPr="000550CF" w:rsidRDefault="00ED3A7E" w:rsidP="00F3494E">
      <w:pPr>
        <w:widowControl w:val="0"/>
        <w:ind w:firstLine="720"/>
        <w:jc w:val="both"/>
        <w:rPr>
          <w:szCs w:val="24"/>
        </w:rPr>
      </w:pPr>
      <w:r>
        <w:t xml:space="preserve">19. </w:t>
      </w:r>
      <w:r>
        <w:rPr>
          <w:b/>
          <w:szCs w:val="24"/>
        </w:rPr>
        <w:t>B</w:t>
      </w:r>
      <w:r>
        <w:rPr>
          <w:b/>
        </w:rPr>
        <w:t>ranch</w:t>
      </w:r>
      <w:r>
        <w:rPr>
          <w:b/>
          <w:szCs w:val="24"/>
        </w:rPr>
        <w:t xml:space="preserve"> of a financial brokerage firm</w:t>
      </w:r>
      <w:r>
        <w:t xml:space="preserve"> – means a financial brokerage firm’s subdivision with the place of business different from the firm’s head office, which has no legal personality and provides investment services and/or investment activity and may provide only those ancillary services for which the investment firm has been authorized. All the places of business set up by the financial brokerage firm in the same host Member State shall be regarded as a single branch.</w:t>
      </w:r>
    </w:p>
    <w:p w14:paraId="72DE34D1" w14:textId="67D52FDB" w:rsidR="004F4349" w:rsidRPr="004F4349" w:rsidRDefault="00ED3A7E" w:rsidP="004F4349">
      <w:pPr>
        <w:spacing w:line="360" w:lineRule="atLeast"/>
        <w:ind w:firstLine="720"/>
        <w:jc w:val="both"/>
        <w:rPr>
          <w:color w:val="000000"/>
          <w:szCs w:val="24"/>
        </w:rPr>
      </w:pPr>
      <w:r>
        <w:t xml:space="preserve">20. </w:t>
      </w:r>
      <w:r>
        <w:rPr>
          <w:b/>
          <w:bCs/>
          <w:color w:val="000000"/>
          <w:szCs w:val="24"/>
        </w:rPr>
        <w:t>Qualifying holding of the authorised capital and/or of the voting rights of a financial brokerage firm</w:t>
      </w:r>
      <w:r>
        <w:rPr>
          <w:color w:val="000000"/>
          <w:szCs w:val="24"/>
        </w:rPr>
        <w:t xml:space="preserve"> – means any direct or indirect holding of the capital or of the voting rights in a financial brokerage firm which represents not less than 1/10 of the authorised capital or of the voting rights or which makes it possible to exercise a significant influence over the management of the financial brokerage firm, which is calculated using the information referred to in Article 15 of the Republic of Lithuania Law on Securities and to which the procedure for calculation of the votes specified in Article 16 of the Securities Law is applied.</w:t>
      </w:r>
    </w:p>
    <w:p w14:paraId="519D274B" w14:textId="77777777" w:rsidR="004F4349" w:rsidRDefault="004F4349" w:rsidP="004F4349">
      <w:pPr>
        <w:rPr>
          <w:color w:val="000000"/>
          <w:sz w:val="27"/>
          <w:szCs w:val="27"/>
        </w:rPr>
      </w:pPr>
      <w:r>
        <w:rPr>
          <w:i/>
          <w:iCs/>
          <w:color w:val="000000"/>
          <w:sz w:val="20"/>
        </w:rPr>
        <w:t>Amendments to the paragraph of the Article:</w:t>
      </w:r>
    </w:p>
    <w:p w14:paraId="14F93B58" w14:textId="77777777" w:rsidR="004F4349" w:rsidRDefault="004F4349" w:rsidP="004F4349">
      <w:pPr>
        <w:jc w:val="both"/>
        <w:rPr>
          <w:color w:val="000000"/>
          <w:sz w:val="27"/>
          <w:szCs w:val="27"/>
        </w:rPr>
      </w:pPr>
      <w:r>
        <w:rPr>
          <w:i/>
          <w:iCs/>
          <w:color w:val="000000"/>
          <w:sz w:val="20"/>
        </w:rPr>
        <w:t xml:space="preserve">No </w:t>
      </w:r>
      <w:hyperlink r:id="rId30" w:tgtFrame="_parent" w:history="1">
        <w:r>
          <w:rPr>
            <w:rStyle w:val="Hyperlink"/>
            <w:i/>
            <w:iCs/>
            <w:sz w:val="20"/>
          </w:rPr>
          <w:t>XIII-2358</w:t>
        </w:r>
      </w:hyperlink>
      <w:r>
        <w:rPr>
          <w:i/>
          <w:iCs/>
          <w:color w:val="000000"/>
          <w:sz w:val="20"/>
        </w:rPr>
        <w:t>, 16/07/2019, published in the RLA, 19/07/2019, ID code 2019-11980</w:t>
      </w:r>
    </w:p>
    <w:p w14:paraId="3866634E" w14:textId="77777777" w:rsidR="004F4349" w:rsidRDefault="004F4349" w:rsidP="004F4349">
      <w:pPr>
        <w:jc w:val="both"/>
        <w:rPr>
          <w:color w:val="000000"/>
          <w:sz w:val="27"/>
          <w:szCs w:val="27"/>
        </w:rPr>
      </w:pPr>
      <w:r>
        <w:rPr>
          <w:i/>
          <w:iCs/>
          <w:color w:val="000000"/>
          <w:sz w:val="20"/>
        </w:rPr>
        <w:t xml:space="preserve">No </w:t>
      </w:r>
      <w:hyperlink r:id="rId31" w:tgtFrame="_parent" w:history="1">
        <w:r>
          <w:rPr>
            <w:rStyle w:val="Hyperlink"/>
            <w:i/>
            <w:iCs/>
            <w:sz w:val="20"/>
          </w:rPr>
          <w:t>XIV-821</w:t>
        </w:r>
      </w:hyperlink>
      <w:r>
        <w:rPr>
          <w:i/>
          <w:iCs/>
          <w:color w:val="000000"/>
          <w:sz w:val="20"/>
        </w:rPr>
        <w:t>, 23/12/2021, published in the RLA, 30/12/2021, ID code 2021-27710</w:t>
      </w:r>
    </w:p>
    <w:p w14:paraId="371FBA52" w14:textId="77777777" w:rsidR="004F4349" w:rsidRPr="004F4349" w:rsidRDefault="004F4349" w:rsidP="004F4349">
      <w:pPr>
        <w:spacing w:line="360" w:lineRule="atLeast"/>
        <w:ind w:firstLine="720"/>
        <w:jc w:val="both"/>
        <w:rPr>
          <w:color w:val="000000"/>
          <w:szCs w:val="24"/>
        </w:rPr>
      </w:pPr>
      <w:r>
        <w:rPr>
          <w:color w:val="000000"/>
          <w:szCs w:val="24"/>
        </w:rPr>
        <w:t>20</w:t>
      </w:r>
      <w:r>
        <w:rPr>
          <w:color w:val="000000"/>
          <w:szCs w:val="24"/>
          <w:vertAlign w:val="superscript"/>
        </w:rPr>
        <w:t>1</w:t>
      </w:r>
      <w:r>
        <w:rPr>
          <w:color w:val="000000"/>
          <w:szCs w:val="24"/>
        </w:rPr>
        <w:t>. </w:t>
      </w:r>
      <w:r>
        <w:rPr>
          <w:b/>
          <w:bCs/>
          <w:color w:val="000000"/>
          <w:szCs w:val="24"/>
        </w:rPr>
        <w:t>License of a financial brokerage firm</w:t>
      </w:r>
      <w:r>
        <w:rPr>
          <w:color w:val="000000"/>
          <w:szCs w:val="24"/>
        </w:rPr>
        <w:t xml:space="preserve"> – means an authorisation issued to a financial brokerage firm in accordance with the procedure laid down by this Law.</w:t>
      </w:r>
    </w:p>
    <w:p w14:paraId="573BA106" w14:textId="77777777" w:rsidR="004F4349" w:rsidRDefault="004F4349" w:rsidP="004F4349">
      <w:pPr>
        <w:rPr>
          <w:color w:val="000000"/>
          <w:sz w:val="27"/>
          <w:szCs w:val="27"/>
        </w:rPr>
      </w:pPr>
      <w:r>
        <w:rPr>
          <w:i/>
          <w:iCs/>
          <w:color w:val="000000"/>
          <w:sz w:val="20"/>
        </w:rPr>
        <w:t>Supplemented with the paragraph to the Article:</w:t>
      </w:r>
    </w:p>
    <w:p w14:paraId="259D36BA" w14:textId="77777777" w:rsidR="004F4349" w:rsidRDefault="004F4349" w:rsidP="004F4349">
      <w:pPr>
        <w:jc w:val="both"/>
        <w:rPr>
          <w:color w:val="000000"/>
          <w:sz w:val="27"/>
          <w:szCs w:val="27"/>
        </w:rPr>
      </w:pPr>
      <w:r>
        <w:rPr>
          <w:i/>
          <w:iCs/>
          <w:color w:val="000000"/>
          <w:sz w:val="20"/>
        </w:rPr>
        <w:t xml:space="preserve">No </w:t>
      </w:r>
      <w:hyperlink r:id="rId32" w:tgtFrame="_parent" w:history="1">
        <w:r>
          <w:rPr>
            <w:rStyle w:val="Hyperlink"/>
            <w:i/>
            <w:iCs/>
            <w:sz w:val="20"/>
          </w:rPr>
          <w:t>XIV-821</w:t>
        </w:r>
      </w:hyperlink>
      <w:r>
        <w:rPr>
          <w:i/>
          <w:iCs/>
          <w:color w:val="000000"/>
          <w:sz w:val="20"/>
        </w:rPr>
        <w:t>, 23/12/2021, published in the RLA, 30/12/2021, ID code 2021-27710</w:t>
      </w:r>
    </w:p>
    <w:p w14:paraId="452E38B4" w14:textId="4AFC73FD" w:rsidR="00ED3A7E" w:rsidRPr="000550CF" w:rsidRDefault="00ED3A7E" w:rsidP="00F3494E">
      <w:pPr>
        <w:widowControl w:val="0"/>
        <w:ind w:firstLine="720"/>
        <w:jc w:val="both"/>
        <w:rPr>
          <w:szCs w:val="24"/>
          <w:lang w:eastAsia="lt-LT"/>
        </w:rPr>
      </w:pPr>
    </w:p>
    <w:p w14:paraId="19422324" w14:textId="2DCCD7CB" w:rsidR="00ED3A7E" w:rsidRDefault="00ED3A7E" w:rsidP="00F3494E">
      <w:pPr>
        <w:widowControl w:val="0"/>
        <w:ind w:firstLine="720"/>
        <w:jc w:val="both"/>
        <w:rPr>
          <w:szCs w:val="24"/>
        </w:rPr>
      </w:pPr>
      <w:r>
        <w:t xml:space="preserve">21. </w:t>
      </w:r>
      <w:r>
        <w:rPr>
          <w:b/>
          <w:szCs w:val="24"/>
        </w:rPr>
        <w:t>Tied agent</w:t>
      </w:r>
      <w:r>
        <w:t xml:space="preserve"> </w:t>
      </w:r>
      <w:r>
        <w:rPr>
          <w:b/>
          <w:szCs w:val="24"/>
        </w:rPr>
        <w:t>of a financial brokerage firm</w:t>
      </w:r>
      <w:r>
        <w:t xml:space="preserve"> (hereinafter – a tied agent) – means a natural or legal person who, under the full and unconditional responsibility of only one financial brokerage firm on whose behalf it acts, promotes investment and/or ancillary services to clients or prospective clients, receives and transmits instructions or orders from the client in respect of investment services or financial instruments, places financial instruments or provides advice to clients or prospective clients in respect of those financial instruments or services. A tied agent of a financial brokerage firm established in other Member States shall not be required to have the status of a legal person.</w:t>
      </w:r>
    </w:p>
    <w:p w14:paraId="1ED6C595" w14:textId="77777777" w:rsidR="004F4349" w:rsidRPr="004F4349" w:rsidRDefault="004F4349" w:rsidP="004F4349">
      <w:pPr>
        <w:spacing w:line="360" w:lineRule="atLeast"/>
        <w:ind w:firstLine="720"/>
        <w:jc w:val="both"/>
        <w:rPr>
          <w:color w:val="000000"/>
          <w:szCs w:val="24"/>
        </w:rPr>
      </w:pPr>
      <w:r>
        <w:rPr>
          <w:color w:val="000000"/>
          <w:szCs w:val="24"/>
        </w:rPr>
        <w:t>21</w:t>
      </w:r>
      <w:r>
        <w:rPr>
          <w:color w:val="000000"/>
          <w:szCs w:val="24"/>
          <w:vertAlign w:val="superscript"/>
        </w:rPr>
        <w:t>1</w:t>
      </w:r>
      <w:r>
        <w:rPr>
          <w:color w:val="000000"/>
          <w:szCs w:val="24"/>
        </w:rPr>
        <w:t>. </w:t>
      </w:r>
      <w:r>
        <w:rPr>
          <w:b/>
          <w:bCs/>
          <w:color w:val="000000"/>
          <w:szCs w:val="24"/>
        </w:rPr>
        <w:t>Group of financial brokerage firms</w:t>
      </w:r>
      <w:r>
        <w:rPr>
          <w:color w:val="000000"/>
          <w:szCs w:val="24"/>
        </w:rPr>
        <w:t xml:space="preserve"> – means an investment firm group as defined in point 25 of Article 4(1) of Regulation (EU) No 2019/2033.</w:t>
      </w:r>
    </w:p>
    <w:p w14:paraId="3066A186" w14:textId="77777777" w:rsidR="004F4349" w:rsidRDefault="004F4349" w:rsidP="004F4349">
      <w:pPr>
        <w:rPr>
          <w:color w:val="000000"/>
          <w:sz w:val="27"/>
          <w:szCs w:val="27"/>
        </w:rPr>
      </w:pPr>
      <w:r>
        <w:rPr>
          <w:i/>
          <w:iCs/>
          <w:color w:val="000000"/>
          <w:sz w:val="20"/>
        </w:rPr>
        <w:t>Supplemented with the paragraph to the Article:</w:t>
      </w:r>
    </w:p>
    <w:p w14:paraId="6C4F5497" w14:textId="77777777" w:rsidR="004F4349" w:rsidRDefault="004F4349" w:rsidP="004F4349">
      <w:pPr>
        <w:jc w:val="both"/>
        <w:rPr>
          <w:color w:val="000000"/>
          <w:sz w:val="27"/>
          <w:szCs w:val="27"/>
        </w:rPr>
      </w:pPr>
      <w:r>
        <w:rPr>
          <w:i/>
          <w:iCs/>
          <w:color w:val="000000"/>
          <w:sz w:val="20"/>
        </w:rPr>
        <w:t xml:space="preserve">No </w:t>
      </w:r>
      <w:hyperlink r:id="rId33" w:tgtFrame="_parent" w:history="1">
        <w:r>
          <w:rPr>
            <w:rStyle w:val="Hyperlink"/>
            <w:i/>
            <w:iCs/>
            <w:sz w:val="20"/>
          </w:rPr>
          <w:t>XIV-821</w:t>
        </w:r>
      </w:hyperlink>
      <w:r>
        <w:rPr>
          <w:i/>
          <w:iCs/>
          <w:color w:val="000000"/>
          <w:sz w:val="20"/>
        </w:rPr>
        <w:t>, 23/12/2021, published in the RLA, 30/12/2021, ID code 2021-27710</w:t>
      </w:r>
    </w:p>
    <w:p w14:paraId="267F5FD6" w14:textId="77777777" w:rsidR="004F4349" w:rsidRPr="000550CF" w:rsidRDefault="004F4349" w:rsidP="00F3494E">
      <w:pPr>
        <w:widowControl w:val="0"/>
        <w:ind w:firstLine="720"/>
        <w:jc w:val="both"/>
        <w:rPr>
          <w:szCs w:val="24"/>
          <w:lang w:eastAsia="lt-LT"/>
        </w:rPr>
      </w:pPr>
    </w:p>
    <w:p w14:paraId="194AD613" w14:textId="77777777" w:rsidR="00ED3A7E" w:rsidRPr="000550CF" w:rsidRDefault="00ED3A7E" w:rsidP="00F3494E">
      <w:pPr>
        <w:widowControl w:val="0"/>
        <w:ind w:firstLine="720"/>
        <w:jc w:val="both"/>
        <w:rPr>
          <w:szCs w:val="24"/>
        </w:rPr>
      </w:pPr>
      <w:r>
        <w:t xml:space="preserve">22. </w:t>
      </w:r>
      <w:r>
        <w:rPr>
          <w:b/>
        </w:rPr>
        <w:t>Close links</w:t>
      </w:r>
      <w:r>
        <w:t xml:space="preserve"> – means a situation in which two or more natural or legal persons, other organisations and subdivisions thereof are linked by:</w:t>
      </w:r>
    </w:p>
    <w:p w14:paraId="67036101" w14:textId="77777777" w:rsidR="00ED3A7E" w:rsidRPr="000550CF" w:rsidRDefault="00ED3A7E" w:rsidP="00F3494E">
      <w:pPr>
        <w:widowControl w:val="0"/>
        <w:ind w:firstLine="720"/>
        <w:jc w:val="both"/>
        <w:rPr>
          <w:szCs w:val="24"/>
        </w:rPr>
      </w:pPr>
      <w:r>
        <w:t xml:space="preserve">1) participation in the form of ownership, direct or by way of control, of at least 1/5 of the capital or of the voting rights of an </w:t>
      </w:r>
      <w:proofErr w:type="gramStart"/>
      <w:r>
        <w:t>undertaking;</w:t>
      </w:r>
      <w:proofErr w:type="gramEnd"/>
    </w:p>
    <w:p w14:paraId="07AD55DC" w14:textId="77777777" w:rsidR="00ED3A7E" w:rsidRPr="000550CF" w:rsidRDefault="00ED3A7E" w:rsidP="00F3494E">
      <w:pPr>
        <w:widowControl w:val="0"/>
        <w:ind w:firstLine="720"/>
        <w:jc w:val="both"/>
        <w:rPr>
          <w:szCs w:val="24"/>
        </w:rPr>
      </w:pPr>
      <w:r>
        <w:t xml:space="preserve">2) control which means the relationship between a parent undertaking and a </w:t>
      </w:r>
      <w:proofErr w:type="gramStart"/>
      <w:r>
        <w:t>subsidiary,  or</w:t>
      </w:r>
      <w:proofErr w:type="gramEnd"/>
      <w:r>
        <w:t xml:space="preserve"> a </w:t>
      </w:r>
      <w:r>
        <w:lastRenderedPageBreak/>
        <w:t>similar relationship between any natural or legal person and an undertaking, any subsidiary undertaking of a subsidiary undertaking also being considered to be a subsidiary of the parent undertaking which is at the head of those undertakings;</w:t>
      </w:r>
    </w:p>
    <w:p w14:paraId="1FC37B04" w14:textId="11012278" w:rsidR="00ED3A7E" w:rsidRDefault="00ED3A7E" w:rsidP="00F3494E">
      <w:pPr>
        <w:widowControl w:val="0"/>
        <w:ind w:firstLine="720"/>
        <w:jc w:val="both"/>
        <w:rPr>
          <w:szCs w:val="24"/>
        </w:rPr>
      </w:pPr>
      <w:r>
        <w:t>3) a permanent link of both or all of them to the same person by a control relationship.</w:t>
      </w:r>
    </w:p>
    <w:p w14:paraId="45999E0C" w14:textId="77777777" w:rsidR="004D0D72" w:rsidRPr="004D0D72" w:rsidRDefault="004D0D72" w:rsidP="004D0D72">
      <w:pPr>
        <w:spacing w:line="360" w:lineRule="atLeast"/>
        <w:ind w:firstLine="720"/>
        <w:jc w:val="both"/>
        <w:rPr>
          <w:color w:val="000000"/>
          <w:szCs w:val="24"/>
        </w:rPr>
      </w:pPr>
      <w:r>
        <w:rPr>
          <w:color w:val="000000"/>
          <w:szCs w:val="24"/>
        </w:rPr>
        <w:t>22</w:t>
      </w:r>
      <w:r>
        <w:rPr>
          <w:color w:val="000000"/>
          <w:szCs w:val="24"/>
          <w:vertAlign w:val="superscript"/>
        </w:rPr>
        <w:t>1</w:t>
      </w:r>
      <w:r>
        <w:rPr>
          <w:color w:val="000000"/>
          <w:szCs w:val="24"/>
        </w:rPr>
        <w:t>.</w:t>
      </w:r>
      <w:r>
        <w:rPr>
          <w:b/>
          <w:bCs/>
          <w:color w:val="000000"/>
          <w:szCs w:val="24"/>
        </w:rPr>
        <w:t> A proxy advisor</w:t>
      </w:r>
      <w:r>
        <w:rPr>
          <w:color w:val="000000"/>
          <w:szCs w:val="24"/>
        </w:rPr>
        <w:t xml:space="preserve"> </w:t>
      </w:r>
      <w:r>
        <w:rPr>
          <w:b/>
          <w:bCs/>
          <w:i/>
          <w:iCs/>
          <w:color w:val="000000"/>
          <w:szCs w:val="24"/>
        </w:rPr>
        <w:t>–</w:t>
      </w:r>
      <w:r>
        <w:rPr>
          <w:color w:val="000000"/>
          <w:szCs w:val="24"/>
        </w:rPr>
        <w:t xml:space="preserve"> means a legal person, another organisation or unit that analyses, on a professional and business activity basis, information disclosed by public limited liability companies whose shares are admitted to trading on a regulated market and, if need be, other information of such companies in order to provide studies, consultations or voting recommendations to investors to make voting decisions on the exercise of their voting rights.</w:t>
      </w:r>
    </w:p>
    <w:p w14:paraId="315107DB" w14:textId="77777777" w:rsidR="004D0D72" w:rsidRDefault="004D0D72" w:rsidP="004D0D72">
      <w:pPr>
        <w:rPr>
          <w:color w:val="000000"/>
          <w:sz w:val="27"/>
          <w:szCs w:val="27"/>
        </w:rPr>
      </w:pPr>
      <w:r>
        <w:rPr>
          <w:i/>
          <w:iCs/>
          <w:color w:val="000000"/>
          <w:sz w:val="20"/>
        </w:rPr>
        <w:t>Supplemented with the paragraph to the Article:</w:t>
      </w:r>
    </w:p>
    <w:p w14:paraId="0CA719B4" w14:textId="77777777" w:rsidR="004D0D72" w:rsidRDefault="004D0D72" w:rsidP="004D0D72">
      <w:pPr>
        <w:jc w:val="both"/>
        <w:rPr>
          <w:color w:val="000000"/>
          <w:sz w:val="27"/>
          <w:szCs w:val="27"/>
        </w:rPr>
      </w:pPr>
      <w:r>
        <w:rPr>
          <w:i/>
          <w:iCs/>
          <w:color w:val="000000"/>
          <w:sz w:val="20"/>
        </w:rPr>
        <w:t xml:space="preserve">No </w:t>
      </w:r>
      <w:hyperlink r:id="rId34" w:tgtFrame="_parent" w:history="1">
        <w:r>
          <w:rPr>
            <w:rStyle w:val="Hyperlink"/>
            <w:i/>
            <w:iCs/>
            <w:sz w:val="20"/>
          </w:rPr>
          <w:t>XIII-2252</w:t>
        </w:r>
      </w:hyperlink>
      <w:r>
        <w:rPr>
          <w:i/>
          <w:iCs/>
          <w:color w:val="000000"/>
          <w:sz w:val="20"/>
        </w:rPr>
        <w:t>, 27/06/2019, published in the RLA, 05/07/2019, ID code 2019-11172</w:t>
      </w:r>
    </w:p>
    <w:p w14:paraId="73941B20" w14:textId="77777777" w:rsidR="004D0D72" w:rsidRPr="000550CF" w:rsidRDefault="004D0D72" w:rsidP="00F3494E">
      <w:pPr>
        <w:widowControl w:val="0"/>
        <w:ind w:firstLine="720"/>
        <w:jc w:val="both"/>
        <w:rPr>
          <w:szCs w:val="24"/>
          <w:lang w:eastAsia="lt-LT"/>
        </w:rPr>
      </w:pPr>
    </w:p>
    <w:p w14:paraId="295314BB" w14:textId="06179508" w:rsidR="00ED3A7E" w:rsidRDefault="00ED3A7E" w:rsidP="00F3494E">
      <w:pPr>
        <w:ind w:firstLine="720"/>
        <w:jc w:val="both"/>
      </w:pPr>
      <w:r>
        <w:t xml:space="preserve">23. </w:t>
      </w:r>
      <w:r>
        <w:rPr>
          <w:b/>
        </w:rPr>
        <w:t xml:space="preserve">Group of undertakings </w:t>
      </w:r>
      <w:r>
        <w:t>– as defined in the Law of the Republic of Lithuania on Consolidated Accounts of Groups of Undertakings.</w:t>
      </w:r>
    </w:p>
    <w:p w14:paraId="1B4A76B0" w14:textId="77777777" w:rsidR="004D0D72" w:rsidRPr="004D0D72" w:rsidRDefault="004D0D72" w:rsidP="004D0D72">
      <w:pPr>
        <w:spacing w:line="360" w:lineRule="atLeast"/>
        <w:ind w:firstLine="720"/>
        <w:jc w:val="both"/>
        <w:rPr>
          <w:color w:val="000000"/>
          <w:szCs w:val="24"/>
        </w:rPr>
      </w:pPr>
      <w:r>
        <w:rPr>
          <w:color w:val="000000"/>
          <w:szCs w:val="24"/>
        </w:rPr>
        <w:t>23</w:t>
      </w:r>
      <w:r>
        <w:rPr>
          <w:color w:val="000000"/>
          <w:szCs w:val="24"/>
          <w:vertAlign w:val="superscript"/>
        </w:rPr>
        <w:t>1</w:t>
      </w:r>
      <w:r>
        <w:rPr>
          <w:color w:val="000000"/>
          <w:szCs w:val="24"/>
        </w:rPr>
        <w:t>.</w:t>
      </w:r>
      <w:r>
        <w:rPr>
          <w:b/>
          <w:bCs/>
          <w:color w:val="000000"/>
          <w:szCs w:val="24"/>
        </w:rPr>
        <w:t> Supervisory authority of a group of undertakings</w:t>
      </w:r>
      <w:r>
        <w:rPr>
          <w:color w:val="000000"/>
          <w:szCs w:val="24"/>
        </w:rPr>
        <w:t xml:space="preserve"> – means an authority responsible for supervising compliance with the alternative consolidation requirement for groups of undertakings in Union parent investment firms and financial brokerage firms controlled by Union parent investment holding companies or Union parent mixed financial holding companies.</w:t>
      </w:r>
    </w:p>
    <w:p w14:paraId="12B7FA68" w14:textId="77777777" w:rsidR="004D0D72" w:rsidRDefault="004D0D72" w:rsidP="004D0D72">
      <w:pPr>
        <w:rPr>
          <w:color w:val="000000"/>
          <w:sz w:val="27"/>
          <w:szCs w:val="27"/>
        </w:rPr>
      </w:pPr>
      <w:r>
        <w:rPr>
          <w:i/>
          <w:iCs/>
          <w:color w:val="000000"/>
          <w:sz w:val="20"/>
        </w:rPr>
        <w:t>Supplemented with the paragraph to the Article:</w:t>
      </w:r>
    </w:p>
    <w:p w14:paraId="3693FDFB" w14:textId="22E217DA" w:rsidR="004D0D72" w:rsidRDefault="004D0D72" w:rsidP="004D0D72">
      <w:pPr>
        <w:jc w:val="both"/>
        <w:rPr>
          <w:color w:val="000000"/>
          <w:sz w:val="27"/>
          <w:szCs w:val="27"/>
        </w:rPr>
      </w:pPr>
      <w:r>
        <w:rPr>
          <w:i/>
          <w:iCs/>
          <w:color w:val="000000"/>
          <w:sz w:val="20"/>
        </w:rPr>
        <w:t xml:space="preserve">No </w:t>
      </w:r>
      <w:hyperlink r:id="rId35" w:tgtFrame="_parent" w:history="1">
        <w:r>
          <w:rPr>
            <w:rStyle w:val="Hyperlink"/>
            <w:i/>
            <w:iCs/>
            <w:sz w:val="20"/>
          </w:rPr>
          <w:t>XIV-821</w:t>
        </w:r>
      </w:hyperlink>
      <w:r>
        <w:rPr>
          <w:i/>
          <w:iCs/>
          <w:color w:val="000000"/>
          <w:sz w:val="20"/>
        </w:rPr>
        <w:t>, 23/12/2021, published in the RLA, 30/12/2021, ID code 2021-27710</w:t>
      </w:r>
    </w:p>
    <w:p w14:paraId="51BD0655" w14:textId="77777777" w:rsidR="004D0D72" w:rsidRPr="000550CF" w:rsidRDefault="004D0D72" w:rsidP="00F3494E">
      <w:pPr>
        <w:ind w:firstLine="720"/>
        <w:jc w:val="both"/>
        <w:rPr>
          <w:lang w:eastAsia="lt-LT"/>
        </w:rPr>
      </w:pPr>
    </w:p>
    <w:p w14:paraId="734F2053" w14:textId="378CE747" w:rsidR="00ED3A7E" w:rsidRDefault="00ED3A7E" w:rsidP="00F3494E">
      <w:pPr>
        <w:ind w:firstLine="720"/>
        <w:jc w:val="both"/>
        <w:rPr>
          <w:szCs w:val="24"/>
        </w:rPr>
      </w:pPr>
      <w:r>
        <w:t xml:space="preserve">24. </w:t>
      </w:r>
    </w:p>
    <w:p w14:paraId="1E993DC4" w14:textId="77777777" w:rsidR="004D0D72" w:rsidRPr="004D0D72" w:rsidRDefault="004D0D72" w:rsidP="004D0D72">
      <w:pPr>
        <w:spacing w:line="360" w:lineRule="atLeast"/>
        <w:ind w:firstLine="720"/>
        <w:jc w:val="both"/>
        <w:rPr>
          <w:color w:val="000000"/>
          <w:szCs w:val="24"/>
        </w:rPr>
      </w:pPr>
      <w:r>
        <w:rPr>
          <w:b/>
          <w:bCs/>
          <w:color w:val="000000"/>
          <w:szCs w:val="24"/>
        </w:rPr>
        <w:t>Transactions reporting service provider</w:t>
      </w:r>
      <w:r>
        <w:rPr>
          <w:color w:val="000000"/>
          <w:szCs w:val="24"/>
        </w:rPr>
        <w:t xml:space="preserve"> – means a data provision service provider as defined in point 36a of Article 2(1) of Regulation (EU) No 600/2014.</w:t>
      </w:r>
    </w:p>
    <w:p w14:paraId="77E35587" w14:textId="77777777" w:rsidR="004D0D72" w:rsidRDefault="004D0D72" w:rsidP="004D0D72">
      <w:pPr>
        <w:rPr>
          <w:color w:val="000000"/>
          <w:sz w:val="27"/>
          <w:szCs w:val="27"/>
        </w:rPr>
      </w:pPr>
      <w:r>
        <w:rPr>
          <w:i/>
          <w:iCs/>
          <w:color w:val="000000"/>
          <w:sz w:val="20"/>
        </w:rPr>
        <w:t>Amendments to the paragraph of the Article:</w:t>
      </w:r>
    </w:p>
    <w:p w14:paraId="67550743" w14:textId="77777777" w:rsidR="004D0D72" w:rsidRDefault="004D0D72" w:rsidP="004D0D72">
      <w:pPr>
        <w:jc w:val="both"/>
        <w:rPr>
          <w:color w:val="000000"/>
          <w:sz w:val="27"/>
          <w:szCs w:val="27"/>
        </w:rPr>
      </w:pPr>
      <w:r>
        <w:rPr>
          <w:i/>
          <w:iCs/>
          <w:color w:val="000000"/>
          <w:sz w:val="20"/>
        </w:rPr>
        <w:t xml:space="preserve">No </w:t>
      </w:r>
      <w:hyperlink r:id="rId36" w:tgtFrame="_parent" w:history="1">
        <w:r>
          <w:rPr>
            <w:rStyle w:val="Hyperlink"/>
            <w:i/>
            <w:iCs/>
            <w:sz w:val="20"/>
          </w:rPr>
          <w:t>XIV-821</w:t>
        </w:r>
      </w:hyperlink>
      <w:r>
        <w:rPr>
          <w:i/>
          <w:iCs/>
          <w:color w:val="000000"/>
          <w:sz w:val="20"/>
        </w:rPr>
        <w:t>, 23/12/2021, published in the RLA, 30/12/2021, ID code 2021-27710</w:t>
      </w:r>
    </w:p>
    <w:p w14:paraId="7E4779ED" w14:textId="77777777" w:rsidR="004D0D72" w:rsidRPr="004D0D72" w:rsidRDefault="004D0D72" w:rsidP="004D0D72">
      <w:pPr>
        <w:spacing w:line="360" w:lineRule="atLeast"/>
        <w:ind w:firstLine="720"/>
        <w:jc w:val="both"/>
        <w:rPr>
          <w:color w:val="000000"/>
          <w:szCs w:val="24"/>
        </w:rPr>
      </w:pPr>
      <w:r>
        <w:rPr>
          <w:color w:val="000000"/>
          <w:szCs w:val="24"/>
        </w:rPr>
        <w:t>24</w:t>
      </w:r>
      <w:r>
        <w:rPr>
          <w:color w:val="000000"/>
          <w:szCs w:val="24"/>
          <w:vertAlign w:val="superscript"/>
        </w:rPr>
        <w:t>1</w:t>
      </w:r>
      <w:r>
        <w:rPr>
          <w:color w:val="000000"/>
          <w:szCs w:val="24"/>
        </w:rPr>
        <w:t>.</w:t>
      </w:r>
      <w:r>
        <w:rPr>
          <w:b/>
          <w:bCs/>
          <w:color w:val="000000"/>
          <w:szCs w:val="24"/>
        </w:rPr>
        <w:t> Institutional investor</w:t>
      </w:r>
      <w:r>
        <w:rPr>
          <w:color w:val="000000"/>
          <w:szCs w:val="24"/>
        </w:rPr>
        <w:t xml:space="preserve"> – means a company authorised to carry out life insurance activities and/or reinsurance activities, as defined in the Law on Insurance, as well as an occupational pension association, as defined in the Republic of Lithuania Law on the Accumulation of Occupational Pensions.</w:t>
      </w:r>
    </w:p>
    <w:p w14:paraId="171D75DB" w14:textId="77777777" w:rsidR="004D0D72" w:rsidRDefault="004D0D72" w:rsidP="004D0D72">
      <w:pPr>
        <w:rPr>
          <w:color w:val="000000"/>
          <w:sz w:val="27"/>
          <w:szCs w:val="27"/>
        </w:rPr>
      </w:pPr>
      <w:r>
        <w:rPr>
          <w:i/>
          <w:iCs/>
          <w:color w:val="000000"/>
          <w:sz w:val="20"/>
        </w:rPr>
        <w:t>Supplemented with the paragraph to the Article:</w:t>
      </w:r>
    </w:p>
    <w:p w14:paraId="603F16AB" w14:textId="77777777" w:rsidR="004D0D72" w:rsidRDefault="004D0D72" w:rsidP="004D0D72">
      <w:pPr>
        <w:jc w:val="both"/>
        <w:rPr>
          <w:color w:val="000000"/>
          <w:sz w:val="27"/>
          <w:szCs w:val="27"/>
        </w:rPr>
      </w:pPr>
      <w:r>
        <w:rPr>
          <w:i/>
          <w:iCs/>
          <w:color w:val="000000"/>
          <w:sz w:val="20"/>
        </w:rPr>
        <w:t xml:space="preserve">No </w:t>
      </w:r>
      <w:hyperlink r:id="rId37" w:tgtFrame="_parent" w:history="1">
        <w:r>
          <w:rPr>
            <w:rStyle w:val="Hyperlink"/>
            <w:i/>
            <w:iCs/>
            <w:sz w:val="20"/>
          </w:rPr>
          <w:t>XIII-2252</w:t>
        </w:r>
      </w:hyperlink>
      <w:r>
        <w:rPr>
          <w:i/>
          <w:iCs/>
          <w:color w:val="000000"/>
          <w:sz w:val="20"/>
        </w:rPr>
        <w:t>, 27/06/2019, published in the RLA, 05/07/2019, ID code 2019-11172</w:t>
      </w:r>
    </w:p>
    <w:p w14:paraId="6AFE40B2" w14:textId="77777777" w:rsidR="004D0D72" w:rsidRPr="000550CF" w:rsidRDefault="004D0D72" w:rsidP="00F3494E">
      <w:pPr>
        <w:ind w:firstLine="720"/>
        <w:jc w:val="both"/>
        <w:rPr>
          <w:szCs w:val="24"/>
          <w:lang w:eastAsia="lt-LT"/>
        </w:rPr>
      </w:pPr>
    </w:p>
    <w:p w14:paraId="3D97FA8D" w14:textId="6F5849CC" w:rsidR="00ED3A7E" w:rsidRDefault="00ED3A7E" w:rsidP="00F3494E">
      <w:pPr>
        <w:widowControl w:val="0"/>
        <w:ind w:firstLine="720"/>
        <w:jc w:val="both"/>
        <w:rPr>
          <w:szCs w:val="24"/>
        </w:rPr>
      </w:pPr>
      <w:r>
        <w:t xml:space="preserve">25. </w:t>
      </w:r>
      <w:r>
        <w:rPr>
          <w:b/>
          <w:szCs w:val="24"/>
        </w:rPr>
        <w:t>Investment advice</w:t>
      </w:r>
      <w:r>
        <w:t xml:space="preserve"> – means personal recommendation provided to a client at the initiative of a financial brokerage firm or the client on one or more transactions relating to financial instruments.</w:t>
      </w:r>
    </w:p>
    <w:p w14:paraId="6B6A7A39" w14:textId="77777777" w:rsidR="004D0D72" w:rsidRPr="004D0D72" w:rsidRDefault="004D0D72" w:rsidP="004D0D72">
      <w:pPr>
        <w:spacing w:line="360" w:lineRule="atLeast"/>
        <w:ind w:firstLine="720"/>
        <w:jc w:val="both"/>
        <w:rPr>
          <w:color w:val="000000"/>
          <w:szCs w:val="24"/>
        </w:rPr>
      </w:pPr>
      <w:r>
        <w:rPr>
          <w:color w:val="000000"/>
          <w:szCs w:val="24"/>
        </w:rPr>
        <w:t>25</w:t>
      </w:r>
      <w:r>
        <w:rPr>
          <w:color w:val="000000"/>
          <w:szCs w:val="24"/>
          <w:vertAlign w:val="superscript"/>
        </w:rPr>
        <w:t>1</w:t>
      </w:r>
      <w:r>
        <w:rPr>
          <w:color w:val="000000"/>
          <w:szCs w:val="24"/>
        </w:rPr>
        <w:t>. </w:t>
      </w:r>
      <w:r>
        <w:rPr>
          <w:b/>
          <w:bCs/>
          <w:color w:val="000000"/>
          <w:szCs w:val="24"/>
        </w:rPr>
        <w:t>Investment holding company</w:t>
      </w:r>
      <w:r>
        <w:rPr>
          <w:color w:val="000000"/>
          <w:szCs w:val="24"/>
        </w:rPr>
        <w:t xml:space="preserve"> – as defined in point 23 of Article 4(1) of Regulation (EU) 2019/2033.</w:t>
      </w:r>
    </w:p>
    <w:p w14:paraId="6EDFCCB9" w14:textId="77777777" w:rsidR="004D0D72" w:rsidRDefault="004D0D72" w:rsidP="004D0D72">
      <w:pPr>
        <w:rPr>
          <w:color w:val="000000"/>
          <w:sz w:val="27"/>
          <w:szCs w:val="27"/>
        </w:rPr>
      </w:pPr>
      <w:r>
        <w:rPr>
          <w:i/>
          <w:iCs/>
          <w:color w:val="000000"/>
          <w:sz w:val="20"/>
        </w:rPr>
        <w:t>Supplemented with the paragraph to the Article:</w:t>
      </w:r>
    </w:p>
    <w:p w14:paraId="1ABDC454" w14:textId="77777777" w:rsidR="004D0D72" w:rsidRDefault="004D0D72" w:rsidP="004D0D72">
      <w:pPr>
        <w:jc w:val="both"/>
        <w:rPr>
          <w:color w:val="000000"/>
          <w:sz w:val="27"/>
          <w:szCs w:val="27"/>
        </w:rPr>
      </w:pPr>
      <w:r>
        <w:rPr>
          <w:i/>
          <w:iCs/>
          <w:color w:val="000000"/>
          <w:sz w:val="20"/>
        </w:rPr>
        <w:t xml:space="preserve">No </w:t>
      </w:r>
      <w:hyperlink r:id="rId38" w:tgtFrame="_parent" w:history="1">
        <w:r>
          <w:rPr>
            <w:rStyle w:val="Hyperlink"/>
            <w:i/>
            <w:iCs/>
            <w:sz w:val="20"/>
          </w:rPr>
          <w:t>XIV-821</w:t>
        </w:r>
      </w:hyperlink>
      <w:r>
        <w:rPr>
          <w:i/>
          <w:iCs/>
          <w:color w:val="000000"/>
          <w:sz w:val="20"/>
        </w:rPr>
        <w:t>, 23/12/2021, published in the RLA, 30/12/2021, ID code 2021-27710</w:t>
      </w:r>
    </w:p>
    <w:p w14:paraId="2913F90B" w14:textId="77777777" w:rsidR="004D0D72" w:rsidRPr="000550CF" w:rsidRDefault="004D0D72" w:rsidP="00F3494E">
      <w:pPr>
        <w:widowControl w:val="0"/>
        <w:ind w:firstLine="720"/>
        <w:jc w:val="both"/>
        <w:rPr>
          <w:szCs w:val="24"/>
          <w:lang w:eastAsia="lt-LT"/>
        </w:rPr>
      </w:pPr>
    </w:p>
    <w:p w14:paraId="0A73CA5E" w14:textId="77777777" w:rsidR="00ED3A7E" w:rsidRPr="000550CF" w:rsidRDefault="00ED3A7E" w:rsidP="00F3494E">
      <w:pPr>
        <w:widowControl w:val="0"/>
        <w:ind w:firstLine="720"/>
        <w:jc w:val="both"/>
        <w:rPr>
          <w:szCs w:val="24"/>
        </w:rPr>
      </w:pPr>
      <w:r>
        <w:t xml:space="preserve">26. </w:t>
      </w:r>
      <w:r>
        <w:rPr>
          <w:b/>
        </w:rPr>
        <w:t>Investment services and activities</w:t>
      </w:r>
      <w:r>
        <w:t xml:space="preserve"> (hereinafter – investment services) means the following services and activities relating to one or more financial instruments:</w:t>
      </w:r>
    </w:p>
    <w:p w14:paraId="17273525" w14:textId="77777777" w:rsidR="00ED3A7E" w:rsidRPr="000550CF" w:rsidRDefault="00ED3A7E" w:rsidP="00F3494E">
      <w:pPr>
        <w:widowControl w:val="0"/>
        <w:ind w:firstLine="720"/>
        <w:jc w:val="both"/>
        <w:rPr>
          <w:szCs w:val="24"/>
        </w:rPr>
      </w:pPr>
      <w:r>
        <w:t xml:space="preserve">1) reception and transmission of </w:t>
      </w:r>
      <w:proofErr w:type="gramStart"/>
      <w:r>
        <w:t>orders;</w:t>
      </w:r>
      <w:proofErr w:type="gramEnd"/>
    </w:p>
    <w:p w14:paraId="562E7A5F" w14:textId="77777777" w:rsidR="00ED3A7E" w:rsidRPr="000550CF" w:rsidRDefault="00ED3A7E" w:rsidP="00F3494E">
      <w:pPr>
        <w:widowControl w:val="0"/>
        <w:ind w:firstLine="720"/>
        <w:jc w:val="both"/>
        <w:rPr>
          <w:szCs w:val="24"/>
        </w:rPr>
      </w:pPr>
      <w:r>
        <w:t xml:space="preserve">2) execution of orders on behalf of </w:t>
      </w:r>
      <w:proofErr w:type="gramStart"/>
      <w:r>
        <w:t>clients;</w:t>
      </w:r>
      <w:proofErr w:type="gramEnd"/>
    </w:p>
    <w:p w14:paraId="5019759D" w14:textId="77777777" w:rsidR="00ED3A7E" w:rsidRPr="000550CF" w:rsidRDefault="00ED3A7E" w:rsidP="00F3494E">
      <w:pPr>
        <w:widowControl w:val="0"/>
        <w:ind w:firstLine="720"/>
        <w:jc w:val="both"/>
        <w:rPr>
          <w:szCs w:val="24"/>
        </w:rPr>
      </w:pPr>
      <w:r>
        <w:t xml:space="preserve">3) dealing on own </w:t>
      </w:r>
      <w:proofErr w:type="gramStart"/>
      <w:r>
        <w:t>account;</w:t>
      </w:r>
      <w:proofErr w:type="gramEnd"/>
    </w:p>
    <w:p w14:paraId="7BC1DF79" w14:textId="77777777" w:rsidR="00ED3A7E" w:rsidRPr="000550CF" w:rsidRDefault="00ED3A7E" w:rsidP="00F3494E">
      <w:pPr>
        <w:widowControl w:val="0"/>
        <w:ind w:firstLine="720"/>
        <w:jc w:val="both"/>
        <w:rPr>
          <w:szCs w:val="24"/>
        </w:rPr>
      </w:pPr>
      <w:r>
        <w:t xml:space="preserve">4) financial instruments portfolio </w:t>
      </w:r>
      <w:proofErr w:type="gramStart"/>
      <w:r>
        <w:t>management;</w:t>
      </w:r>
      <w:proofErr w:type="gramEnd"/>
    </w:p>
    <w:p w14:paraId="57A7242F" w14:textId="77777777" w:rsidR="00ED3A7E" w:rsidRPr="000550CF" w:rsidRDefault="00ED3A7E" w:rsidP="00F3494E">
      <w:pPr>
        <w:widowControl w:val="0"/>
        <w:ind w:firstLine="720"/>
        <w:jc w:val="both"/>
        <w:rPr>
          <w:szCs w:val="24"/>
        </w:rPr>
      </w:pPr>
      <w:r>
        <w:t xml:space="preserve">5) investment </w:t>
      </w:r>
      <w:proofErr w:type="gramStart"/>
      <w:r>
        <w:t>advice;</w:t>
      </w:r>
      <w:proofErr w:type="gramEnd"/>
    </w:p>
    <w:p w14:paraId="42240966" w14:textId="77777777" w:rsidR="00ED3A7E" w:rsidRPr="000550CF" w:rsidRDefault="00ED3A7E" w:rsidP="00F3494E">
      <w:pPr>
        <w:widowControl w:val="0"/>
        <w:ind w:firstLine="720"/>
        <w:jc w:val="both"/>
        <w:rPr>
          <w:szCs w:val="24"/>
        </w:rPr>
      </w:pPr>
      <w:r>
        <w:t xml:space="preserve">6) underwriting of financial instruments and/or placing of financial instruments on a firm commitment </w:t>
      </w:r>
      <w:proofErr w:type="gramStart"/>
      <w:r>
        <w:t>basis;</w:t>
      </w:r>
      <w:proofErr w:type="gramEnd"/>
    </w:p>
    <w:p w14:paraId="7B895E3A" w14:textId="77777777" w:rsidR="00ED3A7E" w:rsidRPr="000550CF" w:rsidRDefault="00ED3A7E" w:rsidP="00F3494E">
      <w:pPr>
        <w:widowControl w:val="0"/>
        <w:ind w:firstLine="720"/>
        <w:jc w:val="both"/>
        <w:rPr>
          <w:szCs w:val="24"/>
        </w:rPr>
      </w:pPr>
      <w:r>
        <w:lastRenderedPageBreak/>
        <w:t xml:space="preserve">7) placing of financial instruments without a firm commitment </w:t>
      </w:r>
      <w:proofErr w:type="gramStart"/>
      <w:r>
        <w:t>basis;</w:t>
      </w:r>
      <w:proofErr w:type="gramEnd"/>
    </w:p>
    <w:p w14:paraId="5FF0BE8B" w14:textId="77777777" w:rsidR="00ED3A7E" w:rsidRPr="000550CF" w:rsidRDefault="00ED3A7E" w:rsidP="00F3494E">
      <w:pPr>
        <w:widowControl w:val="0"/>
        <w:ind w:firstLine="720"/>
        <w:jc w:val="both"/>
        <w:rPr>
          <w:szCs w:val="24"/>
        </w:rPr>
      </w:pPr>
      <w:r>
        <w:t>8) operation of a multilateral trading facility (MTF</w:t>
      </w:r>
      <w:proofErr w:type="gramStart"/>
      <w:r>
        <w:t>);</w:t>
      </w:r>
      <w:proofErr w:type="gramEnd"/>
    </w:p>
    <w:p w14:paraId="31CAD4DB" w14:textId="77777777" w:rsidR="00ED3A7E" w:rsidRPr="000550CF" w:rsidRDefault="00ED3A7E" w:rsidP="00F3494E">
      <w:pPr>
        <w:widowControl w:val="0"/>
        <w:ind w:firstLine="720"/>
        <w:jc w:val="both"/>
        <w:rPr>
          <w:szCs w:val="24"/>
        </w:rPr>
      </w:pPr>
      <w:r>
        <w:t>9) operation of an organised trading facility (OTF).</w:t>
      </w:r>
    </w:p>
    <w:p w14:paraId="4D54A0C9" w14:textId="77777777" w:rsidR="00ED3A7E" w:rsidRPr="000550CF" w:rsidRDefault="00ED3A7E" w:rsidP="00F3494E">
      <w:pPr>
        <w:widowControl w:val="0"/>
        <w:ind w:firstLine="720"/>
        <w:jc w:val="both"/>
        <w:rPr>
          <w:szCs w:val="24"/>
        </w:rPr>
      </w:pPr>
      <w:r>
        <w:t xml:space="preserve">27. </w:t>
      </w:r>
      <w:r>
        <w:rPr>
          <w:b/>
          <w:szCs w:val="24"/>
        </w:rPr>
        <w:t>Investor</w:t>
      </w:r>
      <w:r>
        <w:t xml:space="preserve"> means a person who holds securities by the right of ownership or intends to acquire them.</w:t>
      </w:r>
    </w:p>
    <w:p w14:paraId="42A926F2" w14:textId="77777777" w:rsidR="00ED3A7E" w:rsidRPr="000550CF" w:rsidRDefault="00ED3A7E" w:rsidP="00F3494E">
      <w:pPr>
        <w:widowControl w:val="0"/>
        <w:ind w:firstLine="720"/>
        <w:jc w:val="both"/>
        <w:rPr>
          <w:szCs w:val="24"/>
        </w:rPr>
      </w:pPr>
      <w:r>
        <w:t xml:space="preserve">28. </w:t>
      </w:r>
      <w:r>
        <w:rPr>
          <w:b/>
          <w:szCs w:val="24"/>
        </w:rPr>
        <w:t xml:space="preserve">Acquirer </w:t>
      </w:r>
      <w:r>
        <w:t xml:space="preserve">– any natural or legal person or such persons acting in concert who have taken a decision either to acquire or to further increase, directly or indirectly, a qualifying holding of the capital and/or of the voting rights of a financial brokerage firm. </w:t>
      </w:r>
    </w:p>
    <w:p w14:paraId="6E47E947" w14:textId="77777777" w:rsidR="00ED3A7E" w:rsidRPr="000550CF" w:rsidRDefault="00ED3A7E" w:rsidP="00F3494E">
      <w:pPr>
        <w:widowControl w:val="0"/>
        <w:ind w:firstLine="720"/>
        <w:jc w:val="both"/>
        <w:rPr>
          <w:szCs w:val="24"/>
        </w:rPr>
      </w:pPr>
      <w:r>
        <w:t xml:space="preserve">29. </w:t>
      </w:r>
      <w:r>
        <w:rPr>
          <w:b/>
          <w:szCs w:val="24"/>
        </w:rPr>
        <w:t>Derivatives</w:t>
      </w:r>
      <w:r>
        <w:t xml:space="preserve"> – as defined in Article 2(1)(29) of Regulation (EU) No 600/2014.</w:t>
      </w:r>
    </w:p>
    <w:p w14:paraId="57CD410D" w14:textId="77777777" w:rsidR="00ED3A7E" w:rsidRPr="000550CF" w:rsidRDefault="00ED3A7E" w:rsidP="00F3494E">
      <w:pPr>
        <w:widowControl w:val="0"/>
        <w:ind w:firstLine="720"/>
        <w:jc w:val="both"/>
        <w:rPr>
          <w:szCs w:val="24"/>
        </w:rPr>
      </w:pPr>
      <w:r>
        <w:t xml:space="preserve">30. </w:t>
      </w:r>
      <w:r>
        <w:rPr>
          <w:b/>
          <w:szCs w:val="24"/>
        </w:rPr>
        <w:t>Joint (consolidated) supervision</w:t>
      </w:r>
      <w:r>
        <w:t xml:space="preserve"> – as defined in the Law of the Republic of Lithuania on Financial Institutions.</w:t>
      </w:r>
    </w:p>
    <w:p w14:paraId="78457E17" w14:textId="77777777" w:rsidR="00ED3A7E" w:rsidRPr="000550CF" w:rsidRDefault="00ED3A7E" w:rsidP="00F3494E">
      <w:pPr>
        <w:widowControl w:val="0"/>
        <w:ind w:firstLine="720"/>
        <w:jc w:val="both"/>
        <w:rPr>
          <w:szCs w:val="24"/>
        </w:rPr>
      </w:pPr>
      <w:r>
        <w:t xml:space="preserve">31. </w:t>
      </w:r>
      <w:r>
        <w:rPr>
          <w:b/>
          <w:szCs w:val="24"/>
        </w:rPr>
        <w:t>Persons acting in concert</w:t>
      </w:r>
      <w:r>
        <w:t xml:space="preserve"> – means two or more persons who on the basis of their explicit or implicit verbal or written agreement implement or seek to implement their rights conferred by the qualifying holding of the capital and/or of the voting rights held by them in a financial brokerage firm.</w:t>
      </w:r>
    </w:p>
    <w:p w14:paraId="39B34571" w14:textId="0EA7FC1A" w:rsidR="004D0D72" w:rsidRPr="004D0D72" w:rsidRDefault="00ED3A7E" w:rsidP="004D0D72">
      <w:pPr>
        <w:spacing w:line="360" w:lineRule="atLeast"/>
        <w:ind w:firstLine="720"/>
        <w:jc w:val="both"/>
        <w:rPr>
          <w:color w:val="000000"/>
          <w:szCs w:val="24"/>
        </w:rPr>
      </w:pPr>
      <w:r>
        <w:t xml:space="preserve">32.  </w:t>
      </w:r>
      <w:r>
        <w:rPr>
          <w:b/>
          <w:bCs/>
          <w:color w:val="000000"/>
          <w:szCs w:val="24"/>
        </w:rPr>
        <w:t>Client</w:t>
      </w:r>
      <w:r>
        <w:rPr>
          <w:color w:val="000000"/>
          <w:szCs w:val="24"/>
        </w:rPr>
        <w:t xml:space="preserve"> - means any natural or legal person, another organisation or a subdivision thereof to whom a financial brokerage firm, asset manager or institutional investor provides investment and/or ancillary services.</w:t>
      </w:r>
    </w:p>
    <w:p w14:paraId="2D7BE26F" w14:textId="77777777" w:rsidR="004D0D72" w:rsidRDefault="004D0D72" w:rsidP="004D0D72">
      <w:pPr>
        <w:rPr>
          <w:color w:val="000000"/>
          <w:sz w:val="27"/>
          <w:szCs w:val="27"/>
        </w:rPr>
      </w:pPr>
      <w:r>
        <w:rPr>
          <w:i/>
          <w:iCs/>
          <w:color w:val="000000"/>
          <w:sz w:val="20"/>
        </w:rPr>
        <w:t>Amendments to the paragraph of the Article:</w:t>
      </w:r>
    </w:p>
    <w:p w14:paraId="04AA82C3" w14:textId="77777777" w:rsidR="004D0D72" w:rsidRDefault="004D0D72" w:rsidP="004D0D72">
      <w:pPr>
        <w:jc w:val="both"/>
        <w:rPr>
          <w:color w:val="000000"/>
          <w:sz w:val="27"/>
          <w:szCs w:val="27"/>
        </w:rPr>
      </w:pPr>
      <w:r>
        <w:rPr>
          <w:i/>
          <w:iCs/>
          <w:color w:val="000000"/>
          <w:sz w:val="20"/>
        </w:rPr>
        <w:t xml:space="preserve">No </w:t>
      </w:r>
      <w:hyperlink r:id="rId39" w:tgtFrame="_parent" w:history="1">
        <w:r>
          <w:rPr>
            <w:rStyle w:val="Hyperlink"/>
            <w:i/>
            <w:iCs/>
            <w:sz w:val="20"/>
          </w:rPr>
          <w:t>XIII-2252</w:t>
        </w:r>
      </w:hyperlink>
      <w:r>
        <w:rPr>
          <w:i/>
          <w:iCs/>
          <w:color w:val="000000"/>
          <w:sz w:val="20"/>
        </w:rPr>
        <w:t>, 27/06/2019, published in the RLA, 05/07/2019, ID code 2019-11172</w:t>
      </w:r>
    </w:p>
    <w:p w14:paraId="1D03278D" w14:textId="1C671C6D" w:rsidR="00ED3A7E" w:rsidRPr="000550CF" w:rsidRDefault="00ED3A7E" w:rsidP="00F3494E">
      <w:pPr>
        <w:ind w:firstLine="720"/>
        <w:jc w:val="both"/>
        <w:rPr>
          <w:lang w:eastAsia="lt-LT"/>
        </w:rPr>
      </w:pPr>
    </w:p>
    <w:p w14:paraId="1D1114FB" w14:textId="6E18AA6C" w:rsidR="00ED3A7E" w:rsidRDefault="00ED3A7E" w:rsidP="00F3494E">
      <w:pPr>
        <w:widowControl w:val="0"/>
        <w:ind w:firstLine="720"/>
        <w:jc w:val="both"/>
        <w:rPr>
          <w:szCs w:val="24"/>
        </w:rPr>
      </w:pPr>
      <w:r>
        <w:t xml:space="preserve">33. </w:t>
      </w:r>
      <w:r>
        <w:rPr>
          <w:b/>
          <w:szCs w:val="24"/>
        </w:rPr>
        <w:t>Management company of a</w:t>
      </w:r>
      <w:r>
        <w:t xml:space="preserve"> </w:t>
      </w:r>
      <w:r>
        <w:rPr>
          <w:b/>
          <w:szCs w:val="24"/>
        </w:rPr>
        <w:t xml:space="preserve">collective investment undertaking </w:t>
      </w:r>
      <w:r>
        <w:t>(hereinafter – a</w:t>
      </w:r>
      <w:r>
        <w:rPr>
          <w:b/>
          <w:szCs w:val="24"/>
        </w:rPr>
        <w:t xml:space="preserve"> </w:t>
      </w:r>
      <w:r>
        <w:t>management company) – as defined in the Law of the Republic of Lithuania on Collective Investment Undertakings.</w:t>
      </w:r>
    </w:p>
    <w:p w14:paraId="4047AF43" w14:textId="77777777" w:rsidR="004D0D72" w:rsidRDefault="004D0D72" w:rsidP="004D0D72">
      <w:pPr>
        <w:spacing w:line="360" w:lineRule="atLeast"/>
        <w:ind w:firstLine="720"/>
        <w:jc w:val="both"/>
        <w:rPr>
          <w:color w:val="000000"/>
        </w:rPr>
      </w:pPr>
      <w:r>
        <w:rPr>
          <w:color w:val="000000"/>
        </w:rPr>
        <w:t>33</w:t>
      </w:r>
      <w:r>
        <w:rPr>
          <w:color w:val="000000"/>
          <w:vertAlign w:val="superscript"/>
        </w:rPr>
        <w:t>1</w:t>
      </w:r>
      <w:r>
        <w:rPr>
          <w:color w:val="000000"/>
        </w:rPr>
        <w:t>.</w:t>
      </w:r>
      <w:r>
        <w:rPr>
          <w:b/>
          <w:bCs/>
          <w:color w:val="000000"/>
          <w:vertAlign w:val="superscript"/>
        </w:rPr>
        <w:t> </w:t>
      </w:r>
      <w:r>
        <w:rPr>
          <w:b/>
          <w:bCs/>
          <w:color w:val="000000"/>
        </w:rPr>
        <w:t>Commercial activity group</w:t>
      </w:r>
      <w:r>
        <w:rPr>
          <w:color w:val="000000"/>
        </w:rPr>
        <w:t xml:space="preserve"> – means a group the operating activities of which are other than the provision of investment services or banking services or the activities of commodity derivatives market makers.</w:t>
      </w:r>
    </w:p>
    <w:p w14:paraId="191B6F64" w14:textId="77777777" w:rsidR="004D0D72" w:rsidRDefault="004D0D72" w:rsidP="004D0D72">
      <w:pPr>
        <w:rPr>
          <w:color w:val="000000"/>
        </w:rPr>
      </w:pPr>
      <w:r>
        <w:rPr>
          <w:i/>
          <w:iCs/>
          <w:color w:val="000000"/>
          <w:sz w:val="20"/>
        </w:rPr>
        <w:t>Supplemented with the paragraph to the Article:</w:t>
      </w:r>
    </w:p>
    <w:p w14:paraId="5819115C" w14:textId="72823B31" w:rsidR="004D0D72" w:rsidRDefault="004D0D72" w:rsidP="004D0D72">
      <w:pPr>
        <w:jc w:val="both"/>
        <w:rPr>
          <w:color w:val="000000"/>
        </w:rPr>
      </w:pPr>
      <w:r>
        <w:rPr>
          <w:i/>
          <w:iCs/>
          <w:color w:val="000000"/>
          <w:sz w:val="20"/>
        </w:rPr>
        <w:t xml:space="preserve">No </w:t>
      </w:r>
      <w:hyperlink r:id="rId40" w:tgtFrame="_parent" w:history="1">
        <w:r>
          <w:rPr>
            <w:rStyle w:val="Hyperlink"/>
            <w:i/>
            <w:iCs/>
            <w:sz w:val="20"/>
          </w:rPr>
          <w:t>XIV-821</w:t>
        </w:r>
      </w:hyperlink>
      <w:r>
        <w:rPr>
          <w:i/>
          <w:iCs/>
          <w:color w:val="000000"/>
          <w:sz w:val="20"/>
        </w:rPr>
        <w:t>, 23/12/2021, published in the RLA, 30/12/2021, ID code 2021-27710</w:t>
      </w:r>
    </w:p>
    <w:p w14:paraId="54BBEA69" w14:textId="77777777" w:rsidR="004D0D72" w:rsidRDefault="004D0D72" w:rsidP="004D0D72">
      <w:pPr>
        <w:spacing w:line="360" w:lineRule="atLeast"/>
        <w:ind w:firstLine="720"/>
        <w:jc w:val="both"/>
        <w:rPr>
          <w:color w:val="000000"/>
        </w:rPr>
      </w:pPr>
      <w:bookmarkStart w:id="9" w:name="part_730b9ffffebb4e89a295638648a479cc"/>
      <w:bookmarkEnd w:id="9"/>
      <w:r>
        <w:rPr>
          <w:color w:val="000000"/>
        </w:rPr>
        <w:t>33</w:t>
      </w:r>
      <w:r>
        <w:rPr>
          <w:color w:val="000000"/>
          <w:vertAlign w:val="superscript"/>
        </w:rPr>
        <w:t>2</w:t>
      </w:r>
      <w:r>
        <w:rPr>
          <w:color w:val="000000"/>
        </w:rPr>
        <w:t>. </w:t>
      </w:r>
      <w:r>
        <w:rPr>
          <w:b/>
          <w:bCs/>
          <w:color w:val="000000"/>
        </w:rPr>
        <w:t>Competent Member State</w:t>
      </w:r>
      <w:r>
        <w:rPr>
          <w:color w:val="000000"/>
        </w:rPr>
        <w:t>:</w:t>
      </w:r>
    </w:p>
    <w:p w14:paraId="481C9EE0" w14:textId="77777777" w:rsidR="004D0D72" w:rsidRDefault="004D0D72" w:rsidP="004D0D72">
      <w:pPr>
        <w:rPr>
          <w:color w:val="000000"/>
        </w:rPr>
      </w:pPr>
      <w:r>
        <w:rPr>
          <w:i/>
          <w:iCs/>
          <w:color w:val="000000"/>
          <w:sz w:val="20"/>
        </w:rPr>
        <w:t>Amendments to the numbering of the paragraph of the Article:</w:t>
      </w:r>
    </w:p>
    <w:p w14:paraId="02CEFBAE" w14:textId="7380E2F4" w:rsidR="004D0D72" w:rsidRDefault="004D0D72" w:rsidP="004D0D72">
      <w:pPr>
        <w:jc w:val="both"/>
        <w:rPr>
          <w:color w:val="000000"/>
        </w:rPr>
      </w:pPr>
      <w:r>
        <w:rPr>
          <w:i/>
          <w:iCs/>
          <w:color w:val="000000"/>
          <w:sz w:val="20"/>
        </w:rPr>
        <w:t xml:space="preserve">No </w:t>
      </w:r>
      <w:hyperlink r:id="rId41" w:tgtFrame="_parent" w:history="1">
        <w:r>
          <w:rPr>
            <w:rStyle w:val="Hyperlink"/>
            <w:i/>
            <w:iCs/>
            <w:sz w:val="20"/>
          </w:rPr>
          <w:t>XIV-821</w:t>
        </w:r>
      </w:hyperlink>
      <w:r>
        <w:rPr>
          <w:i/>
          <w:iCs/>
          <w:color w:val="000000"/>
          <w:sz w:val="20"/>
        </w:rPr>
        <w:t>, 23/12/2021, published in the RLA, 30/12/2021, ID code 2021-27710</w:t>
      </w:r>
    </w:p>
    <w:p w14:paraId="5999E62D" w14:textId="77777777" w:rsidR="004D0D72" w:rsidRDefault="004D0D72" w:rsidP="004D0D72">
      <w:pPr>
        <w:spacing w:line="360" w:lineRule="atLeast"/>
        <w:ind w:firstLine="720"/>
        <w:jc w:val="both"/>
        <w:rPr>
          <w:color w:val="000000"/>
        </w:rPr>
      </w:pPr>
      <w:bookmarkStart w:id="10" w:name="part_1dc52b3d8bba455eb501ee1f7f950f95"/>
      <w:bookmarkEnd w:id="10"/>
      <w:r>
        <w:rPr>
          <w:color w:val="000000"/>
        </w:rPr>
        <w:t xml:space="preserve">1) in the case of institutional investors and asset managers – means the home Member State, as defined in the European Union legal act applicable to the specific sector or in the national legal act implementing the European Union </w:t>
      </w:r>
      <w:proofErr w:type="gramStart"/>
      <w:r>
        <w:rPr>
          <w:color w:val="000000"/>
        </w:rPr>
        <w:t>legislation;</w:t>
      </w:r>
      <w:proofErr w:type="gramEnd"/>
    </w:p>
    <w:p w14:paraId="00202D63" w14:textId="77777777" w:rsidR="004D0D72" w:rsidRDefault="004D0D72" w:rsidP="004D0D72">
      <w:pPr>
        <w:spacing w:line="360" w:lineRule="atLeast"/>
        <w:ind w:firstLine="720"/>
        <w:jc w:val="both"/>
        <w:rPr>
          <w:color w:val="000000"/>
        </w:rPr>
      </w:pPr>
      <w:bookmarkStart w:id="11" w:name="part_195b172b229c42609c0e4e02c244170c"/>
      <w:bookmarkEnd w:id="11"/>
      <w:r>
        <w:rPr>
          <w:color w:val="000000"/>
        </w:rPr>
        <w:t>2) in the case of proxy advisers – means the Member State where the proxy adviser has its registered office or, if the proxy adviser does not have a registered office in a Member State, the Member State where the proxy adviser has its head office or, if the proxy adviser has neither a registered office nor a head office in the Member State, the Member State in which the proxy adviser is established.</w:t>
      </w:r>
    </w:p>
    <w:p w14:paraId="6D79DBB2" w14:textId="77777777" w:rsidR="004D0D72" w:rsidRDefault="004D0D72" w:rsidP="004D0D72">
      <w:pPr>
        <w:rPr>
          <w:color w:val="000000"/>
        </w:rPr>
      </w:pPr>
      <w:r>
        <w:rPr>
          <w:i/>
          <w:iCs/>
          <w:color w:val="000000"/>
          <w:sz w:val="20"/>
        </w:rPr>
        <w:t>Supplemented with the paragraph to the Article:</w:t>
      </w:r>
    </w:p>
    <w:p w14:paraId="294298D3" w14:textId="4B779F5A" w:rsidR="004D0D72" w:rsidRDefault="004D0D72" w:rsidP="004D0D72">
      <w:pPr>
        <w:jc w:val="both"/>
        <w:rPr>
          <w:color w:val="000000"/>
        </w:rPr>
      </w:pPr>
      <w:r>
        <w:rPr>
          <w:i/>
          <w:iCs/>
          <w:color w:val="000000"/>
          <w:sz w:val="20"/>
        </w:rPr>
        <w:t xml:space="preserve">No </w:t>
      </w:r>
      <w:hyperlink r:id="rId42" w:tgtFrame="_parent" w:history="1">
        <w:r>
          <w:rPr>
            <w:rStyle w:val="Hyperlink"/>
            <w:i/>
            <w:iCs/>
            <w:sz w:val="20"/>
          </w:rPr>
          <w:t>XIII-2252</w:t>
        </w:r>
      </w:hyperlink>
      <w:r>
        <w:rPr>
          <w:i/>
          <w:iCs/>
          <w:color w:val="000000"/>
          <w:sz w:val="20"/>
        </w:rPr>
        <w:t>, 27/06/2019, published in the RLA, 05/07/2019, ID code 2019-11172</w:t>
      </w:r>
    </w:p>
    <w:p w14:paraId="7AEDA4CD" w14:textId="77777777" w:rsidR="004D0D72" w:rsidRDefault="004D0D72" w:rsidP="004D0D72">
      <w:pPr>
        <w:spacing w:line="360" w:lineRule="atLeast"/>
        <w:ind w:firstLine="720"/>
        <w:jc w:val="both"/>
        <w:rPr>
          <w:color w:val="000000"/>
        </w:rPr>
      </w:pPr>
      <w:bookmarkStart w:id="12" w:name="part_4538ab89347e4811a839a0817ffc9df9"/>
      <w:bookmarkEnd w:id="12"/>
      <w:r>
        <w:rPr>
          <w:color w:val="000000"/>
        </w:rPr>
        <w:t>33</w:t>
      </w:r>
      <w:r>
        <w:rPr>
          <w:color w:val="000000"/>
          <w:vertAlign w:val="superscript"/>
        </w:rPr>
        <w:t>3</w:t>
      </w:r>
      <w:r>
        <w:rPr>
          <w:color w:val="000000"/>
        </w:rPr>
        <w:t>. </w:t>
      </w:r>
      <w:r>
        <w:rPr>
          <w:b/>
          <w:bCs/>
          <w:color w:val="000000"/>
        </w:rPr>
        <w:t>Consolidated situation</w:t>
      </w:r>
      <w:r>
        <w:rPr>
          <w:color w:val="000000"/>
        </w:rPr>
        <w:t xml:space="preserve"> – as defined in point 11 of Article 4(1) of Regulation (EU) 2019/2033.</w:t>
      </w:r>
    </w:p>
    <w:p w14:paraId="09D837A0" w14:textId="77777777" w:rsidR="004D0D72" w:rsidRDefault="004D0D72" w:rsidP="004D0D72">
      <w:pPr>
        <w:rPr>
          <w:color w:val="000000"/>
        </w:rPr>
      </w:pPr>
      <w:r>
        <w:rPr>
          <w:i/>
          <w:iCs/>
          <w:color w:val="000000"/>
          <w:sz w:val="20"/>
        </w:rPr>
        <w:t>Supplemented with the paragraph to the Article:</w:t>
      </w:r>
    </w:p>
    <w:p w14:paraId="46DA9F03" w14:textId="77777777" w:rsidR="004D0D72" w:rsidRDefault="004D0D72" w:rsidP="004D0D72">
      <w:pPr>
        <w:jc w:val="both"/>
        <w:rPr>
          <w:color w:val="000000"/>
        </w:rPr>
      </w:pPr>
      <w:r>
        <w:rPr>
          <w:i/>
          <w:iCs/>
          <w:color w:val="000000"/>
          <w:sz w:val="20"/>
        </w:rPr>
        <w:t xml:space="preserve">No </w:t>
      </w:r>
      <w:hyperlink r:id="rId43" w:tgtFrame="_parent" w:history="1">
        <w:r>
          <w:rPr>
            <w:rStyle w:val="Hyperlink"/>
            <w:i/>
            <w:iCs/>
            <w:sz w:val="20"/>
          </w:rPr>
          <w:t>XIV-821</w:t>
        </w:r>
      </w:hyperlink>
      <w:r>
        <w:rPr>
          <w:i/>
          <w:iCs/>
          <w:color w:val="000000"/>
          <w:sz w:val="20"/>
        </w:rPr>
        <w:t>, 23/12/2021, published in the RLA, 30/12/2021, ID code 2021-27710</w:t>
      </w:r>
    </w:p>
    <w:p w14:paraId="434EE526" w14:textId="77777777" w:rsidR="004D0D72" w:rsidRPr="000550CF" w:rsidRDefault="004D0D72" w:rsidP="00F3494E">
      <w:pPr>
        <w:widowControl w:val="0"/>
        <w:ind w:firstLine="720"/>
        <w:jc w:val="both"/>
        <w:rPr>
          <w:szCs w:val="24"/>
          <w:lang w:eastAsia="lt-LT"/>
        </w:rPr>
      </w:pPr>
    </w:p>
    <w:p w14:paraId="24CCF54F" w14:textId="3C7D78D5" w:rsidR="004D0D72" w:rsidRDefault="00ED3A7E" w:rsidP="004D0D72">
      <w:pPr>
        <w:spacing w:line="360" w:lineRule="atLeast"/>
        <w:ind w:firstLine="720"/>
        <w:jc w:val="both"/>
        <w:rPr>
          <w:color w:val="000000"/>
          <w:sz w:val="27"/>
          <w:szCs w:val="27"/>
        </w:rPr>
      </w:pPr>
      <w:r>
        <w:t xml:space="preserve">34.  </w:t>
      </w:r>
      <w:r>
        <w:rPr>
          <w:color w:val="000000"/>
          <w:sz w:val="27"/>
          <w:szCs w:val="27"/>
        </w:rPr>
        <w:t> </w:t>
      </w:r>
      <w:r>
        <w:rPr>
          <w:i/>
          <w:iCs/>
          <w:color w:val="000000"/>
          <w:sz w:val="20"/>
        </w:rPr>
        <w:t>Lost validity as of 02/01/2022.</w:t>
      </w:r>
    </w:p>
    <w:p w14:paraId="65EBA21A" w14:textId="77777777" w:rsidR="004D0D72" w:rsidRDefault="004D0D72" w:rsidP="004D0D72">
      <w:pPr>
        <w:rPr>
          <w:color w:val="000000"/>
          <w:sz w:val="27"/>
          <w:szCs w:val="27"/>
        </w:rPr>
      </w:pPr>
      <w:r>
        <w:rPr>
          <w:i/>
          <w:iCs/>
          <w:color w:val="000000"/>
          <w:sz w:val="20"/>
        </w:rPr>
        <w:t>Amendments to the paragraph of the Article:</w:t>
      </w:r>
    </w:p>
    <w:p w14:paraId="1BB6A773" w14:textId="77777777" w:rsidR="004D0D72" w:rsidRDefault="004D0D72" w:rsidP="004D0D72">
      <w:pPr>
        <w:jc w:val="both"/>
        <w:rPr>
          <w:color w:val="000000"/>
          <w:sz w:val="27"/>
          <w:szCs w:val="27"/>
        </w:rPr>
      </w:pPr>
      <w:r>
        <w:rPr>
          <w:i/>
          <w:iCs/>
          <w:color w:val="000000"/>
          <w:sz w:val="20"/>
        </w:rPr>
        <w:lastRenderedPageBreak/>
        <w:t xml:space="preserve">No </w:t>
      </w:r>
      <w:hyperlink r:id="rId44" w:tgtFrame="_parent" w:history="1">
        <w:r>
          <w:rPr>
            <w:rStyle w:val="Hyperlink"/>
            <w:i/>
            <w:iCs/>
            <w:sz w:val="20"/>
          </w:rPr>
          <w:t>XIV-821</w:t>
        </w:r>
      </w:hyperlink>
      <w:r>
        <w:rPr>
          <w:i/>
          <w:iCs/>
          <w:color w:val="000000"/>
          <w:sz w:val="20"/>
        </w:rPr>
        <w:t>, 23/12/2021, published in the RLA, 30/12/2021, ID code 2021-27710</w:t>
      </w:r>
    </w:p>
    <w:p w14:paraId="335EA2F9" w14:textId="49429EC0" w:rsidR="00ED3A7E" w:rsidRPr="000550CF" w:rsidRDefault="00ED3A7E" w:rsidP="00F3494E">
      <w:pPr>
        <w:widowControl w:val="0"/>
        <w:ind w:firstLine="720"/>
        <w:jc w:val="both"/>
        <w:rPr>
          <w:szCs w:val="24"/>
          <w:lang w:eastAsia="lt-LT"/>
        </w:rPr>
      </w:pPr>
    </w:p>
    <w:p w14:paraId="509EF05D" w14:textId="77777777" w:rsidR="00ED3A7E" w:rsidRPr="000550CF" w:rsidRDefault="00ED3A7E" w:rsidP="00F3494E">
      <w:pPr>
        <w:widowControl w:val="0"/>
        <w:ind w:firstLine="720"/>
        <w:jc w:val="both"/>
        <w:rPr>
          <w:szCs w:val="24"/>
        </w:rPr>
      </w:pPr>
      <w:r>
        <w:t xml:space="preserve">35. </w:t>
      </w:r>
      <w:r>
        <w:rPr>
          <w:b/>
          <w:szCs w:val="24"/>
        </w:rPr>
        <w:t>Control</w:t>
      </w:r>
      <w:r>
        <w:t xml:space="preserve"> – means a direct and/or indirect dominant influence on an undertaking within the meaning of the Law of the Republic of Lithuania on Consolidated Accounts of Groups of Undertakings.</w:t>
      </w:r>
    </w:p>
    <w:p w14:paraId="7C780BAE" w14:textId="4272D309" w:rsidR="00ED3A7E" w:rsidRDefault="00ED3A7E" w:rsidP="00F3494E">
      <w:pPr>
        <w:widowControl w:val="0"/>
        <w:ind w:firstLine="720"/>
        <w:jc w:val="both"/>
        <w:rPr>
          <w:szCs w:val="24"/>
        </w:rPr>
      </w:pPr>
      <w:r>
        <w:t xml:space="preserve">36. </w:t>
      </w:r>
      <w:r>
        <w:rPr>
          <w:b/>
          <w:szCs w:val="24"/>
        </w:rPr>
        <w:t>Credit institution</w:t>
      </w:r>
      <w:r>
        <w:t xml:space="preserve"> – as defined in Article 4(1)(1) of Regulation (EU) No 575/2013. </w:t>
      </w:r>
    </w:p>
    <w:p w14:paraId="13EE92C7" w14:textId="77777777" w:rsidR="004D0D72" w:rsidRPr="004D0D72" w:rsidRDefault="004D0D72" w:rsidP="004D0D72">
      <w:pPr>
        <w:spacing w:line="360" w:lineRule="atLeast"/>
        <w:ind w:firstLine="720"/>
        <w:jc w:val="both"/>
        <w:rPr>
          <w:color w:val="000000"/>
          <w:szCs w:val="24"/>
        </w:rPr>
      </w:pPr>
      <w:r>
        <w:rPr>
          <w:color w:val="000000"/>
          <w:szCs w:val="24"/>
        </w:rPr>
        <w:t>36</w:t>
      </w:r>
      <w:r>
        <w:rPr>
          <w:color w:val="000000"/>
          <w:szCs w:val="24"/>
          <w:vertAlign w:val="superscript"/>
        </w:rPr>
        <w:t>1</w:t>
      </w:r>
      <w:r>
        <w:rPr>
          <w:color w:val="000000"/>
          <w:szCs w:val="24"/>
        </w:rPr>
        <w:t>. </w:t>
      </w:r>
      <w:r>
        <w:rPr>
          <w:b/>
          <w:bCs/>
          <w:color w:val="000000"/>
          <w:szCs w:val="24"/>
        </w:rPr>
        <w:t>Gender-neutral remuneration policy</w:t>
      </w:r>
      <w:r>
        <w:rPr>
          <w:color w:val="000000"/>
          <w:szCs w:val="24"/>
        </w:rPr>
        <w:t xml:space="preserve"> – means a wages and salaries policy based on equal wages for male and female staff for equal work or work of equal value.</w:t>
      </w:r>
    </w:p>
    <w:p w14:paraId="428194B7" w14:textId="77777777" w:rsidR="004D0D72" w:rsidRDefault="004D0D72" w:rsidP="004D0D72">
      <w:pPr>
        <w:rPr>
          <w:color w:val="000000"/>
          <w:sz w:val="27"/>
          <w:szCs w:val="27"/>
        </w:rPr>
      </w:pPr>
      <w:r>
        <w:rPr>
          <w:i/>
          <w:iCs/>
          <w:color w:val="000000"/>
          <w:sz w:val="20"/>
        </w:rPr>
        <w:t>Supplemented with the paragraph to the Article:</w:t>
      </w:r>
    </w:p>
    <w:p w14:paraId="3FD52C55" w14:textId="57E6123B" w:rsidR="004D0D72" w:rsidRDefault="004D0D72" w:rsidP="004D0D72">
      <w:pPr>
        <w:jc w:val="both"/>
        <w:rPr>
          <w:color w:val="000000"/>
          <w:sz w:val="27"/>
          <w:szCs w:val="27"/>
        </w:rPr>
      </w:pPr>
      <w:r>
        <w:rPr>
          <w:i/>
          <w:iCs/>
          <w:color w:val="000000"/>
          <w:sz w:val="20"/>
        </w:rPr>
        <w:t xml:space="preserve">No </w:t>
      </w:r>
      <w:hyperlink r:id="rId45" w:tgtFrame="_parent" w:history="1">
        <w:r>
          <w:rPr>
            <w:rStyle w:val="Hyperlink"/>
            <w:i/>
            <w:iCs/>
            <w:sz w:val="20"/>
          </w:rPr>
          <w:t>XIV-821</w:t>
        </w:r>
      </w:hyperlink>
      <w:r>
        <w:rPr>
          <w:i/>
          <w:iCs/>
          <w:color w:val="000000"/>
          <w:sz w:val="20"/>
        </w:rPr>
        <w:t>, 23/12/2021, published in the RLA, 30/12/2021, ID code 2021-27710</w:t>
      </w:r>
    </w:p>
    <w:p w14:paraId="4A16DEE7" w14:textId="77777777" w:rsidR="004D0D72" w:rsidRPr="000550CF" w:rsidRDefault="004D0D72" w:rsidP="00F3494E">
      <w:pPr>
        <w:widowControl w:val="0"/>
        <w:ind w:firstLine="720"/>
        <w:jc w:val="both"/>
        <w:rPr>
          <w:szCs w:val="24"/>
          <w:lang w:eastAsia="lt-LT"/>
        </w:rPr>
      </w:pPr>
    </w:p>
    <w:p w14:paraId="77C67432" w14:textId="1A8F14FE" w:rsidR="004D0D72" w:rsidRPr="004D0D72" w:rsidRDefault="00ED3A7E" w:rsidP="007820D1">
      <w:pPr>
        <w:widowControl w:val="0"/>
        <w:ind w:firstLine="720"/>
        <w:jc w:val="both"/>
        <w:rPr>
          <w:color w:val="000000"/>
          <w:szCs w:val="24"/>
        </w:rPr>
      </w:pPr>
      <w:r>
        <w:t xml:space="preserve">37. </w:t>
      </w:r>
      <w:r w:rsidR="004D0D72">
        <w:rPr>
          <w:b/>
          <w:bCs/>
          <w:color w:val="000000"/>
          <w:szCs w:val="24"/>
        </w:rPr>
        <w:t xml:space="preserve">Benchmark administrator </w:t>
      </w:r>
      <w:r w:rsidR="004D0D72">
        <w:rPr>
          <w:color w:val="000000"/>
          <w:szCs w:val="24"/>
        </w:rPr>
        <w:t>– as defined in point 6 of Article 3(1) of Regulation (EU) No 2016/1011.</w:t>
      </w:r>
    </w:p>
    <w:p w14:paraId="136490D6" w14:textId="77777777" w:rsidR="004D0D72" w:rsidRDefault="004D0D72" w:rsidP="004D0D72">
      <w:pPr>
        <w:rPr>
          <w:color w:val="000000"/>
          <w:sz w:val="27"/>
          <w:szCs w:val="27"/>
        </w:rPr>
      </w:pPr>
      <w:r>
        <w:rPr>
          <w:i/>
          <w:iCs/>
          <w:color w:val="000000"/>
          <w:sz w:val="20"/>
        </w:rPr>
        <w:t>Amendments to the paragraph of the Article:</w:t>
      </w:r>
    </w:p>
    <w:p w14:paraId="14152029" w14:textId="77777777" w:rsidR="004D0D72" w:rsidRDefault="004D0D72" w:rsidP="004D0D72">
      <w:pPr>
        <w:jc w:val="both"/>
        <w:rPr>
          <w:color w:val="000000"/>
          <w:sz w:val="27"/>
          <w:szCs w:val="27"/>
        </w:rPr>
      </w:pPr>
      <w:r>
        <w:rPr>
          <w:i/>
          <w:iCs/>
          <w:color w:val="000000"/>
          <w:sz w:val="20"/>
        </w:rPr>
        <w:t xml:space="preserve">No </w:t>
      </w:r>
      <w:hyperlink r:id="rId46" w:tgtFrame="_parent" w:history="1">
        <w:r>
          <w:rPr>
            <w:rStyle w:val="Hyperlink"/>
            <w:i/>
            <w:iCs/>
            <w:sz w:val="20"/>
          </w:rPr>
          <w:t>XIV-821</w:t>
        </w:r>
      </w:hyperlink>
      <w:r>
        <w:rPr>
          <w:i/>
          <w:iCs/>
          <w:color w:val="000000"/>
          <w:sz w:val="20"/>
        </w:rPr>
        <w:t>, 23/12/2021, published in the RLA, 30/12/2021, ID code 2021-27710</w:t>
      </w:r>
    </w:p>
    <w:p w14:paraId="4B1BFE70" w14:textId="77777777" w:rsidR="004D0D72" w:rsidRPr="000550CF" w:rsidRDefault="004D0D72" w:rsidP="00F3494E">
      <w:pPr>
        <w:widowControl w:val="0"/>
        <w:ind w:firstLine="720"/>
        <w:jc w:val="both"/>
        <w:rPr>
          <w:szCs w:val="24"/>
          <w:lang w:eastAsia="lt-LT"/>
        </w:rPr>
      </w:pPr>
    </w:p>
    <w:p w14:paraId="51FC5B39" w14:textId="77777777" w:rsidR="00ED3A7E" w:rsidRPr="000550CF" w:rsidRDefault="00ED3A7E" w:rsidP="00F3494E">
      <w:pPr>
        <w:widowControl w:val="0"/>
        <w:ind w:firstLine="720"/>
        <w:jc w:val="both"/>
        <w:rPr>
          <w:szCs w:val="24"/>
        </w:rPr>
      </w:pPr>
      <w:r>
        <w:t xml:space="preserve">38. </w:t>
      </w:r>
      <w:r>
        <w:rPr>
          <w:b/>
        </w:rPr>
        <w:t>Liquid market</w:t>
      </w:r>
      <w:r>
        <w:t xml:space="preserve"> – means a market for a financial instrument or a class of financial instruments, where there are ready and willing buyers and sellers on a continuous basis. This market shall be assessed in accordance with the following criteria, taking into consideration the specific market structures of the </w:t>
      </w:r>
      <w:proofErr w:type="gramStart"/>
      <w:r>
        <w:t>particular financial</w:t>
      </w:r>
      <w:proofErr w:type="gramEnd"/>
      <w:r>
        <w:t xml:space="preserve"> instrument or of the particular class of financial instruments:</w:t>
      </w:r>
    </w:p>
    <w:p w14:paraId="59447C76" w14:textId="77777777" w:rsidR="00ED3A7E" w:rsidRPr="000550CF" w:rsidRDefault="00ED3A7E" w:rsidP="00F3494E">
      <w:pPr>
        <w:widowControl w:val="0"/>
        <w:ind w:firstLine="720"/>
        <w:jc w:val="both"/>
        <w:rPr>
          <w:szCs w:val="24"/>
        </w:rPr>
      </w:pPr>
      <w:r>
        <w:t xml:space="preserve">1) the average frequency and size of transactions over a range of market conditions, having regard to the nature and life cycle of products within the class of financial </w:t>
      </w:r>
      <w:proofErr w:type="gramStart"/>
      <w:r>
        <w:t>instrument;</w:t>
      </w:r>
      <w:proofErr w:type="gramEnd"/>
    </w:p>
    <w:p w14:paraId="3367A424" w14:textId="77777777" w:rsidR="00ED3A7E" w:rsidRPr="000550CF" w:rsidRDefault="00ED3A7E" w:rsidP="00F3494E">
      <w:pPr>
        <w:widowControl w:val="0"/>
        <w:ind w:firstLine="720"/>
        <w:jc w:val="both"/>
        <w:rPr>
          <w:szCs w:val="24"/>
        </w:rPr>
      </w:pPr>
      <w:r>
        <w:t xml:space="preserve">2) the number and type of market participants, including the ratio of market participants to traded instruments in a particular </w:t>
      </w:r>
      <w:proofErr w:type="gramStart"/>
      <w:r>
        <w:t>product;</w:t>
      </w:r>
      <w:proofErr w:type="gramEnd"/>
    </w:p>
    <w:p w14:paraId="3D7FB892" w14:textId="77777777" w:rsidR="004D0D72" w:rsidRDefault="00ED3A7E" w:rsidP="00F3494E">
      <w:pPr>
        <w:widowControl w:val="0"/>
        <w:ind w:firstLine="720"/>
        <w:jc w:val="both"/>
        <w:rPr>
          <w:szCs w:val="24"/>
        </w:rPr>
      </w:pPr>
      <w:r>
        <w:t>3) the average size of spreads, where available.</w:t>
      </w:r>
    </w:p>
    <w:p w14:paraId="03500A41" w14:textId="77777777" w:rsidR="004D0D72" w:rsidRDefault="004D0D72" w:rsidP="004D0D72">
      <w:pPr>
        <w:spacing w:line="360" w:lineRule="atLeast"/>
        <w:ind w:firstLine="720"/>
        <w:jc w:val="both"/>
        <w:rPr>
          <w:color w:val="000000"/>
        </w:rPr>
      </w:pPr>
      <w:r>
        <w:rPr>
          <w:color w:val="000000"/>
        </w:rPr>
        <w:t>38</w:t>
      </w:r>
      <w:r>
        <w:rPr>
          <w:color w:val="000000"/>
          <w:vertAlign w:val="superscript"/>
        </w:rPr>
        <w:t>1</w:t>
      </w:r>
      <w:r>
        <w:rPr>
          <w:color w:val="000000"/>
        </w:rPr>
        <w:t>. </w:t>
      </w:r>
      <w:r>
        <w:rPr>
          <w:b/>
          <w:bCs/>
          <w:color w:val="000000"/>
        </w:rPr>
        <w:t>Lot</w:t>
      </w:r>
      <w:r>
        <w:rPr>
          <w:color w:val="000000"/>
        </w:rPr>
        <w:t xml:space="preserve"> – means the baseline figure as defined in Article 9(2) of Commission Delegated Regulation (EU) 2017/591 of 01 December 2016 supplementing Directive 2014/65/EU of the European Parliament and of the Council </w:t>
      </w:r>
      <w:proofErr w:type="gramStart"/>
      <w:r>
        <w:rPr>
          <w:color w:val="000000"/>
        </w:rPr>
        <w:t>with regard to</w:t>
      </w:r>
      <w:proofErr w:type="gramEnd"/>
      <w:r>
        <w:rPr>
          <w:color w:val="000000"/>
        </w:rPr>
        <w:t xml:space="preserve"> regulatory technical standards for the application of position limits to commodity derivatives.</w:t>
      </w:r>
    </w:p>
    <w:p w14:paraId="30A60E12" w14:textId="77777777" w:rsidR="004D0D72" w:rsidRDefault="004D0D72" w:rsidP="004D0D72">
      <w:pPr>
        <w:rPr>
          <w:color w:val="000000"/>
        </w:rPr>
      </w:pPr>
      <w:r>
        <w:rPr>
          <w:i/>
          <w:iCs/>
          <w:color w:val="000000"/>
          <w:sz w:val="20"/>
        </w:rPr>
        <w:t>Supplemented with the paragraph to the Article:</w:t>
      </w:r>
    </w:p>
    <w:p w14:paraId="790CE542" w14:textId="382A0507" w:rsidR="004D0D72" w:rsidRDefault="004D0D72" w:rsidP="004D0D72">
      <w:pPr>
        <w:jc w:val="both"/>
        <w:rPr>
          <w:color w:val="000000"/>
        </w:rPr>
      </w:pPr>
      <w:r>
        <w:rPr>
          <w:i/>
          <w:iCs/>
          <w:color w:val="000000"/>
          <w:sz w:val="20"/>
        </w:rPr>
        <w:t xml:space="preserve">No </w:t>
      </w:r>
      <w:hyperlink r:id="rId47" w:tgtFrame="_parent" w:history="1">
        <w:r>
          <w:rPr>
            <w:rStyle w:val="Hyperlink"/>
            <w:i/>
            <w:iCs/>
            <w:sz w:val="20"/>
          </w:rPr>
          <w:t>XIV-821</w:t>
        </w:r>
      </w:hyperlink>
      <w:r>
        <w:rPr>
          <w:i/>
          <w:iCs/>
          <w:color w:val="000000"/>
          <w:sz w:val="20"/>
        </w:rPr>
        <w:t>, 23/12/2021, published in the RLA, 30/12/2021, ID code 2021-27710</w:t>
      </w:r>
    </w:p>
    <w:p w14:paraId="7EC40DD5" w14:textId="77777777" w:rsidR="004D0D72" w:rsidRDefault="004D0D72" w:rsidP="004D0D72">
      <w:pPr>
        <w:spacing w:line="360" w:lineRule="atLeast"/>
        <w:ind w:firstLine="720"/>
        <w:jc w:val="both"/>
        <w:rPr>
          <w:color w:val="000000"/>
        </w:rPr>
      </w:pPr>
      <w:bookmarkStart w:id="13" w:name="part_f1232a1f76dd44f9aa120ee8767a770f"/>
      <w:bookmarkEnd w:id="13"/>
      <w:r>
        <w:rPr>
          <w:color w:val="000000"/>
        </w:rPr>
        <w:t>38</w:t>
      </w:r>
      <w:r>
        <w:rPr>
          <w:color w:val="000000"/>
          <w:vertAlign w:val="superscript"/>
        </w:rPr>
        <w:t>2</w:t>
      </w:r>
      <w:r>
        <w:rPr>
          <w:color w:val="000000"/>
        </w:rPr>
        <w:t>. </w:t>
      </w:r>
      <w:r>
        <w:rPr>
          <w:b/>
          <w:bCs/>
          <w:color w:val="000000"/>
        </w:rPr>
        <w:t>Small and non-interconnected financial brokerage firms</w:t>
      </w:r>
      <w:r>
        <w:rPr>
          <w:color w:val="000000"/>
        </w:rPr>
        <w:t xml:space="preserve"> – mean financial brokerage firms that meet all the conditions set out in Article 12(1) of Regulation (EU) 2019/2033.</w:t>
      </w:r>
    </w:p>
    <w:p w14:paraId="4253A422" w14:textId="77777777" w:rsidR="004D0D72" w:rsidRDefault="004D0D72" w:rsidP="004D0D72">
      <w:pPr>
        <w:rPr>
          <w:color w:val="000000"/>
        </w:rPr>
      </w:pPr>
      <w:r>
        <w:rPr>
          <w:i/>
          <w:iCs/>
          <w:color w:val="000000"/>
          <w:sz w:val="20"/>
        </w:rPr>
        <w:t>Supplemented with the paragraph to the Article:</w:t>
      </w:r>
    </w:p>
    <w:p w14:paraId="1DCC7AA7" w14:textId="77777777" w:rsidR="004D0D72" w:rsidRDefault="004D0D72" w:rsidP="004D0D72">
      <w:pPr>
        <w:jc w:val="both"/>
        <w:rPr>
          <w:color w:val="000000"/>
        </w:rPr>
      </w:pPr>
      <w:r>
        <w:rPr>
          <w:i/>
          <w:iCs/>
          <w:color w:val="000000"/>
          <w:sz w:val="20"/>
        </w:rPr>
        <w:t xml:space="preserve">No </w:t>
      </w:r>
      <w:hyperlink r:id="rId48" w:tgtFrame="_parent" w:history="1">
        <w:r>
          <w:rPr>
            <w:rStyle w:val="Hyperlink"/>
            <w:i/>
            <w:iCs/>
            <w:sz w:val="20"/>
          </w:rPr>
          <w:t>XIV-821</w:t>
        </w:r>
      </w:hyperlink>
      <w:r>
        <w:rPr>
          <w:i/>
          <w:iCs/>
          <w:color w:val="000000"/>
          <w:sz w:val="20"/>
        </w:rPr>
        <w:t>, 23/12/2021, published in the RLA, 30/12/2021, ID code 2021-27710</w:t>
      </w:r>
    </w:p>
    <w:p w14:paraId="2A10DAC9" w14:textId="287577C0" w:rsidR="00ED3A7E" w:rsidRPr="000550CF" w:rsidRDefault="00ED3A7E" w:rsidP="00F3494E">
      <w:pPr>
        <w:widowControl w:val="0"/>
        <w:ind w:firstLine="720"/>
        <w:jc w:val="both"/>
        <w:rPr>
          <w:szCs w:val="24"/>
        </w:rPr>
      </w:pPr>
      <w:r>
        <w:tab/>
      </w:r>
    </w:p>
    <w:p w14:paraId="63A62576" w14:textId="77777777" w:rsidR="00ED3A7E" w:rsidRPr="000550CF" w:rsidRDefault="00ED3A7E" w:rsidP="00F3494E">
      <w:pPr>
        <w:widowControl w:val="0"/>
        <w:ind w:firstLine="720"/>
        <w:jc w:val="both"/>
        <w:rPr>
          <w:szCs w:val="24"/>
        </w:rPr>
      </w:pPr>
      <w:r>
        <w:t xml:space="preserve">39. </w:t>
      </w:r>
      <w:r>
        <w:rPr>
          <w:b/>
        </w:rPr>
        <w:t>Small and medium-sized enterprises</w:t>
      </w:r>
      <w:r>
        <w:t xml:space="preserve"> – means companies that had an average market capitalisation of less than EUR 200 000 000 </w:t>
      </w:r>
      <w:proofErr w:type="gramStart"/>
      <w:r>
        <w:t>on the basis of</w:t>
      </w:r>
      <w:proofErr w:type="gramEnd"/>
      <w:r>
        <w:t xml:space="preserve"> end-year quotes for the previous three calendar years.</w:t>
      </w:r>
    </w:p>
    <w:p w14:paraId="77F814E7" w14:textId="3F0FAC85" w:rsidR="00ED3A7E" w:rsidRDefault="00ED3A7E" w:rsidP="00F3494E">
      <w:pPr>
        <w:widowControl w:val="0"/>
        <w:ind w:firstLine="720"/>
        <w:jc w:val="both"/>
        <w:rPr>
          <w:szCs w:val="24"/>
        </w:rPr>
      </w:pPr>
      <w:r>
        <w:t xml:space="preserve">40. </w:t>
      </w:r>
      <w:r>
        <w:rPr>
          <w:b/>
        </w:rPr>
        <w:t>Small and medium-sized enterprise</w:t>
      </w:r>
      <w:r>
        <w:rPr>
          <w:b/>
          <w:szCs w:val="24"/>
        </w:rPr>
        <w:t xml:space="preserve"> growth market</w:t>
      </w:r>
      <w:r>
        <w:t xml:space="preserve"> – means a multilateral trading facility registered as a small and medium-sized enterprise growth market according to requirements of Article 25 of this Law.</w:t>
      </w:r>
    </w:p>
    <w:p w14:paraId="257F321B" w14:textId="77777777" w:rsidR="004D0D72" w:rsidRDefault="004D0D72" w:rsidP="004D0D72">
      <w:pPr>
        <w:spacing w:line="360" w:lineRule="atLeast"/>
        <w:ind w:firstLine="720"/>
        <w:jc w:val="both"/>
        <w:rPr>
          <w:color w:val="000000"/>
        </w:rPr>
      </w:pPr>
      <w:r>
        <w:rPr>
          <w:color w:val="000000"/>
        </w:rPr>
        <w:t>40</w:t>
      </w:r>
      <w:r>
        <w:rPr>
          <w:color w:val="000000"/>
          <w:vertAlign w:val="superscript"/>
        </w:rPr>
        <w:t>1</w:t>
      </w:r>
      <w:r>
        <w:rPr>
          <w:color w:val="000000"/>
        </w:rPr>
        <w:t>. </w:t>
      </w:r>
      <w:r>
        <w:rPr>
          <w:b/>
          <w:bCs/>
          <w:color w:val="000000"/>
        </w:rPr>
        <w:t>Mixed-activity holding company</w:t>
      </w:r>
      <w:r>
        <w:rPr>
          <w:color w:val="000000"/>
        </w:rPr>
        <w:t xml:space="preserve"> – means any parent undertaking with at least one of its subsidiaries being a financial brokerage firm, except for a financial holding company, investment holding company, credit institution, financial brokerage firm or mixed financial holding company.</w:t>
      </w:r>
    </w:p>
    <w:p w14:paraId="1BB203D0" w14:textId="77777777" w:rsidR="004D0D72" w:rsidRDefault="004D0D72" w:rsidP="004D0D72">
      <w:pPr>
        <w:rPr>
          <w:color w:val="000000"/>
        </w:rPr>
      </w:pPr>
      <w:r>
        <w:rPr>
          <w:i/>
          <w:iCs/>
          <w:color w:val="000000"/>
          <w:sz w:val="20"/>
        </w:rPr>
        <w:t>Supplemented with the paragraph to the Article:</w:t>
      </w:r>
    </w:p>
    <w:p w14:paraId="6595097C" w14:textId="2A5A155C" w:rsidR="004D0D72" w:rsidRDefault="004D0D72" w:rsidP="004D0D72">
      <w:pPr>
        <w:jc w:val="both"/>
        <w:rPr>
          <w:color w:val="000000"/>
        </w:rPr>
      </w:pPr>
      <w:r>
        <w:rPr>
          <w:i/>
          <w:iCs/>
          <w:color w:val="000000"/>
          <w:sz w:val="20"/>
        </w:rPr>
        <w:t xml:space="preserve">No </w:t>
      </w:r>
      <w:hyperlink r:id="rId49" w:tgtFrame="_parent" w:history="1">
        <w:r>
          <w:rPr>
            <w:rStyle w:val="Hyperlink"/>
            <w:i/>
            <w:iCs/>
            <w:sz w:val="20"/>
          </w:rPr>
          <w:t>XIV-821</w:t>
        </w:r>
      </w:hyperlink>
      <w:r>
        <w:rPr>
          <w:i/>
          <w:iCs/>
          <w:color w:val="000000"/>
          <w:sz w:val="20"/>
        </w:rPr>
        <w:t>, 23/12/2021, published in the RLA, 30/12/2021, ID code 2021-27710</w:t>
      </w:r>
    </w:p>
    <w:p w14:paraId="2199B9CF" w14:textId="77777777" w:rsidR="004D0D72" w:rsidRDefault="004D0D72" w:rsidP="004D0D72">
      <w:pPr>
        <w:spacing w:line="360" w:lineRule="atLeast"/>
        <w:ind w:firstLine="720"/>
        <w:jc w:val="both"/>
        <w:rPr>
          <w:color w:val="000000"/>
        </w:rPr>
      </w:pPr>
      <w:bookmarkStart w:id="14" w:name="part_79bbc47a668a4321bf96db0712986dc7"/>
      <w:bookmarkEnd w:id="14"/>
      <w:r>
        <w:rPr>
          <w:color w:val="000000"/>
        </w:rPr>
        <w:t>40</w:t>
      </w:r>
      <w:r>
        <w:rPr>
          <w:color w:val="000000"/>
          <w:vertAlign w:val="superscript"/>
        </w:rPr>
        <w:t>2</w:t>
      </w:r>
      <w:r>
        <w:rPr>
          <w:color w:val="000000"/>
        </w:rPr>
        <w:t>. </w:t>
      </w:r>
      <w:r>
        <w:rPr>
          <w:b/>
          <w:bCs/>
          <w:color w:val="000000"/>
        </w:rPr>
        <w:t>Mixed financial holding company</w:t>
      </w:r>
      <w:r>
        <w:rPr>
          <w:color w:val="000000"/>
        </w:rPr>
        <w:t xml:space="preserve"> – as defined in the Republic of Lithuania Law on the Supplementary Supervision of Entities in a Financial Conglomerate.</w:t>
      </w:r>
    </w:p>
    <w:p w14:paraId="2179F2EC" w14:textId="77777777" w:rsidR="004D0D72" w:rsidRDefault="004D0D72" w:rsidP="004D0D72">
      <w:pPr>
        <w:rPr>
          <w:color w:val="000000"/>
        </w:rPr>
      </w:pPr>
      <w:r>
        <w:rPr>
          <w:i/>
          <w:iCs/>
          <w:color w:val="000000"/>
          <w:sz w:val="20"/>
        </w:rPr>
        <w:lastRenderedPageBreak/>
        <w:t>Supplemented with the paragraph to the Article:</w:t>
      </w:r>
    </w:p>
    <w:p w14:paraId="5E690E77" w14:textId="77777777" w:rsidR="004D0D72" w:rsidRDefault="004D0D72" w:rsidP="004D0D72">
      <w:pPr>
        <w:jc w:val="both"/>
        <w:rPr>
          <w:color w:val="000000"/>
        </w:rPr>
      </w:pPr>
      <w:r>
        <w:rPr>
          <w:i/>
          <w:iCs/>
          <w:color w:val="000000"/>
          <w:sz w:val="20"/>
        </w:rPr>
        <w:t xml:space="preserve">No </w:t>
      </w:r>
      <w:hyperlink r:id="rId50" w:tgtFrame="_parent" w:history="1">
        <w:r>
          <w:rPr>
            <w:rStyle w:val="Hyperlink"/>
            <w:i/>
            <w:iCs/>
            <w:sz w:val="20"/>
          </w:rPr>
          <w:t>XIV-821</w:t>
        </w:r>
      </w:hyperlink>
      <w:r>
        <w:rPr>
          <w:i/>
          <w:iCs/>
          <w:color w:val="000000"/>
          <w:sz w:val="20"/>
        </w:rPr>
        <w:t>, 23/12/2021, published in the RLA, 30/12/2021, ID code 2021-27710</w:t>
      </w:r>
    </w:p>
    <w:p w14:paraId="575A2F06" w14:textId="77777777" w:rsidR="004D0D72" w:rsidRPr="000550CF" w:rsidRDefault="004D0D72" w:rsidP="00F3494E">
      <w:pPr>
        <w:widowControl w:val="0"/>
        <w:ind w:firstLine="720"/>
        <w:jc w:val="both"/>
        <w:rPr>
          <w:szCs w:val="24"/>
          <w:lang w:eastAsia="lt-LT"/>
        </w:rPr>
      </w:pPr>
    </w:p>
    <w:p w14:paraId="0346D77C" w14:textId="77777777" w:rsidR="00ED3A7E" w:rsidRPr="000550CF" w:rsidRDefault="00ED3A7E" w:rsidP="00F3494E">
      <w:pPr>
        <w:widowControl w:val="0"/>
        <w:ind w:firstLine="720"/>
        <w:jc w:val="both"/>
        <w:rPr>
          <w:szCs w:val="24"/>
        </w:rPr>
      </w:pPr>
      <w:r>
        <w:t xml:space="preserve">41. </w:t>
      </w:r>
      <w:r>
        <w:rPr>
          <w:b/>
          <w:szCs w:val="24"/>
        </w:rPr>
        <w:t>Person of good repute</w:t>
      </w:r>
      <w:r>
        <w:t xml:space="preserve"> – means a natural or legal person whose reputation does not give rise to any doubts in observance of provisions of Article 9(6) and (7) of this Law.</w:t>
      </w:r>
    </w:p>
    <w:p w14:paraId="4FC5635F" w14:textId="77777777" w:rsidR="00ED3A7E" w:rsidRPr="000550CF" w:rsidRDefault="00ED3A7E" w:rsidP="00F3494E">
      <w:pPr>
        <w:ind w:firstLine="720"/>
        <w:jc w:val="both"/>
      </w:pPr>
      <w:r>
        <w:t xml:space="preserve">42. </w:t>
      </w:r>
      <w:r>
        <w:rPr>
          <w:b/>
        </w:rPr>
        <w:t>Retail client</w:t>
      </w:r>
      <w:r>
        <w:t xml:space="preserve"> – means a client who is not a professional client and not an eligible counterparty.</w:t>
      </w:r>
    </w:p>
    <w:p w14:paraId="62821D9C" w14:textId="77777777" w:rsidR="00ED3A7E" w:rsidRPr="000550CF" w:rsidRDefault="00ED3A7E" w:rsidP="00F3494E">
      <w:pPr>
        <w:widowControl w:val="0"/>
        <w:ind w:firstLine="720"/>
        <w:jc w:val="both"/>
        <w:rPr>
          <w:szCs w:val="24"/>
        </w:rPr>
      </w:pPr>
      <w:r>
        <w:t xml:space="preserve">43. </w:t>
      </w:r>
      <w:r>
        <w:rPr>
          <w:b/>
        </w:rPr>
        <w:t>Organised trading facility (OTF)</w:t>
      </w:r>
      <w:r>
        <w:t xml:space="preserve"> – means a multilateral system which is not a regulated market or a multilateral trading facility and in which multiple third-party buying and selling interests in bonds, structured finance products, emission allowances or derivatives are able to interact in the system in a way that results in a contract.</w:t>
      </w:r>
    </w:p>
    <w:p w14:paraId="6435290D" w14:textId="70ECE0B5" w:rsidR="004D0D72" w:rsidRDefault="00ED3A7E" w:rsidP="004D0D72">
      <w:pPr>
        <w:spacing w:line="360" w:lineRule="atLeast"/>
        <w:ind w:firstLine="720"/>
        <w:jc w:val="both"/>
        <w:rPr>
          <w:color w:val="000000"/>
          <w:sz w:val="27"/>
          <w:szCs w:val="27"/>
        </w:rPr>
      </w:pPr>
      <w:r>
        <w:t xml:space="preserve">44.  </w:t>
      </w:r>
      <w:r>
        <w:rPr>
          <w:b/>
          <w:bCs/>
          <w:color w:val="000000"/>
          <w:szCs w:val="24"/>
        </w:rPr>
        <w:t>Central counterparty</w:t>
      </w:r>
      <w:r>
        <w:rPr>
          <w:color w:val="000000"/>
          <w:szCs w:val="24"/>
        </w:rPr>
        <w:t xml:space="preserve"> – as defined in Article 2(1) of Regulation (EU) No </w:t>
      </w:r>
      <w:proofErr w:type="gramStart"/>
      <w:r>
        <w:rPr>
          <w:color w:val="000000"/>
          <w:szCs w:val="24"/>
        </w:rPr>
        <w:t>648/2012;</w:t>
      </w:r>
      <w:proofErr w:type="gramEnd"/>
    </w:p>
    <w:p w14:paraId="6674CEEE" w14:textId="77777777" w:rsidR="004D0D72" w:rsidRDefault="004D0D72" w:rsidP="004D0D72">
      <w:pPr>
        <w:rPr>
          <w:color w:val="000000"/>
          <w:sz w:val="27"/>
          <w:szCs w:val="27"/>
        </w:rPr>
      </w:pPr>
      <w:r>
        <w:rPr>
          <w:i/>
          <w:iCs/>
          <w:color w:val="000000"/>
          <w:sz w:val="20"/>
        </w:rPr>
        <w:t>Amendments to the paragraph of the Article:</w:t>
      </w:r>
    </w:p>
    <w:p w14:paraId="14CD6C14" w14:textId="0C6B454B" w:rsidR="004D0D72" w:rsidRDefault="004D0D72" w:rsidP="004D0D72">
      <w:pPr>
        <w:jc w:val="both"/>
        <w:rPr>
          <w:color w:val="000000"/>
          <w:sz w:val="27"/>
          <w:szCs w:val="27"/>
        </w:rPr>
      </w:pPr>
      <w:r>
        <w:rPr>
          <w:i/>
          <w:iCs/>
          <w:color w:val="000000"/>
          <w:sz w:val="20"/>
        </w:rPr>
        <w:t xml:space="preserve">No </w:t>
      </w:r>
      <w:hyperlink r:id="rId51" w:tgtFrame="_parent" w:history="1">
        <w:r>
          <w:rPr>
            <w:rStyle w:val="Hyperlink"/>
            <w:i/>
            <w:iCs/>
            <w:sz w:val="20"/>
          </w:rPr>
          <w:t>XIV-1455</w:t>
        </w:r>
      </w:hyperlink>
      <w:r>
        <w:rPr>
          <w:i/>
          <w:iCs/>
          <w:color w:val="000000"/>
          <w:sz w:val="20"/>
        </w:rPr>
        <w:t>, 27/10/2022, published in the RLA, 07/11/2022, ID code 2022-22566</w:t>
      </w:r>
    </w:p>
    <w:p w14:paraId="34B6E24F" w14:textId="27B802E6" w:rsidR="00ED3A7E" w:rsidRPr="000550CF" w:rsidRDefault="00ED3A7E" w:rsidP="00F3494E">
      <w:pPr>
        <w:ind w:firstLine="720"/>
        <w:jc w:val="both"/>
        <w:rPr>
          <w:lang w:eastAsia="lt-LT"/>
        </w:rPr>
      </w:pPr>
    </w:p>
    <w:p w14:paraId="6714B51B" w14:textId="77777777" w:rsidR="00ED3A7E" w:rsidRPr="000550CF" w:rsidRDefault="00ED3A7E" w:rsidP="00F3494E">
      <w:pPr>
        <w:widowControl w:val="0"/>
        <w:ind w:firstLine="720"/>
        <w:jc w:val="both"/>
        <w:rPr>
          <w:szCs w:val="24"/>
        </w:rPr>
      </w:pPr>
      <w:r>
        <w:t xml:space="preserve">45. </w:t>
      </w:r>
      <w:r>
        <w:rPr>
          <w:b/>
          <w:szCs w:val="24"/>
        </w:rPr>
        <w:t>Ancillary services</w:t>
      </w:r>
      <w:r>
        <w:t>:</w:t>
      </w:r>
    </w:p>
    <w:p w14:paraId="2074C6CB" w14:textId="77777777" w:rsidR="00ED3A7E" w:rsidRPr="000550CF" w:rsidRDefault="00ED3A7E" w:rsidP="00F3494E">
      <w:pPr>
        <w:widowControl w:val="0"/>
        <w:ind w:firstLine="720"/>
        <w:jc w:val="both"/>
        <w:rPr>
          <w:szCs w:val="24"/>
        </w:rPr>
      </w:pPr>
      <w:r>
        <w:t xml:space="preserve">1) safekeeping, accounting and administration of financial instruments for the account of clients, including custodianship and related services such as cash/collateral management, excluding the maintenance of securities accounts at the top tier level under Chapter VI of this </w:t>
      </w:r>
      <w:proofErr w:type="gramStart"/>
      <w:r>
        <w:t>Law;</w:t>
      </w:r>
      <w:proofErr w:type="gramEnd"/>
    </w:p>
    <w:p w14:paraId="3AFB287F" w14:textId="77777777" w:rsidR="00ED3A7E" w:rsidRPr="000550CF" w:rsidRDefault="00ED3A7E" w:rsidP="00F3494E">
      <w:pPr>
        <w:widowControl w:val="0"/>
        <w:ind w:firstLine="720"/>
        <w:jc w:val="both"/>
        <w:rPr>
          <w:szCs w:val="24"/>
        </w:rPr>
      </w:pPr>
      <w:r>
        <w:t xml:space="preserve">2) granting credits or loans to an investor to allow him to carry out a transaction in one or more financial instruments, where the firm granting the credit or loan is involved in the </w:t>
      </w:r>
      <w:proofErr w:type="gramStart"/>
      <w:r>
        <w:t>transaction;</w:t>
      </w:r>
      <w:proofErr w:type="gramEnd"/>
    </w:p>
    <w:p w14:paraId="504D664E" w14:textId="77777777" w:rsidR="00ED3A7E" w:rsidRPr="000550CF" w:rsidRDefault="00ED3A7E" w:rsidP="00F3494E">
      <w:pPr>
        <w:widowControl w:val="0"/>
        <w:ind w:firstLine="720"/>
        <w:jc w:val="both"/>
        <w:rPr>
          <w:szCs w:val="24"/>
        </w:rPr>
      </w:pPr>
      <w:r>
        <w:t xml:space="preserve">3) advice to undertakings on capital structure, industrial strategy and related matters and advice and services relating to mergers and the purchase of </w:t>
      </w:r>
      <w:proofErr w:type="gramStart"/>
      <w:r>
        <w:t>undertakings;</w:t>
      </w:r>
      <w:proofErr w:type="gramEnd"/>
    </w:p>
    <w:p w14:paraId="445A93D4" w14:textId="77777777" w:rsidR="00ED3A7E" w:rsidRPr="000550CF" w:rsidRDefault="00ED3A7E" w:rsidP="00F3494E">
      <w:pPr>
        <w:widowControl w:val="0"/>
        <w:ind w:firstLine="720"/>
        <w:jc w:val="both"/>
        <w:rPr>
          <w:szCs w:val="24"/>
        </w:rPr>
      </w:pPr>
      <w:r>
        <w:t xml:space="preserve">4) foreign exchange services where these are connected to the provision of investment </w:t>
      </w:r>
      <w:proofErr w:type="gramStart"/>
      <w:r>
        <w:t>services;</w:t>
      </w:r>
      <w:proofErr w:type="gramEnd"/>
    </w:p>
    <w:p w14:paraId="61E60F85" w14:textId="77777777" w:rsidR="00ED3A7E" w:rsidRPr="000550CF" w:rsidRDefault="00ED3A7E" w:rsidP="00F3494E">
      <w:pPr>
        <w:widowControl w:val="0"/>
        <w:ind w:firstLine="720"/>
        <w:jc w:val="both"/>
        <w:rPr>
          <w:szCs w:val="24"/>
        </w:rPr>
      </w:pPr>
      <w:r>
        <w:t xml:space="preserve">5) investment research and financial analysis or other forms of general recommendation relating to transactions in financial </w:t>
      </w:r>
      <w:proofErr w:type="gramStart"/>
      <w:r>
        <w:t>instruments;</w:t>
      </w:r>
      <w:proofErr w:type="gramEnd"/>
    </w:p>
    <w:p w14:paraId="51EE438C" w14:textId="77777777" w:rsidR="00ED3A7E" w:rsidRPr="000550CF" w:rsidRDefault="00ED3A7E" w:rsidP="00F3494E">
      <w:pPr>
        <w:widowControl w:val="0"/>
        <w:ind w:firstLine="720"/>
        <w:jc w:val="both"/>
        <w:rPr>
          <w:szCs w:val="24"/>
        </w:rPr>
      </w:pPr>
      <w:r>
        <w:t xml:space="preserve">6) services related to </w:t>
      </w:r>
      <w:proofErr w:type="gramStart"/>
      <w:r>
        <w:t>underwriting;</w:t>
      </w:r>
      <w:proofErr w:type="gramEnd"/>
    </w:p>
    <w:p w14:paraId="3CA230B8" w14:textId="77777777" w:rsidR="00ED3A7E" w:rsidRPr="000550CF" w:rsidRDefault="00ED3A7E" w:rsidP="00F3494E">
      <w:pPr>
        <w:widowControl w:val="0"/>
        <w:ind w:firstLine="720"/>
        <w:jc w:val="both"/>
        <w:rPr>
          <w:szCs w:val="24"/>
        </w:rPr>
      </w:pPr>
      <w:r>
        <w:t xml:space="preserve">7) investment services and activities as well as ancillary services linked to financial instruments, </w:t>
      </w:r>
      <w:proofErr w:type="gramStart"/>
      <w:r>
        <w:t>assets</w:t>
      </w:r>
      <w:proofErr w:type="gramEnd"/>
      <w:r>
        <w:t xml:space="preserve"> or other objects to which financial instruments referred to in points 5, 6, 7 and 10 of paragraph 15 of this Article are related, where the investment services and activities provided are connected to the provision of investment or ancillary services.</w:t>
      </w:r>
    </w:p>
    <w:p w14:paraId="3533DB09" w14:textId="77777777" w:rsidR="00ED3A7E" w:rsidRPr="000550CF" w:rsidRDefault="00ED3A7E" w:rsidP="00F3494E">
      <w:pPr>
        <w:widowControl w:val="0"/>
        <w:ind w:firstLine="720"/>
        <w:jc w:val="both"/>
        <w:rPr>
          <w:szCs w:val="24"/>
        </w:rPr>
      </w:pPr>
      <w:r>
        <w:t xml:space="preserve">46. </w:t>
      </w:r>
      <w:r>
        <w:rPr>
          <w:b/>
          <w:szCs w:val="24"/>
        </w:rPr>
        <w:t xml:space="preserve">Subsidiary </w:t>
      </w:r>
      <w:r>
        <w:t>– as defined in the Law of the Republic of Lithuania on Consolidated Accounts of Groups of Undertakings.</w:t>
      </w:r>
    </w:p>
    <w:p w14:paraId="2166BA18" w14:textId="77777777" w:rsidR="00ED3A7E" w:rsidRPr="000550CF" w:rsidRDefault="00ED3A7E" w:rsidP="00F3494E">
      <w:pPr>
        <w:widowControl w:val="0"/>
        <w:ind w:firstLine="720"/>
        <w:jc w:val="both"/>
        <w:rPr>
          <w:szCs w:val="24"/>
        </w:rPr>
      </w:pPr>
      <w:r>
        <w:t xml:space="preserve">47. </w:t>
      </w:r>
      <w:r>
        <w:rPr>
          <w:b/>
          <w:szCs w:val="24"/>
        </w:rPr>
        <w:t xml:space="preserve">Parent undertaking </w:t>
      </w:r>
      <w:r>
        <w:t>– as defined in the Law of the Republic of Lithuania on Consolidated Accounts of Groups of Undertakings.</w:t>
      </w:r>
    </w:p>
    <w:p w14:paraId="7CFDEBAE" w14:textId="77777777" w:rsidR="00ED3A7E" w:rsidRPr="000550CF" w:rsidRDefault="00ED3A7E" w:rsidP="00F3494E">
      <w:pPr>
        <w:widowControl w:val="0"/>
        <w:ind w:firstLine="720"/>
        <w:jc w:val="both"/>
        <w:rPr>
          <w:szCs w:val="24"/>
        </w:rPr>
      </w:pPr>
      <w:r>
        <w:t xml:space="preserve">48. </w:t>
      </w:r>
      <w:r>
        <w:rPr>
          <w:b/>
        </w:rPr>
        <w:t>Durable medium</w:t>
      </w:r>
      <w:r>
        <w:t xml:space="preserve"> – means any instrument which enables a client to store information addressed personally to that client in a way accessible for future reference and for </w:t>
      </w:r>
      <w:proofErr w:type="gramStart"/>
      <w:r>
        <w:t>a period of time</w:t>
      </w:r>
      <w:proofErr w:type="gramEnd"/>
      <w:r>
        <w:t xml:space="preserve"> adequate for the purposes of the information.</w:t>
      </w:r>
    </w:p>
    <w:p w14:paraId="38BF9F7F" w14:textId="3B13DB4D" w:rsidR="008B5F09" w:rsidRPr="008B5F09" w:rsidRDefault="00ED3A7E" w:rsidP="008B5F09">
      <w:pPr>
        <w:spacing w:line="360" w:lineRule="atLeast"/>
        <w:ind w:firstLine="720"/>
        <w:jc w:val="both"/>
        <w:rPr>
          <w:color w:val="000000"/>
          <w:szCs w:val="24"/>
        </w:rPr>
      </w:pPr>
      <w:r>
        <w:t xml:space="preserve">49.  </w:t>
      </w:r>
      <w:r>
        <w:rPr>
          <w:b/>
          <w:bCs/>
          <w:color w:val="000000"/>
          <w:szCs w:val="24"/>
        </w:rPr>
        <w:t>Approved publication arrangement</w:t>
      </w:r>
      <w:r>
        <w:rPr>
          <w:color w:val="000000"/>
          <w:szCs w:val="24"/>
        </w:rPr>
        <w:t xml:space="preserve"> – means an approved publication arrangement as defined in point 34 of Article 2(1) of Regulation (EU) No 600/2014.</w:t>
      </w:r>
    </w:p>
    <w:p w14:paraId="2A569624" w14:textId="77777777" w:rsidR="008B5F09" w:rsidRDefault="008B5F09" w:rsidP="008B5F09">
      <w:pPr>
        <w:rPr>
          <w:color w:val="000000"/>
          <w:sz w:val="27"/>
          <w:szCs w:val="27"/>
        </w:rPr>
      </w:pPr>
      <w:r>
        <w:rPr>
          <w:i/>
          <w:iCs/>
          <w:color w:val="000000"/>
          <w:sz w:val="20"/>
        </w:rPr>
        <w:t>Amendments to the paragraph of the Article:</w:t>
      </w:r>
    </w:p>
    <w:p w14:paraId="39B8C0D0" w14:textId="57EDAC8D" w:rsidR="008B5F09" w:rsidRDefault="008B5F09" w:rsidP="008B5F09">
      <w:pPr>
        <w:jc w:val="both"/>
        <w:rPr>
          <w:color w:val="000000"/>
          <w:sz w:val="27"/>
          <w:szCs w:val="27"/>
        </w:rPr>
      </w:pPr>
      <w:r>
        <w:rPr>
          <w:i/>
          <w:iCs/>
          <w:color w:val="000000"/>
          <w:sz w:val="20"/>
        </w:rPr>
        <w:t xml:space="preserve">No </w:t>
      </w:r>
      <w:hyperlink r:id="rId52" w:tgtFrame="_parent" w:history="1">
        <w:r>
          <w:rPr>
            <w:rStyle w:val="Hyperlink"/>
            <w:i/>
            <w:iCs/>
            <w:sz w:val="20"/>
          </w:rPr>
          <w:t>XIV-821</w:t>
        </w:r>
      </w:hyperlink>
      <w:r>
        <w:rPr>
          <w:i/>
          <w:iCs/>
          <w:color w:val="000000"/>
          <w:sz w:val="20"/>
        </w:rPr>
        <w:t>, 23/12/2021, published in the RLA, 30/12/2021, ID code 2021-27710</w:t>
      </w:r>
    </w:p>
    <w:p w14:paraId="34475E8F" w14:textId="7FC9BC55" w:rsidR="00ED3A7E" w:rsidRPr="000550CF" w:rsidRDefault="00ED3A7E" w:rsidP="00F3494E">
      <w:pPr>
        <w:ind w:firstLine="720"/>
        <w:jc w:val="both"/>
        <w:rPr>
          <w:lang w:eastAsia="lt-LT"/>
        </w:rPr>
      </w:pPr>
    </w:p>
    <w:p w14:paraId="651B1A28" w14:textId="15BE2544" w:rsidR="008B5F09" w:rsidRPr="008B5F09" w:rsidRDefault="00ED3A7E" w:rsidP="008B5F09">
      <w:pPr>
        <w:spacing w:line="360" w:lineRule="atLeast"/>
        <w:ind w:firstLine="720"/>
        <w:jc w:val="both"/>
        <w:rPr>
          <w:color w:val="000000"/>
          <w:szCs w:val="24"/>
        </w:rPr>
      </w:pPr>
      <w:r>
        <w:t xml:space="preserve">50.  </w:t>
      </w:r>
      <w:r>
        <w:rPr>
          <w:b/>
          <w:bCs/>
          <w:color w:val="000000"/>
          <w:szCs w:val="24"/>
        </w:rPr>
        <w:t>Approved reporting mechanism</w:t>
      </w:r>
      <w:r>
        <w:rPr>
          <w:color w:val="000000"/>
          <w:szCs w:val="24"/>
        </w:rPr>
        <w:t xml:space="preserve"> – means an approved reporting mechanism as defined in point 36 of Article 2(1) of Regulation (EU) No 600/2014.</w:t>
      </w:r>
    </w:p>
    <w:p w14:paraId="5BC760EC" w14:textId="77777777" w:rsidR="008B5F09" w:rsidRDefault="008B5F09" w:rsidP="008B5F09">
      <w:pPr>
        <w:rPr>
          <w:color w:val="000000"/>
          <w:sz w:val="27"/>
          <w:szCs w:val="27"/>
        </w:rPr>
      </w:pPr>
      <w:r>
        <w:rPr>
          <w:i/>
          <w:iCs/>
          <w:color w:val="000000"/>
          <w:sz w:val="20"/>
        </w:rPr>
        <w:t>Amendments to the paragraph of the Article:</w:t>
      </w:r>
    </w:p>
    <w:p w14:paraId="0ADE2943" w14:textId="77777777" w:rsidR="008B5F09" w:rsidRDefault="008B5F09" w:rsidP="008B5F09">
      <w:pPr>
        <w:jc w:val="both"/>
        <w:rPr>
          <w:color w:val="000000"/>
          <w:sz w:val="27"/>
          <w:szCs w:val="27"/>
        </w:rPr>
      </w:pPr>
      <w:r>
        <w:rPr>
          <w:i/>
          <w:iCs/>
          <w:color w:val="000000"/>
          <w:sz w:val="20"/>
        </w:rPr>
        <w:t xml:space="preserve">No </w:t>
      </w:r>
      <w:hyperlink r:id="rId53" w:tgtFrame="_parent" w:history="1">
        <w:r>
          <w:rPr>
            <w:rStyle w:val="Hyperlink"/>
            <w:i/>
            <w:iCs/>
            <w:sz w:val="20"/>
          </w:rPr>
          <w:t>XIV-821</w:t>
        </w:r>
      </w:hyperlink>
      <w:r>
        <w:rPr>
          <w:i/>
          <w:iCs/>
          <w:color w:val="000000"/>
          <w:sz w:val="20"/>
        </w:rPr>
        <w:t>, 23/12/2021, published in the RLA, 30/12/2021, ID code 2021-27710</w:t>
      </w:r>
    </w:p>
    <w:p w14:paraId="3103609A" w14:textId="07E1958F" w:rsidR="00ED3A7E" w:rsidRPr="000550CF" w:rsidRDefault="00ED3A7E" w:rsidP="00F3494E">
      <w:pPr>
        <w:ind w:firstLine="720"/>
        <w:jc w:val="both"/>
        <w:rPr>
          <w:szCs w:val="24"/>
          <w:lang w:eastAsia="lt-LT"/>
        </w:rPr>
      </w:pPr>
    </w:p>
    <w:p w14:paraId="699DC6D0" w14:textId="77777777" w:rsidR="00ED3A7E" w:rsidRPr="000550CF" w:rsidRDefault="00ED3A7E" w:rsidP="00F3494E">
      <w:pPr>
        <w:widowControl w:val="0"/>
        <w:ind w:firstLine="720"/>
        <w:jc w:val="both"/>
        <w:rPr>
          <w:szCs w:val="24"/>
        </w:rPr>
      </w:pPr>
      <w:r>
        <w:t xml:space="preserve">51. </w:t>
      </w:r>
      <w:r>
        <w:rPr>
          <w:b/>
          <w:szCs w:val="24"/>
        </w:rPr>
        <w:t>E</w:t>
      </w:r>
      <w:r>
        <w:rPr>
          <w:b/>
        </w:rPr>
        <w:t>xecution of orders on behalf of a client</w:t>
      </w:r>
      <w:r>
        <w:t xml:space="preserve"> – means acting to conclude agreements to buy or sell one or more financial instruments on behalf of clients and includes the conclusion of agreements to sell financial instruments issued by an investment firm or a credit institution at the </w:t>
      </w:r>
      <w:r>
        <w:lastRenderedPageBreak/>
        <w:t>moment of their issuance.</w:t>
      </w:r>
    </w:p>
    <w:p w14:paraId="64E115B7" w14:textId="77777777" w:rsidR="00ED3A7E" w:rsidRPr="000550CF" w:rsidRDefault="00ED3A7E" w:rsidP="00F3494E">
      <w:pPr>
        <w:widowControl w:val="0"/>
        <w:ind w:firstLine="720"/>
        <w:jc w:val="both"/>
        <w:rPr>
          <w:szCs w:val="24"/>
        </w:rPr>
      </w:pPr>
      <w:r>
        <w:t xml:space="preserve">52. </w:t>
      </w:r>
      <w:r>
        <w:rPr>
          <w:b/>
          <w:szCs w:val="24"/>
        </w:rPr>
        <w:t xml:space="preserve">Transferable securities </w:t>
      </w:r>
      <w:r>
        <w:t>– means securities which are negotiable on the capital market (with the exception of instruments of payment):</w:t>
      </w:r>
    </w:p>
    <w:p w14:paraId="2A0B0CDC" w14:textId="77777777" w:rsidR="00ED3A7E" w:rsidRPr="000550CF" w:rsidRDefault="00ED3A7E" w:rsidP="00F3494E">
      <w:pPr>
        <w:widowControl w:val="0"/>
        <w:ind w:firstLine="720"/>
        <w:jc w:val="both"/>
        <w:rPr>
          <w:szCs w:val="24"/>
        </w:rPr>
      </w:pPr>
      <w:r>
        <w:t xml:space="preserve">1) shares in public and private companies and other securities equivalent to shares in companies, partnerships or other entities, and depositary receipts in respect of </w:t>
      </w:r>
      <w:proofErr w:type="gramStart"/>
      <w:r>
        <w:t>shares;</w:t>
      </w:r>
      <w:proofErr w:type="gramEnd"/>
    </w:p>
    <w:p w14:paraId="04F925AC" w14:textId="77777777" w:rsidR="00ED3A7E" w:rsidRPr="000550CF" w:rsidRDefault="00ED3A7E" w:rsidP="00F3494E">
      <w:pPr>
        <w:widowControl w:val="0"/>
        <w:ind w:firstLine="720"/>
        <w:jc w:val="both"/>
        <w:rPr>
          <w:szCs w:val="24"/>
        </w:rPr>
      </w:pPr>
      <w:r>
        <w:t xml:space="preserve">2) bonds or other forms of securitised debt, including depositary receipts in respect of such </w:t>
      </w:r>
      <w:proofErr w:type="gramStart"/>
      <w:r>
        <w:t>securities;</w:t>
      </w:r>
      <w:proofErr w:type="gramEnd"/>
    </w:p>
    <w:p w14:paraId="6526F17A" w14:textId="77777777" w:rsidR="00ED3A7E" w:rsidRPr="000550CF" w:rsidRDefault="00ED3A7E" w:rsidP="00F3494E">
      <w:pPr>
        <w:widowControl w:val="0"/>
        <w:ind w:firstLine="720"/>
        <w:jc w:val="both"/>
        <w:rPr>
          <w:szCs w:val="24"/>
        </w:rPr>
      </w:pPr>
      <w:r>
        <w:t>3) any other securities giving the right to acquire or sell any such transferable securities or giving rise to a cash settlement determined by reference to transferable securities, currencies, interest rates or yields, commodities or other indices or measures.</w:t>
      </w:r>
    </w:p>
    <w:p w14:paraId="220AC5CA" w14:textId="39E55223" w:rsidR="00ED3A7E" w:rsidRDefault="00ED3A7E" w:rsidP="00F3494E">
      <w:pPr>
        <w:widowControl w:val="0"/>
        <w:ind w:firstLine="720"/>
        <w:jc w:val="both"/>
        <w:rPr>
          <w:szCs w:val="24"/>
        </w:rPr>
      </w:pPr>
      <w:r>
        <w:t xml:space="preserve">53. </w:t>
      </w:r>
      <w:r>
        <w:rPr>
          <w:b/>
          <w:szCs w:val="24"/>
        </w:rPr>
        <w:t>M</w:t>
      </w:r>
      <w:r>
        <w:rPr>
          <w:b/>
        </w:rPr>
        <w:t>oney-market instruments</w:t>
      </w:r>
      <w:r>
        <w:t xml:space="preserve"> – means instruments which are normally dealt in on the money market, such as treasury bills, certificates of deposit and commercial papers and excluding instruments of payment.</w:t>
      </w:r>
    </w:p>
    <w:p w14:paraId="7FD8ADAC" w14:textId="77777777" w:rsidR="008B5F09" w:rsidRDefault="008B5F09" w:rsidP="008B5F09">
      <w:pPr>
        <w:spacing w:line="360" w:lineRule="atLeast"/>
        <w:ind w:firstLine="720"/>
        <w:jc w:val="both"/>
        <w:rPr>
          <w:color w:val="000000"/>
        </w:rPr>
      </w:pPr>
      <w:r>
        <w:rPr>
          <w:color w:val="000000"/>
        </w:rPr>
        <w:t>53</w:t>
      </w:r>
      <w:r>
        <w:rPr>
          <w:color w:val="000000"/>
          <w:vertAlign w:val="superscript"/>
        </w:rPr>
        <w:t>1</w:t>
      </w:r>
      <w:r>
        <w:rPr>
          <w:color w:val="000000"/>
        </w:rPr>
        <w:t>. </w:t>
      </w:r>
      <w:r>
        <w:rPr>
          <w:b/>
          <w:bCs/>
          <w:color w:val="000000"/>
        </w:rPr>
        <w:t>Initial capital</w:t>
      </w:r>
      <w:r>
        <w:rPr>
          <w:color w:val="000000"/>
        </w:rPr>
        <w:t xml:space="preserve"> – means capital required for obtaining a license of a financial brokerage firm, the </w:t>
      </w:r>
      <w:proofErr w:type="gramStart"/>
      <w:r>
        <w:rPr>
          <w:color w:val="000000"/>
        </w:rPr>
        <w:t>amount</w:t>
      </w:r>
      <w:proofErr w:type="gramEnd"/>
      <w:r>
        <w:rPr>
          <w:color w:val="000000"/>
        </w:rPr>
        <w:t xml:space="preserve"> and types of which are specified in Article 14 of this Law.</w:t>
      </w:r>
    </w:p>
    <w:p w14:paraId="368B9233" w14:textId="77777777" w:rsidR="008B5F09" w:rsidRDefault="008B5F09" w:rsidP="008B5F09">
      <w:pPr>
        <w:rPr>
          <w:color w:val="000000"/>
        </w:rPr>
      </w:pPr>
      <w:r>
        <w:rPr>
          <w:i/>
          <w:iCs/>
          <w:color w:val="000000"/>
          <w:sz w:val="20"/>
        </w:rPr>
        <w:t>Supplemented with the paragraph to the Article:</w:t>
      </w:r>
    </w:p>
    <w:p w14:paraId="492A499D" w14:textId="6CC93E0A" w:rsidR="008B5F09" w:rsidRDefault="008B5F09" w:rsidP="008B5F09">
      <w:pPr>
        <w:jc w:val="both"/>
        <w:rPr>
          <w:color w:val="000000"/>
        </w:rPr>
      </w:pPr>
      <w:r>
        <w:rPr>
          <w:i/>
          <w:iCs/>
          <w:color w:val="000000"/>
          <w:sz w:val="20"/>
        </w:rPr>
        <w:t xml:space="preserve">No </w:t>
      </w:r>
      <w:hyperlink r:id="rId54" w:tgtFrame="_parent" w:history="1">
        <w:r>
          <w:rPr>
            <w:rStyle w:val="Hyperlink"/>
            <w:i/>
            <w:iCs/>
            <w:sz w:val="20"/>
          </w:rPr>
          <w:t>XIV-821</w:t>
        </w:r>
      </w:hyperlink>
      <w:r>
        <w:rPr>
          <w:i/>
          <w:iCs/>
          <w:color w:val="000000"/>
          <w:sz w:val="20"/>
        </w:rPr>
        <w:t>, 23/12/2021, published in the RLA, 30/12/2021, ID code 2021-27710</w:t>
      </w:r>
    </w:p>
    <w:p w14:paraId="7656DF6D" w14:textId="77777777" w:rsidR="008B5F09" w:rsidRDefault="008B5F09" w:rsidP="008B5F09">
      <w:pPr>
        <w:spacing w:line="360" w:lineRule="atLeast"/>
        <w:ind w:firstLine="720"/>
        <w:jc w:val="both"/>
        <w:rPr>
          <w:color w:val="000000"/>
        </w:rPr>
      </w:pPr>
      <w:bookmarkStart w:id="15" w:name="part_1b0f085f67a2493cbce341e6d8b22826"/>
      <w:bookmarkEnd w:id="15"/>
      <w:r>
        <w:rPr>
          <w:color w:val="000000"/>
        </w:rPr>
        <w:t>53</w:t>
      </w:r>
      <w:r>
        <w:rPr>
          <w:color w:val="000000"/>
          <w:vertAlign w:val="superscript"/>
        </w:rPr>
        <w:t>2</w:t>
      </w:r>
      <w:r>
        <w:rPr>
          <w:color w:val="000000"/>
        </w:rPr>
        <w:t>. </w:t>
      </w:r>
      <w:r>
        <w:rPr>
          <w:b/>
          <w:bCs/>
          <w:color w:val="000000"/>
        </w:rPr>
        <w:t>Commodity and emission allowance dealer</w:t>
      </w:r>
      <w:r>
        <w:rPr>
          <w:color w:val="000000"/>
        </w:rPr>
        <w:t xml:space="preserve"> – as defined in point 150 of Article 4(1) of Regulation (EU) No 575/2013.</w:t>
      </w:r>
    </w:p>
    <w:p w14:paraId="7DC65F2A" w14:textId="77777777" w:rsidR="008B5F09" w:rsidRDefault="008B5F09" w:rsidP="008B5F09">
      <w:pPr>
        <w:rPr>
          <w:color w:val="000000"/>
        </w:rPr>
      </w:pPr>
      <w:r>
        <w:rPr>
          <w:i/>
          <w:iCs/>
          <w:color w:val="000000"/>
          <w:sz w:val="20"/>
        </w:rPr>
        <w:t>Supplemented with the paragraph to the Article:</w:t>
      </w:r>
    </w:p>
    <w:p w14:paraId="3E3DD727" w14:textId="77777777" w:rsidR="008B5F09" w:rsidRDefault="008B5F09" w:rsidP="008B5F09">
      <w:pPr>
        <w:jc w:val="both"/>
        <w:rPr>
          <w:color w:val="000000"/>
        </w:rPr>
      </w:pPr>
      <w:r>
        <w:rPr>
          <w:i/>
          <w:iCs/>
          <w:color w:val="000000"/>
          <w:sz w:val="20"/>
        </w:rPr>
        <w:t xml:space="preserve">No </w:t>
      </w:r>
      <w:hyperlink r:id="rId55" w:tgtFrame="_parent" w:history="1">
        <w:r>
          <w:rPr>
            <w:rStyle w:val="Hyperlink"/>
            <w:i/>
            <w:iCs/>
            <w:sz w:val="20"/>
          </w:rPr>
          <w:t>XIV-821</w:t>
        </w:r>
      </w:hyperlink>
      <w:r>
        <w:rPr>
          <w:i/>
          <w:iCs/>
          <w:color w:val="000000"/>
          <w:sz w:val="20"/>
        </w:rPr>
        <w:t>, 23/12/2021, published in the RLA, 30/12/2021, ID code 2021-27710</w:t>
      </w:r>
    </w:p>
    <w:p w14:paraId="2D8CCC00" w14:textId="77777777" w:rsidR="008B5F09" w:rsidRPr="000550CF" w:rsidRDefault="008B5F09" w:rsidP="00F3494E">
      <w:pPr>
        <w:widowControl w:val="0"/>
        <w:ind w:firstLine="720"/>
        <w:jc w:val="both"/>
        <w:rPr>
          <w:szCs w:val="24"/>
          <w:lang w:eastAsia="lt-LT"/>
        </w:rPr>
      </w:pPr>
    </w:p>
    <w:p w14:paraId="1252A283" w14:textId="77777777" w:rsidR="00ED3A7E" w:rsidRPr="000550CF" w:rsidRDefault="00ED3A7E" w:rsidP="00F3494E">
      <w:pPr>
        <w:widowControl w:val="0"/>
        <w:ind w:firstLine="720"/>
        <w:jc w:val="both"/>
        <w:rPr>
          <w:szCs w:val="24"/>
        </w:rPr>
      </w:pPr>
      <w:r>
        <w:t xml:space="preserve">54. </w:t>
      </w:r>
      <w:r>
        <w:rPr>
          <w:b/>
          <w:szCs w:val="24"/>
        </w:rPr>
        <w:t>T</w:t>
      </w:r>
      <w:r>
        <w:rPr>
          <w:b/>
        </w:rPr>
        <w:t>rading venue</w:t>
      </w:r>
      <w:r>
        <w:t xml:space="preserve"> – means a regulated market, an MTF or an OTF.</w:t>
      </w:r>
    </w:p>
    <w:p w14:paraId="4A555554" w14:textId="04C02086" w:rsidR="008B5F09" w:rsidRPr="008B5F09" w:rsidRDefault="00ED3A7E" w:rsidP="008B5F09">
      <w:pPr>
        <w:spacing w:line="360" w:lineRule="atLeast"/>
        <w:ind w:firstLine="720"/>
        <w:jc w:val="both"/>
        <w:rPr>
          <w:color w:val="000000"/>
          <w:szCs w:val="24"/>
        </w:rPr>
      </w:pPr>
      <w:r>
        <w:t xml:space="preserve">55.  </w:t>
      </w:r>
      <w:r>
        <w:rPr>
          <w:b/>
          <w:bCs/>
          <w:color w:val="000000"/>
          <w:szCs w:val="24"/>
        </w:rPr>
        <w:t>Supervisory authority</w:t>
      </w:r>
      <w:r>
        <w:rPr>
          <w:color w:val="000000"/>
          <w:szCs w:val="24"/>
        </w:rPr>
        <w:t xml:space="preserve"> – means the Bank of Lithuania performing the function of supervision of markets in financial instruments or other functions assigned under the legal acts listed in the Annex to this Law, in accordance with the procedure established by this Law and other laws.</w:t>
      </w:r>
    </w:p>
    <w:p w14:paraId="46B74404" w14:textId="77777777" w:rsidR="008B5F09" w:rsidRDefault="008B5F09" w:rsidP="008B5F09">
      <w:pPr>
        <w:rPr>
          <w:color w:val="000000"/>
          <w:sz w:val="27"/>
          <w:szCs w:val="27"/>
        </w:rPr>
      </w:pPr>
      <w:r>
        <w:rPr>
          <w:i/>
          <w:iCs/>
          <w:color w:val="000000"/>
          <w:sz w:val="20"/>
        </w:rPr>
        <w:t>Amendments to the paragraph of the Article:</w:t>
      </w:r>
    </w:p>
    <w:p w14:paraId="7FB938BF" w14:textId="77777777" w:rsidR="008B5F09" w:rsidRDefault="008B5F09" w:rsidP="008B5F09">
      <w:pPr>
        <w:jc w:val="both"/>
        <w:rPr>
          <w:color w:val="000000"/>
          <w:sz w:val="27"/>
          <w:szCs w:val="27"/>
        </w:rPr>
      </w:pPr>
      <w:r>
        <w:rPr>
          <w:i/>
          <w:iCs/>
          <w:color w:val="000000"/>
          <w:sz w:val="20"/>
        </w:rPr>
        <w:t xml:space="preserve">No </w:t>
      </w:r>
      <w:hyperlink r:id="rId56" w:tgtFrame="_parent" w:history="1">
        <w:r>
          <w:rPr>
            <w:rStyle w:val="Hyperlink"/>
            <w:i/>
            <w:iCs/>
            <w:sz w:val="20"/>
          </w:rPr>
          <w:t>XIV-821</w:t>
        </w:r>
      </w:hyperlink>
      <w:r>
        <w:rPr>
          <w:i/>
          <w:iCs/>
          <w:color w:val="000000"/>
          <w:sz w:val="20"/>
        </w:rPr>
        <w:t>, 23/12/2021, published in the RLA, 30/12/2021, ID code 2021-27710</w:t>
      </w:r>
    </w:p>
    <w:p w14:paraId="0731440D" w14:textId="7FC2FBC8" w:rsidR="00ED3A7E" w:rsidRPr="000550CF" w:rsidRDefault="00ED3A7E" w:rsidP="00F3494E">
      <w:pPr>
        <w:widowControl w:val="0"/>
        <w:ind w:firstLine="720"/>
        <w:jc w:val="both"/>
        <w:rPr>
          <w:szCs w:val="24"/>
          <w:lang w:eastAsia="lt-LT"/>
        </w:rPr>
      </w:pPr>
    </w:p>
    <w:p w14:paraId="080C4CA4" w14:textId="77777777" w:rsidR="00ED3A7E" w:rsidRPr="000550CF" w:rsidRDefault="00ED3A7E" w:rsidP="00F3494E">
      <w:pPr>
        <w:widowControl w:val="0"/>
        <w:ind w:firstLine="720"/>
        <w:jc w:val="both"/>
        <w:rPr>
          <w:szCs w:val="24"/>
        </w:rPr>
      </w:pPr>
      <w:r>
        <w:t xml:space="preserve">56. </w:t>
      </w:r>
      <w:r>
        <w:rPr>
          <w:b/>
        </w:rPr>
        <w:t>Host Member State</w:t>
      </w:r>
      <w:r>
        <w:t xml:space="preserve"> – means the Member State, other than the home Member State, in which a financial brokerage firm has a branch or provides investment services and/or activities without establishing a branch, or the Member State in which a regulated market provides appropriate arrangements </w:t>
      </w:r>
      <w:proofErr w:type="gramStart"/>
      <w:r>
        <w:t>so as to</w:t>
      </w:r>
      <w:proofErr w:type="gramEnd"/>
      <w:r>
        <w:t xml:space="preserve"> facilitate access to trading on its system by remote members or participants established in that same Member State.</w:t>
      </w:r>
    </w:p>
    <w:p w14:paraId="5AE4DF9B" w14:textId="77777777" w:rsidR="00ED3A7E" w:rsidRPr="000550CF" w:rsidRDefault="00ED3A7E" w:rsidP="00F3494E">
      <w:pPr>
        <w:widowControl w:val="0"/>
        <w:ind w:firstLine="720"/>
        <w:jc w:val="both"/>
        <w:rPr>
          <w:szCs w:val="24"/>
        </w:rPr>
      </w:pPr>
      <w:r>
        <w:t xml:space="preserve">57. </w:t>
      </w:r>
      <w:r>
        <w:rPr>
          <w:b/>
          <w:szCs w:val="24"/>
        </w:rPr>
        <w:t>Supervised contributor</w:t>
      </w:r>
      <w:r>
        <w:t xml:space="preserve"> – as defined in Article 3(1)(10) of Regulation (EU) No 2016/1011.</w:t>
      </w:r>
    </w:p>
    <w:p w14:paraId="196327B6" w14:textId="77777777" w:rsidR="00ED3A7E" w:rsidRPr="000550CF" w:rsidRDefault="00ED3A7E" w:rsidP="00F3494E">
      <w:pPr>
        <w:ind w:firstLine="720"/>
        <w:jc w:val="both"/>
        <w:rPr>
          <w:szCs w:val="24"/>
        </w:rPr>
      </w:pPr>
      <w:r>
        <w:t xml:space="preserve">58. </w:t>
      </w:r>
      <w:r>
        <w:rPr>
          <w:b/>
          <w:szCs w:val="24"/>
        </w:rPr>
        <w:t>P</w:t>
      </w:r>
      <w:r>
        <w:rPr>
          <w:b/>
        </w:rPr>
        <w:t>rofessional client</w:t>
      </w:r>
      <w:r>
        <w:t xml:space="preserve"> – means a client meeting the criteria for professional clients laid down in Section Four of Chapter II of this Law.</w:t>
      </w:r>
    </w:p>
    <w:p w14:paraId="0BF721E6" w14:textId="77777777" w:rsidR="00ED3A7E" w:rsidRPr="000550CF" w:rsidRDefault="00ED3A7E" w:rsidP="00F3494E">
      <w:pPr>
        <w:widowControl w:val="0"/>
        <w:ind w:firstLine="720"/>
        <w:jc w:val="both"/>
        <w:rPr>
          <w:szCs w:val="24"/>
        </w:rPr>
      </w:pPr>
      <w:r>
        <w:t xml:space="preserve">59. </w:t>
      </w:r>
      <w:r>
        <w:rPr>
          <w:b/>
          <w:szCs w:val="24"/>
        </w:rPr>
        <w:t xml:space="preserve">Regulated market </w:t>
      </w:r>
      <w:r>
        <w:t xml:space="preserve">– means an authorised and regularly functioning multilateral system operated and/or managed by a market operator, which brings together or facilitates the bringing together of multiple third-party buying and selling interests in financial instruments – in the system and in accordance with its non-discretionary rules – in a way that results in a contract, in respect of the financial instruments admitted to trading under its rules and/or systems. </w:t>
      </w:r>
    </w:p>
    <w:p w14:paraId="22DC318C" w14:textId="77777777" w:rsidR="00ED3A7E" w:rsidRPr="000550CF" w:rsidRDefault="00ED3A7E" w:rsidP="00F3494E">
      <w:pPr>
        <w:widowControl w:val="0"/>
        <w:ind w:firstLine="720"/>
        <w:jc w:val="both"/>
        <w:rPr>
          <w:szCs w:val="24"/>
        </w:rPr>
      </w:pPr>
      <w:r>
        <w:t xml:space="preserve">60. </w:t>
      </w:r>
      <w:r>
        <w:rPr>
          <w:b/>
          <w:szCs w:val="24"/>
        </w:rPr>
        <w:t xml:space="preserve">Operator of a regulated market </w:t>
      </w:r>
      <w:r>
        <w:t>(hereinafter – a market operator) –</w:t>
      </w:r>
      <w:r>
        <w:rPr>
          <w:b/>
          <w:szCs w:val="24"/>
        </w:rPr>
        <w:t xml:space="preserve"> </w:t>
      </w:r>
      <w:r>
        <w:t>means a person or persons who manage and (or) operate a regulated market. The market operator may be the regulated market itself.</w:t>
      </w:r>
    </w:p>
    <w:p w14:paraId="74659C27" w14:textId="77777777" w:rsidR="00ED3A7E" w:rsidRPr="000550CF" w:rsidRDefault="00ED3A7E" w:rsidP="00F3494E">
      <w:pPr>
        <w:widowControl w:val="0"/>
        <w:ind w:firstLine="720"/>
        <w:jc w:val="both"/>
        <w:rPr>
          <w:szCs w:val="24"/>
        </w:rPr>
      </w:pPr>
      <w:r>
        <w:t xml:space="preserve">61. </w:t>
      </w:r>
      <w:r>
        <w:rPr>
          <w:b/>
          <w:szCs w:val="24"/>
        </w:rPr>
        <w:t>L</w:t>
      </w:r>
      <w:r>
        <w:rPr>
          <w:b/>
        </w:rPr>
        <w:t>imit order</w:t>
      </w:r>
      <w:r>
        <w:t xml:space="preserve"> – means an order to buy or sell a specified financial instrument at a specified price limit or better and for a specified size.</w:t>
      </w:r>
    </w:p>
    <w:p w14:paraId="79246B44" w14:textId="77777777" w:rsidR="00ED3A7E" w:rsidRPr="000550CF" w:rsidRDefault="00ED3A7E" w:rsidP="00F3494E">
      <w:pPr>
        <w:widowControl w:val="0"/>
        <w:ind w:firstLine="720"/>
        <w:jc w:val="both"/>
        <w:rPr>
          <w:szCs w:val="24"/>
        </w:rPr>
      </w:pPr>
      <w:r>
        <w:t xml:space="preserve">62. </w:t>
      </w:r>
      <w:r>
        <w:rPr>
          <w:b/>
          <w:szCs w:val="24"/>
        </w:rPr>
        <w:t>M</w:t>
      </w:r>
      <w:r>
        <w:rPr>
          <w:b/>
        </w:rPr>
        <w:t>arket maker</w:t>
      </w:r>
      <w:r>
        <w:t xml:space="preserve"> – means a legal person who holds himself out on the financial markets on a continuous basis as being willing to deal on own account by buying and selling financial instruments against that person’s proprietary capital at prices defined by that person.</w:t>
      </w:r>
    </w:p>
    <w:p w14:paraId="05340D83" w14:textId="77777777" w:rsidR="00ED3A7E" w:rsidRPr="000550CF" w:rsidRDefault="00ED3A7E" w:rsidP="00F3494E">
      <w:pPr>
        <w:widowControl w:val="0"/>
        <w:ind w:firstLine="720"/>
        <w:jc w:val="both"/>
        <w:rPr>
          <w:szCs w:val="24"/>
        </w:rPr>
      </w:pPr>
      <w:r>
        <w:lastRenderedPageBreak/>
        <w:t xml:space="preserve">63. </w:t>
      </w:r>
      <w:r>
        <w:rPr>
          <w:b/>
        </w:rPr>
        <w:t>Dealing on own account</w:t>
      </w:r>
      <w:r>
        <w:t xml:space="preserve"> – means trading against proprietary capital resulting in the conclusion of transactions in one or more financial instruments.</w:t>
      </w:r>
    </w:p>
    <w:p w14:paraId="38F70D2B" w14:textId="77777777" w:rsidR="00ED3A7E" w:rsidRPr="000550CF" w:rsidRDefault="00ED3A7E" w:rsidP="00F3494E">
      <w:pPr>
        <w:widowControl w:val="0"/>
        <w:ind w:firstLine="720"/>
        <w:jc w:val="both"/>
        <w:rPr>
          <w:szCs w:val="24"/>
        </w:rPr>
      </w:pPr>
      <w:r>
        <w:t xml:space="preserve">64. </w:t>
      </w:r>
      <w:r>
        <w:rPr>
          <w:b/>
          <w:szCs w:val="24"/>
        </w:rPr>
        <w:t xml:space="preserve">Certificates </w:t>
      </w:r>
      <w:r>
        <w:t>– as defined in Article 2(1)(27) of Regulation (EU) No 600/2014.</w:t>
      </w:r>
    </w:p>
    <w:p w14:paraId="78C0F565" w14:textId="77777777" w:rsidR="00ED3A7E" w:rsidRPr="000550CF" w:rsidRDefault="00ED3A7E" w:rsidP="00F3494E">
      <w:pPr>
        <w:widowControl w:val="0"/>
        <w:ind w:firstLine="720"/>
        <w:jc w:val="both"/>
        <w:rPr>
          <w:szCs w:val="24"/>
        </w:rPr>
      </w:pPr>
      <w:r>
        <w:t xml:space="preserve">65. </w:t>
      </w:r>
      <w:r>
        <w:rPr>
          <w:b/>
        </w:rPr>
        <w:t xml:space="preserve">Systematic </w:t>
      </w:r>
      <w:proofErr w:type="spellStart"/>
      <w:r>
        <w:rPr>
          <w:b/>
        </w:rPr>
        <w:t>internaliser</w:t>
      </w:r>
      <w:proofErr w:type="spellEnd"/>
      <w:r>
        <w:t xml:space="preserve"> – means a financial brokerage firm which, on an organised, frequent, </w:t>
      </w:r>
      <w:proofErr w:type="gramStart"/>
      <w:r>
        <w:t>systematic</w:t>
      </w:r>
      <w:proofErr w:type="gramEnd"/>
      <w:r>
        <w:t xml:space="preserve"> and substantial basis, deals on own account when executing client orders outside a regulated market, an MTF or an OTF without operating a multilateral system. The frequent and systematic basis shall be measured by the number of OTC trades in the financial instrument carried out by the financial brokerage firm on own account when executing client orders. The substantial basis shall be measured either by the size of the OTC trading carried out by the financial brokerage firm in relation to the total trading of the investment firm in a specific financial instrument or by the size of the OTC trading carried out by the financial brokerage firm in relation to the total trading in the European Union in a specific financial instrument. The definition of a systematic </w:t>
      </w:r>
      <w:proofErr w:type="spellStart"/>
      <w:r>
        <w:t>internaliser</w:t>
      </w:r>
      <w:proofErr w:type="spellEnd"/>
      <w:r>
        <w:t xml:space="preserve"> shall apply only where the pre-set limits for a frequent and systematic basis and for a substantial basis are both crossed or where a financial brokerage firm chooses to opt-in under the systematic </w:t>
      </w:r>
      <w:proofErr w:type="spellStart"/>
      <w:r>
        <w:t>internaliser</w:t>
      </w:r>
      <w:proofErr w:type="spellEnd"/>
      <w:r>
        <w:t xml:space="preserve"> regime.</w:t>
      </w:r>
    </w:p>
    <w:p w14:paraId="5D13E081" w14:textId="3241AC2E" w:rsidR="008B5F09" w:rsidRPr="008B5F09" w:rsidRDefault="00ED3A7E" w:rsidP="008B5F09">
      <w:pPr>
        <w:spacing w:line="360" w:lineRule="atLeast"/>
        <w:ind w:firstLine="720"/>
        <w:jc w:val="both"/>
        <w:rPr>
          <w:color w:val="000000"/>
          <w:szCs w:val="24"/>
        </w:rPr>
      </w:pPr>
      <w:r>
        <w:t xml:space="preserve">66.  </w:t>
      </w:r>
      <w:r>
        <w:rPr>
          <w:b/>
          <w:bCs/>
          <w:color w:val="000000"/>
          <w:szCs w:val="24"/>
        </w:rPr>
        <w:t>Systemic risk</w:t>
      </w:r>
      <w:r>
        <w:rPr>
          <w:color w:val="000000"/>
          <w:szCs w:val="24"/>
        </w:rPr>
        <w:t xml:space="preserve"> – means the risk of disruption in the financial system which may have significant negative consequences for the financial system and economy of one or more countries.</w:t>
      </w:r>
    </w:p>
    <w:p w14:paraId="5E988BB4" w14:textId="77777777" w:rsidR="008B5F09" w:rsidRDefault="008B5F09" w:rsidP="008B5F09">
      <w:pPr>
        <w:rPr>
          <w:color w:val="000000"/>
          <w:sz w:val="27"/>
          <w:szCs w:val="27"/>
        </w:rPr>
      </w:pPr>
      <w:r>
        <w:rPr>
          <w:i/>
          <w:iCs/>
          <w:color w:val="000000"/>
          <w:sz w:val="20"/>
        </w:rPr>
        <w:t>Amendments to the paragraph of the Article:</w:t>
      </w:r>
    </w:p>
    <w:p w14:paraId="1D34663D" w14:textId="77777777" w:rsidR="008B5F09" w:rsidRDefault="008B5F09" w:rsidP="008B5F09">
      <w:pPr>
        <w:jc w:val="both"/>
        <w:rPr>
          <w:color w:val="000000"/>
          <w:sz w:val="27"/>
          <w:szCs w:val="27"/>
        </w:rPr>
      </w:pPr>
      <w:r>
        <w:rPr>
          <w:i/>
          <w:iCs/>
          <w:color w:val="000000"/>
          <w:sz w:val="20"/>
        </w:rPr>
        <w:t xml:space="preserve">No </w:t>
      </w:r>
      <w:hyperlink r:id="rId57" w:tgtFrame="_parent" w:history="1">
        <w:r>
          <w:rPr>
            <w:rStyle w:val="Hyperlink"/>
            <w:i/>
            <w:iCs/>
            <w:sz w:val="20"/>
          </w:rPr>
          <w:t>XIV-821</w:t>
        </w:r>
      </w:hyperlink>
      <w:r>
        <w:rPr>
          <w:i/>
          <w:iCs/>
          <w:color w:val="000000"/>
          <w:sz w:val="20"/>
        </w:rPr>
        <w:t>, 23/12/2021, published in the RLA, 30/12/2021, ID code 2021-27710</w:t>
      </w:r>
    </w:p>
    <w:p w14:paraId="1D932E89" w14:textId="7E42F092" w:rsidR="00ED3A7E" w:rsidRPr="000550CF" w:rsidRDefault="00ED3A7E" w:rsidP="00F3494E">
      <w:pPr>
        <w:widowControl w:val="0"/>
        <w:ind w:firstLine="720"/>
        <w:jc w:val="both"/>
        <w:rPr>
          <w:szCs w:val="24"/>
          <w:lang w:eastAsia="lt-LT"/>
        </w:rPr>
      </w:pPr>
    </w:p>
    <w:p w14:paraId="326D0793" w14:textId="77777777" w:rsidR="00ED3A7E" w:rsidRPr="000550CF" w:rsidRDefault="00ED3A7E" w:rsidP="00F3494E">
      <w:pPr>
        <w:widowControl w:val="0"/>
        <w:ind w:firstLine="720"/>
        <w:jc w:val="both"/>
        <w:rPr>
          <w:szCs w:val="24"/>
        </w:rPr>
      </w:pPr>
      <w:r>
        <w:t xml:space="preserve">67. </w:t>
      </w:r>
      <w:r>
        <w:rPr>
          <w:b/>
          <w:szCs w:val="24"/>
        </w:rPr>
        <w:t>Proposed acquisition</w:t>
      </w:r>
      <w:r>
        <w:t xml:space="preserve"> – means an envisaged acquisition or increase of a qualifying holding of the capital and/or of the voting rights of a financial brokerage firm </w:t>
      </w:r>
      <w:proofErr w:type="gramStart"/>
      <w:r>
        <w:t>as a result of</w:t>
      </w:r>
      <w:proofErr w:type="gramEnd"/>
      <w:r>
        <w:t xml:space="preserve"> which the proportion of the voting rights or of the capital held by the acquirer would reach or exceed, in ascending order, 20%, 30% or 50%, or the firm would become a subsidiary of that acquirer.</w:t>
      </w:r>
    </w:p>
    <w:p w14:paraId="1BC86906" w14:textId="77777777" w:rsidR="00ED3A7E" w:rsidRPr="000550CF" w:rsidRDefault="00ED3A7E" w:rsidP="00F3494E">
      <w:pPr>
        <w:widowControl w:val="0"/>
        <w:ind w:firstLine="720"/>
        <w:jc w:val="both"/>
        <w:rPr>
          <w:szCs w:val="24"/>
        </w:rPr>
      </w:pPr>
      <w:r>
        <w:t xml:space="preserve">68. </w:t>
      </w:r>
      <w:r>
        <w:rPr>
          <w:b/>
        </w:rPr>
        <w:t>Structured deposit</w:t>
      </w:r>
      <w:r>
        <w:t xml:space="preserve"> – means a deposit as defined in the Law of the Republic of Lithuania on Deposits and Liabilities to Investors, which is fully repayable at maturity on terms under which interest or a premium will be paid and according to a formula involving factors such as:</w:t>
      </w:r>
    </w:p>
    <w:p w14:paraId="7271BDC1" w14:textId="77777777" w:rsidR="00ED3A7E" w:rsidRPr="000550CF" w:rsidRDefault="00ED3A7E" w:rsidP="00F3494E">
      <w:pPr>
        <w:widowControl w:val="0"/>
        <w:ind w:firstLine="720"/>
        <w:jc w:val="both"/>
        <w:rPr>
          <w:szCs w:val="24"/>
        </w:rPr>
      </w:pPr>
      <w:r>
        <w:t xml:space="preserve">1) an index or combination of indices, excluding variable rate deposits whose return is directly linked to an interest rate index such as EURIBOR or </w:t>
      </w:r>
      <w:proofErr w:type="gramStart"/>
      <w:r>
        <w:t>LIBOR;</w:t>
      </w:r>
      <w:proofErr w:type="gramEnd"/>
    </w:p>
    <w:p w14:paraId="10898642" w14:textId="77777777" w:rsidR="00ED3A7E" w:rsidRPr="000550CF" w:rsidRDefault="00ED3A7E" w:rsidP="00F3494E">
      <w:pPr>
        <w:widowControl w:val="0"/>
        <w:ind w:firstLine="720"/>
        <w:jc w:val="both"/>
        <w:rPr>
          <w:szCs w:val="24"/>
        </w:rPr>
      </w:pPr>
      <w:r>
        <w:t xml:space="preserve">2) a financial instrument or combination of financial </w:t>
      </w:r>
      <w:proofErr w:type="gramStart"/>
      <w:r>
        <w:t>instruments;</w:t>
      </w:r>
      <w:proofErr w:type="gramEnd"/>
    </w:p>
    <w:p w14:paraId="06F0503F" w14:textId="77777777" w:rsidR="00ED3A7E" w:rsidRPr="000550CF" w:rsidRDefault="00ED3A7E" w:rsidP="00F3494E">
      <w:pPr>
        <w:widowControl w:val="0"/>
        <w:ind w:firstLine="720"/>
        <w:jc w:val="both"/>
        <w:rPr>
          <w:szCs w:val="24"/>
        </w:rPr>
      </w:pPr>
      <w:r>
        <w:t xml:space="preserve">3) a commodity or combination of commodities or other physical or non-physical non-fungible </w:t>
      </w:r>
      <w:proofErr w:type="gramStart"/>
      <w:r>
        <w:t>assets;</w:t>
      </w:r>
      <w:proofErr w:type="gramEnd"/>
    </w:p>
    <w:p w14:paraId="4C433230" w14:textId="77777777" w:rsidR="00ED3A7E" w:rsidRPr="000550CF" w:rsidRDefault="00ED3A7E" w:rsidP="00F3494E">
      <w:pPr>
        <w:widowControl w:val="0"/>
        <w:ind w:firstLine="720"/>
        <w:jc w:val="both"/>
        <w:rPr>
          <w:szCs w:val="24"/>
        </w:rPr>
      </w:pPr>
      <w:r>
        <w:t>4) a foreign exchange rate or combination of foreign exchange rates.</w:t>
      </w:r>
    </w:p>
    <w:p w14:paraId="48E94935" w14:textId="77777777" w:rsidR="00ED3A7E" w:rsidRPr="000550CF" w:rsidRDefault="00ED3A7E" w:rsidP="00F3494E">
      <w:pPr>
        <w:widowControl w:val="0"/>
        <w:ind w:firstLine="720"/>
        <w:jc w:val="both"/>
        <w:rPr>
          <w:szCs w:val="24"/>
        </w:rPr>
      </w:pPr>
      <w:r>
        <w:t xml:space="preserve">69. </w:t>
      </w:r>
      <w:r>
        <w:rPr>
          <w:b/>
          <w:szCs w:val="24"/>
        </w:rPr>
        <w:t>Structured finance products</w:t>
      </w:r>
      <w:r>
        <w:t xml:space="preserve"> – as defined in Article 2(1)(28) of Regulation (EU) No 600/2014.</w:t>
      </w:r>
    </w:p>
    <w:p w14:paraId="38AA5411" w14:textId="77777777" w:rsidR="00ED3A7E" w:rsidRPr="000550CF" w:rsidRDefault="00ED3A7E" w:rsidP="00F3494E">
      <w:pPr>
        <w:widowControl w:val="0"/>
        <w:ind w:firstLine="720"/>
        <w:jc w:val="both"/>
        <w:rPr>
          <w:szCs w:val="24"/>
        </w:rPr>
      </w:pPr>
      <w:r>
        <w:t xml:space="preserve">70. </w:t>
      </w:r>
      <w:r>
        <w:rPr>
          <w:b/>
        </w:rPr>
        <w:t>C6 energy derivative contracts</w:t>
      </w:r>
      <w:r>
        <w:t xml:space="preserve"> – means options, futures, swaps, and any other derivative contracts mentioned in point 6 of paragraph 15 of this Article relating to coal or oil that are traded on an OTF and must be physically settled.</w:t>
      </w:r>
    </w:p>
    <w:p w14:paraId="7967D388" w14:textId="77777777" w:rsidR="00ED3A7E" w:rsidRPr="000550CF" w:rsidRDefault="00ED3A7E" w:rsidP="00F3494E">
      <w:pPr>
        <w:widowControl w:val="0"/>
        <w:ind w:firstLine="720"/>
        <w:jc w:val="both"/>
        <w:rPr>
          <w:szCs w:val="24"/>
        </w:rPr>
      </w:pPr>
      <w:r>
        <w:t xml:space="preserve">71. </w:t>
      </w:r>
      <w:r>
        <w:rPr>
          <w:b/>
          <w:bCs/>
          <w:szCs w:val="24"/>
        </w:rPr>
        <w:t xml:space="preserve">Harmonized collective investment undertaking </w:t>
      </w:r>
      <w:r>
        <w:t>– as defined in the Law on Collective Investment Undertakings.</w:t>
      </w:r>
    </w:p>
    <w:p w14:paraId="1F2B13ED" w14:textId="77777777" w:rsidR="00ED3A7E" w:rsidRPr="000550CF" w:rsidRDefault="00ED3A7E" w:rsidP="00F3494E">
      <w:pPr>
        <w:widowControl w:val="0"/>
        <w:ind w:firstLine="720"/>
        <w:jc w:val="both"/>
        <w:rPr>
          <w:szCs w:val="24"/>
        </w:rPr>
      </w:pPr>
      <w:r>
        <w:t xml:space="preserve">72. </w:t>
      </w:r>
      <w:r>
        <w:rPr>
          <w:b/>
          <w:szCs w:val="24"/>
        </w:rPr>
        <w:t xml:space="preserve">Cross-selling practice </w:t>
      </w:r>
      <w:r>
        <w:t>– means the offering of an investment service together with another service or product as part of the same package or as a condition for the same agreement or package.</w:t>
      </w:r>
    </w:p>
    <w:p w14:paraId="52A826F7" w14:textId="77777777" w:rsidR="00ED3A7E" w:rsidRPr="000550CF" w:rsidRDefault="00ED3A7E" w:rsidP="00F3494E">
      <w:pPr>
        <w:widowControl w:val="0"/>
        <w:ind w:firstLine="720"/>
        <w:jc w:val="both"/>
        <w:rPr>
          <w:szCs w:val="24"/>
        </w:rPr>
      </w:pPr>
      <w:r>
        <w:t xml:space="preserve">73. </w:t>
      </w:r>
      <w:r>
        <w:rPr>
          <w:b/>
        </w:rPr>
        <w:t>Matched principal trading</w:t>
      </w:r>
      <w:r>
        <w:t xml:space="preserve"> – means a transaction concluded in observance of the following conditions:</w:t>
      </w:r>
    </w:p>
    <w:p w14:paraId="17EBB098" w14:textId="77777777" w:rsidR="00ED3A7E" w:rsidRPr="000550CF" w:rsidRDefault="00ED3A7E" w:rsidP="00F3494E">
      <w:pPr>
        <w:widowControl w:val="0"/>
        <w:ind w:firstLine="720"/>
        <w:jc w:val="both"/>
        <w:rPr>
          <w:szCs w:val="24"/>
        </w:rPr>
      </w:pPr>
      <w:r>
        <w:t>1) the facilitator interposes itself between the buyer and the seller to the transaction in such a way that it is never exposed to market risk throughout the execution of the transaction, with both sides executed simultaneously, and</w:t>
      </w:r>
    </w:p>
    <w:p w14:paraId="47E2690C" w14:textId="77777777" w:rsidR="00ED3A7E" w:rsidRPr="000550CF" w:rsidRDefault="00ED3A7E" w:rsidP="00F3494E">
      <w:pPr>
        <w:widowControl w:val="0"/>
        <w:ind w:firstLine="720"/>
        <w:jc w:val="both"/>
        <w:rPr>
          <w:szCs w:val="24"/>
        </w:rPr>
      </w:pPr>
      <w:r>
        <w:t xml:space="preserve">2) the transaction is concluded at a price where the facilitator makes no profit or loss, other than a previously disclosed commission, </w:t>
      </w:r>
      <w:proofErr w:type="gramStart"/>
      <w:r>
        <w:t>fee</w:t>
      </w:r>
      <w:proofErr w:type="gramEnd"/>
      <w:r>
        <w:t xml:space="preserve"> or charge for the transaction.</w:t>
      </w:r>
    </w:p>
    <w:p w14:paraId="53E4C32E" w14:textId="77777777" w:rsidR="00ED3A7E" w:rsidRPr="000550CF" w:rsidRDefault="00ED3A7E" w:rsidP="00F3494E">
      <w:pPr>
        <w:widowControl w:val="0"/>
        <w:ind w:firstLine="720"/>
        <w:jc w:val="both"/>
        <w:rPr>
          <w:szCs w:val="24"/>
        </w:rPr>
      </w:pPr>
      <w:r>
        <w:t xml:space="preserve">74. </w:t>
      </w:r>
      <w:r>
        <w:rPr>
          <w:b/>
        </w:rPr>
        <w:t>Direct electronic access</w:t>
      </w:r>
      <w:r>
        <w:t xml:space="preserve"> – means an arrangement where a member or participant or client of a trading venue permits a person to use its trading code so the person can electronically transmit </w:t>
      </w:r>
      <w:r>
        <w:lastRenderedPageBreak/>
        <w:t>orders relating to a financial instrument directly to the trading venue and includes arrangements which involve the use by a person of the infrastructure of the member or participant or client, or any connecting system provided by the member or participant or client, to transmit the orders (direct market access) and arrangements where such an infrastructure is not used by a person (sponsored access).</w:t>
      </w:r>
    </w:p>
    <w:p w14:paraId="0A20A30A" w14:textId="77777777" w:rsidR="00ED3A7E" w:rsidRPr="000550CF" w:rsidRDefault="00ED3A7E" w:rsidP="00F3494E">
      <w:pPr>
        <w:widowControl w:val="0"/>
        <w:ind w:firstLine="720"/>
        <w:jc w:val="both"/>
        <w:rPr>
          <w:szCs w:val="24"/>
        </w:rPr>
      </w:pPr>
      <w:r>
        <w:t xml:space="preserve">75. </w:t>
      </w:r>
      <w:r>
        <w:rPr>
          <w:b/>
          <w:szCs w:val="24"/>
        </w:rPr>
        <w:t>Third country</w:t>
      </w:r>
      <w:r>
        <w:t xml:space="preserve"> – means a country, other than the Member State.</w:t>
      </w:r>
    </w:p>
    <w:p w14:paraId="211B7C9E" w14:textId="77777777" w:rsidR="00ED3A7E" w:rsidRPr="000550CF" w:rsidRDefault="00ED3A7E" w:rsidP="00F3494E">
      <w:pPr>
        <w:widowControl w:val="0"/>
        <w:ind w:firstLine="720"/>
        <w:jc w:val="both"/>
        <w:rPr>
          <w:szCs w:val="24"/>
        </w:rPr>
      </w:pPr>
      <w:r>
        <w:t>76.</w:t>
      </w:r>
      <w:r>
        <w:rPr>
          <w:b/>
          <w:szCs w:val="24"/>
        </w:rPr>
        <w:t xml:space="preserve"> T</w:t>
      </w:r>
      <w:r>
        <w:rPr>
          <w:b/>
        </w:rPr>
        <w:t>hird-country firm</w:t>
      </w:r>
      <w:r>
        <w:t xml:space="preserve"> – means a firm that would be a financial brokerage form or a credit institution if its head office or registered office were located within the European Union.</w:t>
      </w:r>
    </w:p>
    <w:p w14:paraId="368885E7" w14:textId="4CBEB7E8" w:rsidR="00ED3A7E" w:rsidRDefault="00ED3A7E" w:rsidP="00F3494E">
      <w:pPr>
        <w:widowControl w:val="0"/>
        <w:ind w:firstLine="720"/>
        <w:jc w:val="both"/>
        <w:rPr>
          <w:szCs w:val="24"/>
        </w:rPr>
      </w:pPr>
      <w:r>
        <w:t xml:space="preserve">77. </w:t>
      </w:r>
      <w:r>
        <w:rPr>
          <w:b/>
          <w:bCs/>
          <w:szCs w:val="24"/>
        </w:rPr>
        <w:t xml:space="preserve">Third-country supervisory authority </w:t>
      </w:r>
      <w:r>
        <w:t xml:space="preserve">– means the authority that performs the functions of the supervisory authority referred to in this Law </w:t>
      </w:r>
      <w:proofErr w:type="gramStart"/>
      <w:r>
        <w:t>similar to</w:t>
      </w:r>
      <w:proofErr w:type="gramEnd"/>
      <w:r>
        <w:t xml:space="preserve"> the supervisory functions of the markets in financial instruments in a country, other than the Member State.</w:t>
      </w:r>
    </w:p>
    <w:p w14:paraId="21C75FD9" w14:textId="77777777" w:rsidR="008B5F09" w:rsidRPr="008B5F09" w:rsidRDefault="008B5F09" w:rsidP="008B5F09">
      <w:pPr>
        <w:spacing w:line="360" w:lineRule="atLeast"/>
        <w:ind w:firstLine="720"/>
        <w:jc w:val="both"/>
        <w:rPr>
          <w:color w:val="000000"/>
          <w:szCs w:val="24"/>
        </w:rPr>
      </w:pPr>
      <w:r>
        <w:rPr>
          <w:color w:val="000000"/>
          <w:szCs w:val="24"/>
        </w:rPr>
        <w:t>77</w:t>
      </w:r>
      <w:r>
        <w:rPr>
          <w:color w:val="000000"/>
          <w:szCs w:val="24"/>
          <w:vertAlign w:val="superscript"/>
        </w:rPr>
        <w:t>1</w:t>
      </w:r>
      <w:r>
        <w:rPr>
          <w:color w:val="000000"/>
          <w:szCs w:val="24"/>
        </w:rPr>
        <w:t>.</w:t>
      </w:r>
      <w:r>
        <w:rPr>
          <w:b/>
          <w:bCs/>
          <w:color w:val="000000"/>
          <w:szCs w:val="24"/>
        </w:rPr>
        <w:t> Asset manager</w:t>
      </w:r>
      <w:r>
        <w:rPr>
          <w:color w:val="000000"/>
          <w:szCs w:val="24"/>
        </w:rPr>
        <w:t xml:space="preserve"> – means a financial brokerage firm and credit institution providing investors with financial instrument portfolio management services, a management company or an investment company maintaining a license under the Republic of Lithuania Law on Collective Investment Undertakings and/or the Law on Managers of Alternative Collective Investment Undertakings.</w:t>
      </w:r>
    </w:p>
    <w:p w14:paraId="78B4CD36" w14:textId="77777777" w:rsidR="008B5F09" w:rsidRDefault="008B5F09" w:rsidP="008B5F09">
      <w:pPr>
        <w:rPr>
          <w:color w:val="000000"/>
          <w:sz w:val="27"/>
          <w:szCs w:val="27"/>
        </w:rPr>
      </w:pPr>
      <w:r>
        <w:rPr>
          <w:i/>
          <w:iCs/>
          <w:color w:val="000000"/>
          <w:sz w:val="20"/>
        </w:rPr>
        <w:t>Supplemented with the paragraph to the Article:</w:t>
      </w:r>
    </w:p>
    <w:p w14:paraId="4B319876" w14:textId="77777777" w:rsidR="008B5F09" w:rsidRDefault="008B5F09" w:rsidP="008B5F09">
      <w:pPr>
        <w:jc w:val="both"/>
        <w:rPr>
          <w:color w:val="000000"/>
          <w:sz w:val="27"/>
          <w:szCs w:val="27"/>
        </w:rPr>
      </w:pPr>
      <w:r>
        <w:rPr>
          <w:i/>
          <w:iCs/>
          <w:color w:val="000000"/>
          <w:sz w:val="20"/>
        </w:rPr>
        <w:t xml:space="preserve">No </w:t>
      </w:r>
      <w:hyperlink r:id="rId58" w:tgtFrame="_parent" w:history="1">
        <w:r>
          <w:rPr>
            <w:rStyle w:val="Hyperlink"/>
            <w:i/>
            <w:iCs/>
            <w:sz w:val="20"/>
          </w:rPr>
          <w:t>XIII-2252</w:t>
        </w:r>
      </w:hyperlink>
      <w:r>
        <w:rPr>
          <w:i/>
          <w:iCs/>
          <w:color w:val="000000"/>
          <w:sz w:val="20"/>
        </w:rPr>
        <w:t>, 27/06/2019, published in the RLA, 05/07/2019, ID code 2019-11172</w:t>
      </w:r>
    </w:p>
    <w:p w14:paraId="4BA22076" w14:textId="77777777" w:rsidR="008B5F09" w:rsidRPr="000550CF" w:rsidRDefault="008B5F09" w:rsidP="00F3494E">
      <w:pPr>
        <w:widowControl w:val="0"/>
        <w:ind w:firstLine="720"/>
        <w:jc w:val="both"/>
        <w:rPr>
          <w:szCs w:val="24"/>
          <w:lang w:eastAsia="lt-LT"/>
        </w:rPr>
      </w:pPr>
    </w:p>
    <w:p w14:paraId="2E85B3DA" w14:textId="77777777" w:rsidR="00ED3A7E" w:rsidRPr="000550CF" w:rsidRDefault="00ED3A7E" w:rsidP="00F3494E">
      <w:pPr>
        <w:widowControl w:val="0"/>
        <w:ind w:firstLine="720"/>
        <w:jc w:val="both"/>
        <w:rPr>
          <w:szCs w:val="24"/>
        </w:rPr>
      </w:pPr>
      <w:r>
        <w:t xml:space="preserve">78. </w:t>
      </w:r>
      <w:r>
        <w:rPr>
          <w:b/>
          <w:szCs w:val="24"/>
        </w:rPr>
        <w:t>Managers</w:t>
      </w:r>
      <w:r>
        <w:t>:</w:t>
      </w:r>
    </w:p>
    <w:p w14:paraId="5A51903B" w14:textId="77777777" w:rsidR="00ED3A7E" w:rsidRPr="000550CF" w:rsidRDefault="00ED3A7E" w:rsidP="00F3494E">
      <w:pPr>
        <w:widowControl w:val="0"/>
        <w:ind w:firstLine="720"/>
        <w:jc w:val="both"/>
        <w:rPr>
          <w:szCs w:val="24"/>
        </w:rPr>
      </w:pPr>
      <w:r>
        <w:t xml:space="preserve">1) a legal person’s sole manager or deputy </w:t>
      </w:r>
      <w:proofErr w:type="gramStart"/>
      <w:r>
        <w:t>manager;</w:t>
      </w:r>
      <w:proofErr w:type="gramEnd"/>
    </w:p>
    <w:p w14:paraId="0616FFB4" w14:textId="77777777" w:rsidR="00ED3A7E" w:rsidRPr="000550CF" w:rsidRDefault="00ED3A7E" w:rsidP="00F3494E">
      <w:pPr>
        <w:widowControl w:val="0"/>
        <w:ind w:firstLine="720"/>
        <w:jc w:val="both"/>
        <w:rPr>
          <w:szCs w:val="24"/>
        </w:rPr>
      </w:pPr>
      <w:r>
        <w:t xml:space="preserve">2) board </w:t>
      </w:r>
      <w:proofErr w:type="gramStart"/>
      <w:r>
        <w:t>members;</w:t>
      </w:r>
      <w:proofErr w:type="gramEnd"/>
    </w:p>
    <w:p w14:paraId="3B5C4ED1" w14:textId="77777777" w:rsidR="00ED3A7E" w:rsidRPr="000550CF" w:rsidRDefault="00ED3A7E" w:rsidP="00F3494E">
      <w:pPr>
        <w:widowControl w:val="0"/>
        <w:ind w:firstLine="720"/>
        <w:jc w:val="both"/>
        <w:rPr>
          <w:szCs w:val="24"/>
        </w:rPr>
      </w:pPr>
      <w:r>
        <w:t>3) supervisory board members.</w:t>
      </w:r>
    </w:p>
    <w:p w14:paraId="5F488B21" w14:textId="77777777" w:rsidR="00ED3A7E" w:rsidRPr="000550CF" w:rsidRDefault="00ED3A7E" w:rsidP="00F3494E">
      <w:pPr>
        <w:widowControl w:val="0"/>
        <w:ind w:firstLine="720"/>
        <w:jc w:val="both"/>
        <w:rPr>
          <w:szCs w:val="24"/>
        </w:rPr>
      </w:pPr>
      <w:r>
        <w:t xml:space="preserve">79. </w:t>
      </w:r>
      <w:r>
        <w:rPr>
          <w:b/>
          <w:szCs w:val="24"/>
        </w:rPr>
        <w:t xml:space="preserve">Member State </w:t>
      </w:r>
      <w:r>
        <w:t>– means a Member State of the European Union and a country of the European Economic Area.</w:t>
      </w:r>
    </w:p>
    <w:p w14:paraId="7D0E5DB5" w14:textId="77777777" w:rsidR="00ED3A7E" w:rsidRPr="000550CF" w:rsidRDefault="00ED3A7E" w:rsidP="00F3494E">
      <w:pPr>
        <w:widowControl w:val="0"/>
        <w:ind w:firstLine="720"/>
        <w:jc w:val="both"/>
        <w:rPr>
          <w:szCs w:val="24"/>
        </w:rPr>
      </w:pPr>
      <w:r>
        <w:t xml:space="preserve">80. </w:t>
      </w:r>
      <w:r>
        <w:rPr>
          <w:b/>
          <w:szCs w:val="24"/>
        </w:rPr>
        <w:t xml:space="preserve">Supervisory authority of a Member State </w:t>
      </w:r>
      <w:r>
        <w:t xml:space="preserve">– means the authority performing the functions of supervision of markets in financial instruments in the Member State </w:t>
      </w:r>
      <w:proofErr w:type="gramStart"/>
      <w:r>
        <w:t>similar to</w:t>
      </w:r>
      <w:proofErr w:type="gramEnd"/>
      <w:r>
        <w:t xml:space="preserve"> the functions of the supervisory authority referred to in this Law.</w:t>
      </w:r>
    </w:p>
    <w:p w14:paraId="2B2DD819" w14:textId="77777777" w:rsidR="00ED3A7E" w:rsidRPr="000550CF" w:rsidRDefault="00ED3A7E" w:rsidP="00F3494E">
      <w:pPr>
        <w:widowControl w:val="0"/>
        <w:ind w:firstLine="720"/>
        <w:jc w:val="both"/>
        <w:rPr>
          <w:szCs w:val="24"/>
        </w:rPr>
      </w:pPr>
      <w:r>
        <w:t xml:space="preserve">81. </w:t>
      </w:r>
      <w:r>
        <w:rPr>
          <w:b/>
          <w:szCs w:val="24"/>
        </w:rPr>
        <w:t>Sovereign debt</w:t>
      </w:r>
      <w:r>
        <w:t xml:space="preserve"> </w:t>
      </w:r>
      <w:r>
        <w:rPr>
          <w:b/>
          <w:szCs w:val="24"/>
        </w:rPr>
        <w:t>instrument</w:t>
      </w:r>
      <w:r>
        <w:t xml:space="preserve"> – means a debt instrument issued by an issuer of sovereign debt instruments.</w:t>
      </w:r>
    </w:p>
    <w:p w14:paraId="18C80DED" w14:textId="77777777" w:rsidR="00ED3A7E" w:rsidRPr="000550CF" w:rsidRDefault="00ED3A7E" w:rsidP="00F3494E">
      <w:pPr>
        <w:widowControl w:val="0"/>
        <w:ind w:firstLine="720"/>
        <w:jc w:val="both"/>
        <w:rPr>
          <w:szCs w:val="24"/>
        </w:rPr>
      </w:pPr>
      <w:r>
        <w:t xml:space="preserve">82. </w:t>
      </w:r>
      <w:r>
        <w:rPr>
          <w:b/>
        </w:rPr>
        <w:t>Sovereign issuer</w:t>
      </w:r>
      <w:r>
        <w:t xml:space="preserve"> – means any of the following </w:t>
      </w:r>
      <w:proofErr w:type="gramStart"/>
      <w:r>
        <w:t>that issues</w:t>
      </w:r>
      <w:proofErr w:type="gramEnd"/>
      <w:r>
        <w:t xml:space="preserve"> debt instruments:</w:t>
      </w:r>
    </w:p>
    <w:p w14:paraId="4DCB0494" w14:textId="77777777" w:rsidR="00ED3A7E" w:rsidRPr="000550CF" w:rsidRDefault="00ED3A7E" w:rsidP="00F3494E">
      <w:pPr>
        <w:widowControl w:val="0"/>
        <w:ind w:firstLine="720"/>
        <w:jc w:val="both"/>
        <w:rPr>
          <w:szCs w:val="24"/>
        </w:rPr>
      </w:pPr>
      <w:r>
        <w:t xml:space="preserve">1) the European </w:t>
      </w:r>
      <w:proofErr w:type="gramStart"/>
      <w:r>
        <w:t>Union;</w:t>
      </w:r>
      <w:proofErr w:type="gramEnd"/>
    </w:p>
    <w:p w14:paraId="007B868C" w14:textId="77777777" w:rsidR="00ED3A7E" w:rsidRPr="000550CF" w:rsidRDefault="00ED3A7E" w:rsidP="00F3494E">
      <w:pPr>
        <w:widowControl w:val="0"/>
        <w:ind w:firstLine="720"/>
        <w:jc w:val="both"/>
        <w:rPr>
          <w:szCs w:val="24"/>
        </w:rPr>
      </w:pPr>
      <w:r>
        <w:t xml:space="preserve">2) a Member State, including a government department, an agency, or a special purpose vehicle of the Member </w:t>
      </w:r>
      <w:proofErr w:type="gramStart"/>
      <w:r>
        <w:t>State;</w:t>
      </w:r>
      <w:proofErr w:type="gramEnd"/>
    </w:p>
    <w:p w14:paraId="1DE5681A" w14:textId="77777777" w:rsidR="00ED3A7E" w:rsidRPr="000550CF" w:rsidRDefault="00ED3A7E" w:rsidP="00F3494E">
      <w:pPr>
        <w:widowControl w:val="0"/>
        <w:ind w:firstLine="720"/>
        <w:jc w:val="both"/>
        <w:rPr>
          <w:szCs w:val="24"/>
        </w:rPr>
      </w:pPr>
      <w:r>
        <w:t xml:space="preserve">3) in the case of a federal Member State, a member of the </w:t>
      </w:r>
      <w:proofErr w:type="gramStart"/>
      <w:r>
        <w:t>federation;</w:t>
      </w:r>
      <w:proofErr w:type="gramEnd"/>
    </w:p>
    <w:p w14:paraId="04D76C9D" w14:textId="77777777" w:rsidR="00ED3A7E" w:rsidRPr="000550CF" w:rsidRDefault="00ED3A7E" w:rsidP="00F3494E">
      <w:pPr>
        <w:widowControl w:val="0"/>
        <w:ind w:firstLine="720"/>
        <w:jc w:val="both"/>
        <w:rPr>
          <w:szCs w:val="24"/>
        </w:rPr>
      </w:pPr>
      <w:r>
        <w:t xml:space="preserve">4) a special purpose vehicle for several Member </w:t>
      </w:r>
      <w:proofErr w:type="gramStart"/>
      <w:r>
        <w:t>States;</w:t>
      </w:r>
      <w:proofErr w:type="gramEnd"/>
    </w:p>
    <w:p w14:paraId="576E86BB" w14:textId="77777777" w:rsidR="00ED3A7E" w:rsidRPr="000550CF" w:rsidRDefault="00ED3A7E" w:rsidP="00F3494E">
      <w:pPr>
        <w:widowControl w:val="0"/>
        <w:ind w:firstLine="720"/>
        <w:jc w:val="both"/>
        <w:rPr>
          <w:szCs w:val="24"/>
        </w:rPr>
      </w:pPr>
      <w:r>
        <w:t xml:space="preserve">5) an international financial institution established by two or more Member States which has the purpose of mobilising funding and provide financial assistance to the benefit of its members that are experiencing or threatened by severe financing </w:t>
      </w:r>
      <w:proofErr w:type="gramStart"/>
      <w:r>
        <w:t>problems;</w:t>
      </w:r>
      <w:proofErr w:type="gramEnd"/>
    </w:p>
    <w:p w14:paraId="4633A543" w14:textId="66E53566" w:rsidR="00ED3A7E" w:rsidRDefault="00ED3A7E" w:rsidP="00F3494E">
      <w:pPr>
        <w:widowControl w:val="0"/>
        <w:ind w:firstLine="720"/>
        <w:jc w:val="both"/>
        <w:rPr>
          <w:szCs w:val="24"/>
        </w:rPr>
      </w:pPr>
      <w:r>
        <w:t xml:space="preserve">6) the European Investment Bank. </w:t>
      </w:r>
    </w:p>
    <w:p w14:paraId="63FE2C97" w14:textId="77777777" w:rsidR="00720C74" w:rsidRPr="00720C74" w:rsidRDefault="00720C74" w:rsidP="00720C74">
      <w:pPr>
        <w:spacing w:line="360" w:lineRule="atLeast"/>
        <w:ind w:firstLine="720"/>
        <w:jc w:val="both"/>
        <w:rPr>
          <w:color w:val="000000"/>
          <w:szCs w:val="24"/>
        </w:rPr>
      </w:pPr>
      <w:r>
        <w:rPr>
          <w:color w:val="000000"/>
          <w:szCs w:val="24"/>
        </w:rPr>
        <w:t>82</w:t>
      </w:r>
      <w:r>
        <w:rPr>
          <w:color w:val="000000"/>
          <w:szCs w:val="24"/>
          <w:vertAlign w:val="superscript"/>
        </w:rPr>
        <w:t>1</w:t>
      </w:r>
      <w:r>
        <w:rPr>
          <w:color w:val="000000"/>
          <w:szCs w:val="24"/>
        </w:rPr>
        <w:t>.</w:t>
      </w:r>
      <w:r>
        <w:rPr>
          <w:b/>
          <w:bCs/>
          <w:color w:val="000000"/>
          <w:szCs w:val="24"/>
        </w:rPr>
        <w:t> Replacement of one financial instrument with another</w:t>
      </w:r>
      <w:r>
        <w:rPr>
          <w:color w:val="000000"/>
          <w:szCs w:val="24"/>
        </w:rPr>
        <w:t xml:space="preserve"> – sale of one financial instrument and purchase of another financial instrument or exercise of the right to replace an existing financial instrument with another instrument.</w:t>
      </w:r>
    </w:p>
    <w:p w14:paraId="29019A70" w14:textId="77777777" w:rsidR="00720C74" w:rsidRDefault="00720C74" w:rsidP="00720C74">
      <w:pPr>
        <w:rPr>
          <w:color w:val="000000"/>
          <w:sz w:val="27"/>
          <w:szCs w:val="27"/>
        </w:rPr>
      </w:pPr>
      <w:r>
        <w:rPr>
          <w:i/>
          <w:iCs/>
          <w:color w:val="000000"/>
          <w:sz w:val="20"/>
        </w:rPr>
        <w:t>Supplemented with the paragraph to the Article:</w:t>
      </w:r>
    </w:p>
    <w:p w14:paraId="3D8E7EA6" w14:textId="77777777" w:rsidR="00720C74" w:rsidRDefault="00720C74" w:rsidP="00720C74">
      <w:pPr>
        <w:jc w:val="both"/>
        <w:rPr>
          <w:color w:val="000000"/>
          <w:sz w:val="27"/>
          <w:szCs w:val="27"/>
        </w:rPr>
      </w:pPr>
      <w:r>
        <w:rPr>
          <w:i/>
          <w:iCs/>
          <w:color w:val="000000"/>
          <w:sz w:val="20"/>
        </w:rPr>
        <w:t xml:space="preserve">No </w:t>
      </w:r>
      <w:hyperlink r:id="rId59" w:tgtFrame="_parent" w:history="1">
        <w:r>
          <w:rPr>
            <w:rStyle w:val="Hyperlink"/>
            <w:i/>
            <w:iCs/>
            <w:sz w:val="20"/>
          </w:rPr>
          <w:t>XIV-821</w:t>
        </w:r>
      </w:hyperlink>
      <w:r>
        <w:rPr>
          <w:i/>
          <w:iCs/>
          <w:color w:val="000000"/>
          <w:sz w:val="20"/>
        </w:rPr>
        <w:t>, 23/12/2021, published in the RLA, 30/12/2021, ID code 2021-27710</w:t>
      </w:r>
    </w:p>
    <w:p w14:paraId="023E761B" w14:textId="77777777" w:rsidR="00720C74" w:rsidRPr="000550CF" w:rsidRDefault="00720C74" w:rsidP="00F3494E">
      <w:pPr>
        <w:widowControl w:val="0"/>
        <w:ind w:firstLine="720"/>
        <w:jc w:val="both"/>
        <w:rPr>
          <w:szCs w:val="24"/>
          <w:lang w:eastAsia="lt-LT"/>
        </w:rPr>
      </w:pPr>
    </w:p>
    <w:p w14:paraId="2FD0990A" w14:textId="2164EF0F" w:rsidR="00720C74" w:rsidRDefault="00ED3A7E" w:rsidP="00720C74">
      <w:pPr>
        <w:spacing w:line="360" w:lineRule="atLeast"/>
        <w:ind w:firstLine="720"/>
        <w:jc w:val="both"/>
        <w:rPr>
          <w:color w:val="000000"/>
          <w:sz w:val="27"/>
          <w:szCs w:val="27"/>
        </w:rPr>
      </w:pPr>
      <w:r>
        <w:t xml:space="preserve">83.  </w:t>
      </w:r>
      <w:r>
        <w:rPr>
          <w:i/>
          <w:iCs/>
          <w:color w:val="000000"/>
          <w:sz w:val="20"/>
        </w:rPr>
        <w:t>Lost validity as of 02/01/2022.</w:t>
      </w:r>
    </w:p>
    <w:p w14:paraId="708BD033" w14:textId="77777777" w:rsidR="00720C74" w:rsidRDefault="00720C74" w:rsidP="00720C74">
      <w:pPr>
        <w:rPr>
          <w:color w:val="000000"/>
          <w:sz w:val="27"/>
          <w:szCs w:val="27"/>
        </w:rPr>
      </w:pPr>
      <w:r>
        <w:rPr>
          <w:i/>
          <w:iCs/>
          <w:color w:val="000000"/>
          <w:sz w:val="20"/>
        </w:rPr>
        <w:t>Amendments to the paragraph of the Article:</w:t>
      </w:r>
    </w:p>
    <w:p w14:paraId="3EBF1DE0" w14:textId="77777777" w:rsidR="00720C74" w:rsidRDefault="00720C74" w:rsidP="00720C74">
      <w:pPr>
        <w:jc w:val="both"/>
        <w:rPr>
          <w:color w:val="000000"/>
          <w:sz w:val="27"/>
          <w:szCs w:val="27"/>
        </w:rPr>
      </w:pPr>
      <w:r>
        <w:rPr>
          <w:i/>
          <w:iCs/>
          <w:color w:val="000000"/>
          <w:sz w:val="20"/>
        </w:rPr>
        <w:t xml:space="preserve">No </w:t>
      </w:r>
      <w:hyperlink r:id="rId60" w:tgtFrame="_parent" w:history="1">
        <w:r>
          <w:rPr>
            <w:rStyle w:val="Hyperlink"/>
            <w:i/>
            <w:iCs/>
            <w:sz w:val="20"/>
          </w:rPr>
          <w:t>XIV-821</w:t>
        </w:r>
      </w:hyperlink>
      <w:r>
        <w:rPr>
          <w:i/>
          <w:iCs/>
          <w:color w:val="000000"/>
          <w:sz w:val="20"/>
        </w:rPr>
        <w:t>, 23/12/2021, published in the RLA, 30/12/2021, ID code 2021-27710</w:t>
      </w:r>
    </w:p>
    <w:p w14:paraId="4657DE18" w14:textId="44EA0333" w:rsidR="00ED3A7E" w:rsidRPr="000550CF" w:rsidRDefault="00ED3A7E" w:rsidP="00F3494E">
      <w:pPr>
        <w:widowControl w:val="0"/>
        <w:ind w:firstLine="720"/>
        <w:jc w:val="both"/>
        <w:rPr>
          <w:szCs w:val="24"/>
          <w:lang w:eastAsia="lt-LT"/>
        </w:rPr>
      </w:pPr>
    </w:p>
    <w:p w14:paraId="020F6FAB" w14:textId="5625ED02" w:rsidR="00720C74" w:rsidRPr="00720C74" w:rsidRDefault="00ED3A7E" w:rsidP="00720C74">
      <w:pPr>
        <w:spacing w:line="360" w:lineRule="atLeast"/>
        <w:ind w:firstLine="720"/>
        <w:jc w:val="both"/>
        <w:rPr>
          <w:color w:val="000000"/>
          <w:szCs w:val="24"/>
        </w:rPr>
      </w:pPr>
      <w:r>
        <w:lastRenderedPageBreak/>
        <w:t>84.</w:t>
      </w:r>
      <w:r>
        <w:rPr>
          <w:b/>
          <w:szCs w:val="24"/>
        </w:rPr>
        <w:t xml:space="preserve"> </w:t>
      </w:r>
      <w:r>
        <w:rPr>
          <w:color w:val="000000"/>
          <w:szCs w:val="24"/>
        </w:rPr>
        <w:t xml:space="preserve"> </w:t>
      </w:r>
      <w:r>
        <w:rPr>
          <w:b/>
          <w:bCs/>
          <w:color w:val="000000"/>
          <w:szCs w:val="24"/>
        </w:rPr>
        <w:t>Senior management</w:t>
      </w:r>
      <w:r>
        <w:rPr>
          <w:color w:val="000000"/>
          <w:szCs w:val="24"/>
        </w:rPr>
        <w:t xml:space="preserve"> – means a person or persons who direct the activities of a market operator, transactions reporting service provider or financial brokerage firm and who are responsible and accountable to the management body of the market operator, transactions reporting service provider or financial brokerage firm for the day to day management, including the implementation of the requirements applicable to the market the operator, transactions reporting service provider or financial brokerage firm and their employees in the course of distribution of products and services to clients.</w:t>
      </w:r>
    </w:p>
    <w:p w14:paraId="253BB236" w14:textId="77777777" w:rsidR="00720C74" w:rsidRDefault="00720C74" w:rsidP="00720C74">
      <w:pPr>
        <w:rPr>
          <w:color w:val="000000"/>
          <w:sz w:val="27"/>
          <w:szCs w:val="27"/>
        </w:rPr>
      </w:pPr>
      <w:r>
        <w:rPr>
          <w:i/>
          <w:iCs/>
          <w:color w:val="000000"/>
          <w:sz w:val="20"/>
        </w:rPr>
        <w:t>Amendments to the paragraph of the Article:</w:t>
      </w:r>
    </w:p>
    <w:p w14:paraId="2972840F" w14:textId="0F29F7E2" w:rsidR="00720C74" w:rsidRDefault="00720C74" w:rsidP="00720C74">
      <w:pPr>
        <w:jc w:val="both"/>
        <w:rPr>
          <w:color w:val="000000"/>
          <w:sz w:val="27"/>
          <w:szCs w:val="27"/>
        </w:rPr>
      </w:pPr>
      <w:r>
        <w:rPr>
          <w:i/>
          <w:iCs/>
          <w:color w:val="000000"/>
          <w:sz w:val="20"/>
        </w:rPr>
        <w:t xml:space="preserve">No </w:t>
      </w:r>
      <w:hyperlink r:id="rId61" w:tgtFrame="_parent" w:history="1">
        <w:r>
          <w:rPr>
            <w:rStyle w:val="Hyperlink"/>
            <w:i/>
            <w:iCs/>
            <w:sz w:val="20"/>
          </w:rPr>
          <w:t>XIII-2358</w:t>
        </w:r>
      </w:hyperlink>
      <w:r>
        <w:rPr>
          <w:i/>
          <w:iCs/>
          <w:color w:val="000000"/>
          <w:sz w:val="20"/>
        </w:rPr>
        <w:t>, 16/07/2019, published in the RLA, 19/07/2019, ID code 2019-11980</w:t>
      </w:r>
    </w:p>
    <w:p w14:paraId="66BA3A2A" w14:textId="77777777" w:rsidR="00720C74" w:rsidRPr="00720C74" w:rsidRDefault="00720C74" w:rsidP="00720C74">
      <w:pPr>
        <w:spacing w:line="360" w:lineRule="atLeast"/>
        <w:ind w:firstLine="720"/>
        <w:jc w:val="both"/>
        <w:rPr>
          <w:color w:val="000000"/>
          <w:szCs w:val="24"/>
        </w:rPr>
      </w:pPr>
      <w:r>
        <w:rPr>
          <w:color w:val="000000"/>
          <w:szCs w:val="24"/>
        </w:rPr>
        <w:t>84</w:t>
      </w:r>
      <w:r>
        <w:rPr>
          <w:color w:val="000000"/>
          <w:szCs w:val="24"/>
          <w:vertAlign w:val="superscript"/>
        </w:rPr>
        <w:t>1</w:t>
      </w:r>
      <w:r>
        <w:rPr>
          <w:color w:val="000000"/>
          <w:szCs w:val="24"/>
        </w:rPr>
        <w:t>. </w:t>
      </w:r>
      <w:r>
        <w:rPr>
          <w:b/>
          <w:bCs/>
          <w:color w:val="000000"/>
          <w:szCs w:val="24"/>
        </w:rPr>
        <w:t>Full amount condition</w:t>
      </w:r>
      <w:r>
        <w:rPr>
          <w:color w:val="000000"/>
          <w:szCs w:val="24"/>
        </w:rPr>
        <w:t xml:space="preserve"> – a condition intended to protect the investor by ensuring that, on redemption of the bond before maturity, the issuer pays the investor holding the bond an amount equal to the aggregate of the remaining coupon payments scheduled to maturity, the net current value, and the principal amount of the bond being redeemed.</w:t>
      </w:r>
    </w:p>
    <w:p w14:paraId="11565512" w14:textId="77777777" w:rsidR="00720C74" w:rsidRDefault="00720C74" w:rsidP="00720C74">
      <w:pPr>
        <w:rPr>
          <w:color w:val="000000"/>
          <w:sz w:val="27"/>
          <w:szCs w:val="27"/>
        </w:rPr>
      </w:pPr>
      <w:r>
        <w:rPr>
          <w:i/>
          <w:iCs/>
          <w:color w:val="000000"/>
          <w:sz w:val="20"/>
        </w:rPr>
        <w:t>Supplemented with the paragraph to the Article:</w:t>
      </w:r>
    </w:p>
    <w:p w14:paraId="380A5806" w14:textId="77777777" w:rsidR="00720C74" w:rsidRDefault="00720C74" w:rsidP="00720C74">
      <w:pPr>
        <w:jc w:val="both"/>
        <w:rPr>
          <w:color w:val="000000"/>
          <w:sz w:val="27"/>
          <w:szCs w:val="27"/>
        </w:rPr>
      </w:pPr>
      <w:r>
        <w:rPr>
          <w:i/>
          <w:iCs/>
          <w:color w:val="000000"/>
          <w:sz w:val="20"/>
        </w:rPr>
        <w:t xml:space="preserve">No </w:t>
      </w:r>
      <w:hyperlink r:id="rId62" w:tgtFrame="_parent" w:history="1">
        <w:r>
          <w:rPr>
            <w:rStyle w:val="Hyperlink"/>
            <w:i/>
            <w:iCs/>
            <w:sz w:val="20"/>
          </w:rPr>
          <w:t>XIV-821</w:t>
        </w:r>
      </w:hyperlink>
      <w:r>
        <w:rPr>
          <w:i/>
          <w:iCs/>
          <w:color w:val="000000"/>
          <w:sz w:val="20"/>
        </w:rPr>
        <w:t>, 23/12/2021, published in the RLA, 30/12/2021, ID code 2021-27710</w:t>
      </w:r>
    </w:p>
    <w:p w14:paraId="33F027FE" w14:textId="29410C64" w:rsidR="00ED3A7E" w:rsidRPr="000550CF" w:rsidRDefault="00ED3A7E" w:rsidP="00F3494E">
      <w:pPr>
        <w:ind w:firstLine="720"/>
        <w:jc w:val="both"/>
        <w:rPr>
          <w:szCs w:val="24"/>
        </w:rPr>
      </w:pPr>
    </w:p>
    <w:p w14:paraId="1F3B1CFB" w14:textId="4237C1FD" w:rsidR="00ED3A7E" w:rsidRDefault="00ED3A7E" w:rsidP="00F3494E">
      <w:pPr>
        <w:widowControl w:val="0"/>
        <w:ind w:firstLine="720"/>
        <w:jc w:val="both"/>
        <w:rPr>
          <w:szCs w:val="24"/>
        </w:rPr>
      </w:pPr>
      <w:r>
        <w:t xml:space="preserve">85. </w:t>
      </w:r>
    </w:p>
    <w:p w14:paraId="7D48D448" w14:textId="77777777" w:rsidR="00720C74" w:rsidRPr="00720C74" w:rsidRDefault="00720C74" w:rsidP="00720C74">
      <w:pPr>
        <w:spacing w:line="360" w:lineRule="atLeast"/>
        <w:ind w:firstLine="720"/>
        <w:jc w:val="both"/>
        <w:rPr>
          <w:color w:val="000000"/>
          <w:szCs w:val="24"/>
        </w:rPr>
      </w:pPr>
      <w:r>
        <w:rPr>
          <w:b/>
          <w:bCs/>
          <w:color w:val="000000"/>
          <w:szCs w:val="24"/>
        </w:rPr>
        <w:t>Agricultural commodity derivatives</w:t>
      </w:r>
      <w:r>
        <w:rPr>
          <w:color w:val="000000"/>
          <w:szCs w:val="24"/>
        </w:rPr>
        <w:t xml:space="preserve"> – means derivative contracts relating to products listed in Article 1 and Annex I, Parts I-XX and Part XXIV/1 of Regulation (EU) No 1308/2013 of the European Parliament and of the Council of 17 December 2013 establishing a common organisation of the markets in agricultural products and repealing Council Regulations (EEC) No 922/72, (EEC) No 234/79, (EC) No 1037/2001 and (EC) No 1234/2007, as well as to products listed in Annex I of Regulation (EU) No 1379/2013 of the European Parliament and of the Council of 11 December 2013 on a common organisation of markets in fishery and aquaculture products, amending Council Regulations (EC) No 1184/2006 and (EC) No 1224/2009 and repealing Council Regulation (EC) No 104/2000, as amended.</w:t>
      </w:r>
    </w:p>
    <w:p w14:paraId="6E04B960" w14:textId="77777777" w:rsidR="00720C74" w:rsidRDefault="00720C74" w:rsidP="00720C74">
      <w:pPr>
        <w:rPr>
          <w:color w:val="000000"/>
          <w:sz w:val="27"/>
          <w:szCs w:val="27"/>
        </w:rPr>
      </w:pPr>
      <w:r>
        <w:rPr>
          <w:i/>
          <w:iCs/>
          <w:color w:val="000000"/>
          <w:sz w:val="20"/>
        </w:rPr>
        <w:t>Amendments to the paragraph of the Article:</w:t>
      </w:r>
    </w:p>
    <w:p w14:paraId="46489561" w14:textId="77777777" w:rsidR="00720C74" w:rsidRDefault="00720C74" w:rsidP="00720C74">
      <w:pPr>
        <w:jc w:val="both"/>
        <w:rPr>
          <w:color w:val="000000"/>
          <w:sz w:val="27"/>
          <w:szCs w:val="27"/>
        </w:rPr>
      </w:pPr>
      <w:r>
        <w:rPr>
          <w:i/>
          <w:iCs/>
          <w:color w:val="000000"/>
          <w:sz w:val="20"/>
        </w:rPr>
        <w:t xml:space="preserve">No </w:t>
      </w:r>
      <w:hyperlink r:id="rId63" w:tgtFrame="_parent" w:history="1">
        <w:r>
          <w:rPr>
            <w:rStyle w:val="Hyperlink"/>
            <w:i/>
            <w:iCs/>
            <w:sz w:val="20"/>
          </w:rPr>
          <w:t>XIII-2974</w:t>
        </w:r>
      </w:hyperlink>
      <w:r>
        <w:rPr>
          <w:i/>
          <w:iCs/>
          <w:color w:val="000000"/>
          <w:sz w:val="20"/>
        </w:rPr>
        <w:t>, 21/05/2020, published in the RLA, 29/05/2020, ID code 2020-11674</w:t>
      </w:r>
    </w:p>
    <w:p w14:paraId="69978DAA" w14:textId="77777777" w:rsidR="00720C74" w:rsidRDefault="00720C74" w:rsidP="00720C74">
      <w:pPr>
        <w:jc w:val="both"/>
        <w:rPr>
          <w:color w:val="000000"/>
          <w:sz w:val="27"/>
          <w:szCs w:val="27"/>
        </w:rPr>
      </w:pPr>
      <w:r>
        <w:rPr>
          <w:i/>
          <w:iCs/>
          <w:color w:val="000000"/>
          <w:sz w:val="20"/>
        </w:rPr>
        <w:t xml:space="preserve">No </w:t>
      </w:r>
      <w:hyperlink r:id="rId64" w:tgtFrame="_parent" w:history="1">
        <w:r>
          <w:rPr>
            <w:rStyle w:val="Hyperlink"/>
            <w:i/>
            <w:iCs/>
            <w:sz w:val="20"/>
          </w:rPr>
          <w:t>XIV-821</w:t>
        </w:r>
      </w:hyperlink>
      <w:r>
        <w:rPr>
          <w:i/>
          <w:iCs/>
          <w:color w:val="000000"/>
          <w:sz w:val="20"/>
        </w:rPr>
        <w:t>, 23/12/2021, published in the RLA, 30/12/2021, ID code 2021-27710</w:t>
      </w:r>
    </w:p>
    <w:p w14:paraId="7DE55747" w14:textId="77777777" w:rsidR="00720C74" w:rsidRPr="000550CF" w:rsidRDefault="00720C74" w:rsidP="00F3494E">
      <w:pPr>
        <w:widowControl w:val="0"/>
        <w:ind w:firstLine="720"/>
        <w:jc w:val="both"/>
        <w:rPr>
          <w:szCs w:val="24"/>
          <w:lang w:eastAsia="lt-LT"/>
        </w:rPr>
      </w:pPr>
    </w:p>
    <w:p w14:paraId="1AEA358D" w14:textId="17940361" w:rsidR="00720C74" w:rsidRPr="00720C74" w:rsidRDefault="00ED3A7E" w:rsidP="00720C74">
      <w:pPr>
        <w:spacing w:line="360" w:lineRule="atLeast"/>
        <w:ind w:firstLine="720"/>
        <w:jc w:val="both"/>
        <w:rPr>
          <w:color w:val="000000"/>
          <w:szCs w:val="24"/>
        </w:rPr>
      </w:pPr>
      <w:r>
        <w:t xml:space="preserve">86.  </w:t>
      </w:r>
      <w:r>
        <w:rPr>
          <w:color w:val="000000"/>
          <w:szCs w:val="24"/>
        </w:rPr>
        <w:t>Other terms used in this Law shall be understood as they are defined in the Law on Financial Institutions, the Law of the Republic of Lithuania on Financial Sustainability, the Law on Collective Investment Undertakings, the Law on Managers of Alternative Collective Investment Undertakings, the Law of the Republic of Lithuania on Settlement Finality in Payment and Securities Settlement Systems, Regulation (EU) No 575/2013, Regulation (EU) No 596/2014, Regulation (EU) No 909/2014, Regulation (EU) No 600/2014, Regulation (EU) No 2015/2365, Regulation (EU) No 2016/1011, Regulation (EU) 2019/2033 and Regulation (EU) 2020/1503.</w:t>
      </w:r>
    </w:p>
    <w:p w14:paraId="26152CA1" w14:textId="77777777" w:rsidR="00720C74" w:rsidRDefault="00720C74" w:rsidP="00720C74">
      <w:pPr>
        <w:rPr>
          <w:color w:val="000000"/>
          <w:sz w:val="27"/>
          <w:szCs w:val="27"/>
        </w:rPr>
      </w:pPr>
      <w:r>
        <w:rPr>
          <w:i/>
          <w:iCs/>
          <w:color w:val="000000"/>
          <w:sz w:val="20"/>
        </w:rPr>
        <w:t>Amendments to the paragraph of the Article:</w:t>
      </w:r>
    </w:p>
    <w:p w14:paraId="155DDE21" w14:textId="77777777" w:rsidR="00720C74" w:rsidRDefault="00720C74" w:rsidP="00720C74">
      <w:pPr>
        <w:jc w:val="both"/>
        <w:rPr>
          <w:color w:val="000000"/>
          <w:sz w:val="27"/>
          <w:szCs w:val="27"/>
        </w:rPr>
      </w:pPr>
      <w:r>
        <w:rPr>
          <w:i/>
          <w:iCs/>
          <w:color w:val="000000"/>
          <w:sz w:val="20"/>
        </w:rPr>
        <w:t xml:space="preserve">No </w:t>
      </w:r>
      <w:hyperlink r:id="rId65" w:tgtFrame="_parent" w:history="1">
        <w:r>
          <w:rPr>
            <w:rStyle w:val="Hyperlink"/>
            <w:i/>
            <w:iCs/>
            <w:sz w:val="20"/>
          </w:rPr>
          <w:t>XIII-2252</w:t>
        </w:r>
      </w:hyperlink>
      <w:r>
        <w:rPr>
          <w:i/>
          <w:iCs/>
          <w:color w:val="000000"/>
          <w:sz w:val="20"/>
        </w:rPr>
        <w:t>, 27/06/2019, published in the RLA, 05/07/2019, ID code 2019-11172</w:t>
      </w:r>
    </w:p>
    <w:p w14:paraId="454B5E25" w14:textId="69A5962D" w:rsidR="00720C74" w:rsidRDefault="00720C74" w:rsidP="00720C74">
      <w:pPr>
        <w:jc w:val="both"/>
        <w:rPr>
          <w:color w:val="000000"/>
          <w:sz w:val="27"/>
          <w:szCs w:val="27"/>
        </w:rPr>
      </w:pPr>
      <w:r>
        <w:rPr>
          <w:i/>
          <w:iCs/>
          <w:color w:val="000000"/>
          <w:sz w:val="20"/>
        </w:rPr>
        <w:t xml:space="preserve">No </w:t>
      </w:r>
      <w:hyperlink r:id="rId66" w:tgtFrame="_parent" w:history="1">
        <w:r>
          <w:rPr>
            <w:rStyle w:val="Hyperlink"/>
            <w:i/>
            <w:iCs/>
            <w:sz w:val="20"/>
          </w:rPr>
          <w:t>XIV-821</w:t>
        </w:r>
      </w:hyperlink>
      <w:r>
        <w:rPr>
          <w:i/>
          <w:iCs/>
          <w:color w:val="000000"/>
          <w:sz w:val="20"/>
        </w:rPr>
        <w:t>, 23/12/2021, published in the RLA, 30/12/2021, ID code 2021-27710</w:t>
      </w:r>
    </w:p>
    <w:p w14:paraId="39D39DA1" w14:textId="776779BF" w:rsidR="00ED3A7E" w:rsidRPr="000550CF" w:rsidRDefault="00ED3A7E" w:rsidP="00F3494E">
      <w:pPr>
        <w:widowControl w:val="0"/>
        <w:ind w:firstLine="720"/>
        <w:jc w:val="both"/>
        <w:rPr>
          <w:szCs w:val="24"/>
          <w:lang w:eastAsia="lt-LT"/>
        </w:rPr>
      </w:pPr>
    </w:p>
    <w:p w14:paraId="0652F82B" w14:textId="77777777" w:rsidR="00ED3A7E" w:rsidRPr="000550CF" w:rsidRDefault="00ED3A7E" w:rsidP="00F3494E">
      <w:pPr>
        <w:widowControl w:val="0"/>
        <w:ind w:firstLine="720"/>
        <w:jc w:val="both"/>
        <w:rPr>
          <w:szCs w:val="24"/>
          <w:lang w:eastAsia="lt-LT"/>
        </w:rPr>
      </w:pPr>
    </w:p>
    <w:p w14:paraId="38073275" w14:textId="77777777" w:rsidR="00ED3A7E" w:rsidRPr="000550CF" w:rsidRDefault="00ED3A7E" w:rsidP="00AB55BC">
      <w:pPr>
        <w:suppressAutoHyphens/>
        <w:jc w:val="center"/>
        <w:textAlignment w:val="baseline"/>
        <w:rPr>
          <w:b/>
          <w:szCs w:val="24"/>
        </w:rPr>
      </w:pPr>
      <w:r>
        <w:rPr>
          <w:b/>
          <w:szCs w:val="24"/>
        </w:rPr>
        <w:t>CHAPTER II</w:t>
      </w:r>
    </w:p>
    <w:p w14:paraId="07278C1F" w14:textId="77777777" w:rsidR="00ED3A7E" w:rsidRPr="000550CF" w:rsidRDefault="00ED3A7E" w:rsidP="00AB55BC">
      <w:pPr>
        <w:widowControl w:val="0"/>
        <w:jc w:val="center"/>
        <w:rPr>
          <w:b/>
          <w:szCs w:val="24"/>
        </w:rPr>
      </w:pPr>
      <w:r>
        <w:rPr>
          <w:b/>
          <w:szCs w:val="24"/>
        </w:rPr>
        <w:t>LICENSING OF INVESTMENT SERVICES AND REQUIREMENTS FOR ACTIVITIES OF PERSONS PROVIDING INVESTMENT SERVICES</w:t>
      </w:r>
    </w:p>
    <w:p w14:paraId="13373E08" w14:textId="77777777" w:rsidR="00ED3A7E" w:rsidRPr="000550CF" w:rsidRDefault="00ED3A7E" w:rsidP="00AB55BC">
      <w:pPr>
        <w:widowControl w:val="0"/>
        <w:jc w:val="center"/>
        <w:rPr>
          <w:szCs w:val="24"/>
          <w:lang w:eastAsia="lt-LT"/>
        </w:rPr>
      </w:pPr>
    </w:p>
    <w:p w14:paraId="4953784C" w14:textId="77777777" w:rsidR="00ED3A7E" w:rsidRPr="000550CF" w:rsidRDefault="00ED3A7E" w:rsidP="00F3494E">
      <w:pPr>
        <w:widowControl w:val="0"/>
        <w:jc w:val="center"/>
        <w:rPr>
          <w:szCs w:val="24"/>
        </w:rPr>
      </w:pPr>
      <w:r>
        <w:rPr>
          <w:b/>
          <w:szCs w:val="24"/>
        </w:rPr>
        <w:lastRenderedPageBreak/>
        <w:t>SECTION ONE</w:t>
      </w:r>
    </w:p>
    <w:p w14:paraId="223AC8B6" w14:textId="77777777" w:rsidR="00ED3A7E" w:rsidRPr="000550CF" w:rsidRDefault="00ED3A7E" w:rsidP="00F3494E">
      <w:pPr>
        <w:widowControl w:val="0"/>
        <w:jc w:val="center"/>
        <w:rPr>
          <w:szCs w:val="24"/>
        </w:rPr>
      </w:pPr>
      <w:r>
        <w:rPr>
          <w:b/>
          <w:szCs w:val="24"/>
        </w:rPr>
        <w:t>GENERAL PROVISIONS</w:t>
      </w:r>
    </w:p>
    <w:p w14:paraId="4432C46F" w14:textId="77777777" w:rsidR="00ED3A7E" w:rsidRPr="000550CF" w:rsidRDefault="00ED3A7E" w:rsidP="00F3494E">
      <w:pPr>
        <w:widowControl w:val="0"/>
        <w:ind w:firstLine="720"/>
        <w:jc w:val="both"/>
        <w:rPr>
          <w:szCs w:val="24"/>
          <w:lang w:eastAsia="lt-LT"/>
        </w:rPr>
      </w:pPr>
    </w:p>
    <w:p w14:paraId="6AA6B9C0" w14:textId="77777777" w:rsidR="00ED3A7E" w:rsidRPr="000550CF" w:rsidRDefault="00ED3A7E" w:rsidP="00F3494E">
      <w:pPr>
        <w:widowControl w:val="0"/>
        <w:ind w:firstLine="720"/>
        <w:jc w:val="both"/>
        <w:rPr>
          <w:szCs w:val="24"/>
        </w:rPr>
      </w:pPr>
      <w:r>
        <w:rPr>
          <w:b/>
          <w:szCs w:val="24"/>
        </w:rPr>
        <w:t xml:space="preserve">Article 4. Right to provide investment services </w:t>
      </w:r>
    </w:p>
    <w:p w14:paraId="1930FC61" w14:textId="77777777" w:rsidR="00ED3A7E" w:rsidRPr="000550CF" w:rsidRDefault="00ED3A7E" w:rsidP="00F3494E">
      <w:pPr>
        <w:widowControl w:val="0"/>
        <w:ind w:firstLine="720"/>
        <w:jc w:val="both"/>
        <w:rPr>
          <w:szCs w:val="24"/>
        </w:rPr>
      </w:pPr>
      <w:r>
        <w:t>1. Investment services on a regular and professional basis in the Republic of Lithuania may be provided only by financial brokerage firms holding a financial brokerage firm licence issued by the supervisory authority or by a supervisory authorities of other Member States, also credit institutions licensed in the Republic of Lithuania or another Member State provided the licence of a credit institution authorises the provision of investment services, and the financial advisor firm holding a financial advisor firm licence issued by the supervisory authority.</w:t>
      </w:r>
    </w:p>
    <w:p w14:paraId="074ED1DC" w14:textId="77777777" w:rsidR="00ED3A7E" w:rsidRPr="000550CF" w:rsidRDefault="00ED3A7E" w:rsidP="00F3494E">
      <w:pPr>
        <w:ind w:firstLine="720"/>
        <w:jc w:val="both"/>
      </w:pPr>
      <w:r>
        <w:t>2. A company holding a financial brokerage firm licence shall be designated as the financial brokerage firm. The term ‘financial brokerage firm’ or other grammatical forms of this term or phrases including this term may be used only in the names and advertisements of the companies authorised to provide investment services. Companies specializing in the management of financial instrument portfolios of other persons may use in their names the term ‘investment management firm’ or other grammatical forms of this term or phrases including this term.</w:t>
      </w:r>
    </w:p>
    <w:p w14:paraId="75D5965F" w14:textId="77777777" w:rsidR="00ED3A7E" w:rsidRPr="000550CF" w:rsidRDefault="00ED3A7E" w:rsidP="00F3494E">
      <w:pPr>
        <w:widowControl w:val="0"/>
        <w:ind w:firstLine="720"/>
        <w:jc w:val="both"/>
        <w:rPr>
          <w:szCs w:val="24"/>
        </w:rPr>
      </w:pPr>
      <w:r>
        <w:t>3. Paragraph 1 of this Article shall not apply to a market operator operating an MTF or an OTF and not intending to provide other investment services. In such case, no licence shall be issued to the market operator; however, the market operator shall be entitled to operate the MTF or the OTF only after the supervisory authority is satisfied that the market operator complies with the requirements established in this Section (except for Article 12 of this Law) and notifies the market operator thereof.</w:t>
      </w:r>
    </w:p>
    <w:p w14:paraId="1DF6B639" w14:textId="77777777" w:rsidR="00ED3A7E" w:rsidRPr="000550CF" w:rsidRDefault="00ED3A7E" w:rsidP="00F3494E">
      <w:pPr>
        <w:widowControl w:val="0"/>
        <w:ind w:firstLine="720"/>
        <w:jc w:val="both"/>
        <w:rPr>
          <w:szCs w:val="24"/>
        </w:rPr>
      </w:pPr>
      <w:r>
        <w:t>4. A financial brokerage firm and financial advisor firm established in the Republic of Lithuania must have its head office in the Republic of Lithuania.</w:t>
      </w:r>
    </w:p>
    <w:p w14:paraId="1CB957FD" w14:textId="77777777" w:rsidR="00ED3A7E" w:rsidRPr="000550CF" w:rsidRDefault="00ED3A7E" w:rsidP="00F3494E">
      <w:pPr>
        <w:widowControl w:val="0"/>
        <w:ind w:firstLine="720"/>
        <w:jc w:val="both"/>
        <w:rPr>
          <w:szCs w:val="24"/>
        </w:rPr>
      </w:pPr>
      <w:r>
        <w:t>5. The supervisory authority shall compile data and information on the entities referred to in paragraph 1 of this Article, and on the investment and ancillary services they are authorised to provide in the Republic of Lithuania. This information shall be regularly updated and published on the website of the supervisory authority.</w:t>
      </w:r>
    </w:p>
    <w:p w14:paraId="0D714FFE" w14:textId="77777777" w:rsidR="00ED3A7E" w:rsidRPr="000550CF" w:rsidRDefault="00ED3A7E" w:rsidP="00F3494E">
      <w:pPr>
        <w:widowControl w:val="0"/>
        <w:ind w:firstLine="720"/>
        <w:jc w:val="both"/>
        <w:rPr>
          <w:szCs w:val="24"/>
        </w:rPr>
      </w:pPr>
      <w:r>
        <w:t>6. A company holding a financial advisor firm licence shall be designated as the financial advisor firm. The term ‘financial advisor firm’ or other grammatical forms of this term or phrases including this term may be used only in the names and advertisements of the companies that are authorised to provide investment services.</w:t>
      </w:r>
    </w:p>
    <w:p w14:paraId="4F1676E6" w14:textId="77777777" w:rsidR="00ED3A7E" w:rsidRPr="000550CF" w:rsidRDefault="00ED3A7E" w:rsidP="00F3494E">
      <w:pPr>
        <w:widowControl w:val="0"/>
        <w:ind w:firstLine="720"/>
        <w:jc w:val="both"/>
        <w:rPr>
          <w:szCs w:val="24"/>
        </w:rPr>
      </w:pPr>
      <w:r>
        <w:t>7. A financial advisor firm shall be authorised to provide investment services in the Republic of Lithuania specified in Article 3(26)(1) and (5) of this Law on transferable securities and securities of collective investment undertakings, as well as ancillary services provided that the firm does not hold client funds and financial instruments and, for that reason, cannot become indebted to its clients and may transmit client orders only to:</w:t>
      </w:r>
    </w:p>
    <w:p w14:paraId="2BDC352A" w14:textId="77777777" w:rsidR="00ED3A7E" w:rsidRPr="000550CF" w:rsidRDefault="00ED3A7E" w:rsidP="00F3494E">
      <w:pPr>
        <w:widowControl w:val="0"/>
        <w:ind w:firstLine="720"/>
        <w:jc w:val="both"/>
        <w:rPr>
          <w:szCs w:val="24"/>
        </w:rPr>
      </w:pPr>
      <w:r>
        <w:t xml:space="preserve">1) financial brokerage firms licensed in a Member </w:t>
      </w:r>
      <w:proofErr w:type="gramStart"/>
      <w:r>
        <w:t>State;</w:t>
      </w:r>
      <w:proofErr w:type="gramEnd"/>
    </w:p>
    <w:p w14:paraId="39F05D68" w14:textId="77777777" w:rsidR="00ED3A7E" w:rsidRPr="000550CF" w:rsidRDefault="00ED3A7E" w:rsidP="00F3494E">
      <w:pPr>
        <w:widowControl w:val="0"/>
        <w:ind w:firstLine="720"/>
        <w:jc w:val="both"/>
        <w:rPr>
          <w:szCs w:val="24"/>
        </w:rPr>
      </w:pPr>
      <w:r>
        <w:t xml:space="preserve">2) credit institutions licensed in a Member </w:t>
      </w:r>
      <w:proofErr w:type="gramStart"/>
      <w:r>
        <w:t>State;</w:t>
      </w:r>
      <w:proofErr w:type="gramEnd"/>
    </w:p>
    <w:p w14:paraId="553C2DC1" w14:textId="77777777" w:rsidR="00ED3A7E" w:rsidRPr="000550CF" w:rsidRDefault="00ED3A7E" w:rsidP="00F3494E">
      <w:pPr>
        <w:widowControl w:val="0"/>
        <w:ind w:firstLine="720"/>
        <w:jc w:val="both"/>
        <w:rPr>
          <w:szCs w:val="24"/>
        </w:rPr>
      </w:pPr>
      <w:r>
        <w:t xml:space="preserve">3) branches of financial brokerage firms and credit institutions established in third countries which are subject to prudential requirements that are not less stringent than the requirements established by this Law, Regulation (EU) No 575/2013 or other legal acts regulating activities of financial brokerage firms and credit </w:t>
      </w:r>
      <w:proofErr w:type="gramStart"/>
      <w:r>
        <w:t>institutions;</w:t>
      </w:r>
      <w:proofErr w:type="gramEnd"/>
    </w:p>
    <w:p w14:paraId="00B43031" w14:textId="77777777" w:rsidR="00ED3A7E" w:rsidRPr="000550CF" w:rsidRDefault="00ED3A7E" w:rsidP="00F3494E">
      <w:pPr>
        <w:ind w:firstLine="720"/>
        <w:jc w:val="both"/>
      </w:pPr>
      <w:r>
        <w:t xml:space="preserve">4) collective investment undertakings authorised under the law of their home Member State to offer to the public securities of collective investment undertakings and their management </w:t>
      </w:r>
      <w:proofErr w:type="gramStart"/>
      <w:r>
        <w:t>companies;</w:t>
      </w:r>
      <w:proofErr w:type="gramEnd"/>
    </w:p>
    <w:p w14:paraId="1BA96A92" w14:textId="77777777" w:rsidR="00ED3A7E" w:rsidRPr="000550CF" w:rsidRDefault="00ED3A7E" w:rsidP="00F3494E">
      <w:pPr>
        <w:widowControl w:val="0"/>
        <w:ind w:firstLine="720"/>
        <w:jc w:val="both"/>
        <w:rPr>
          <w:szCs w:val="24"/>
        </w:rPr>
      </w:pPr>
      <w:r>
        <w:t>5) investment companies with fixed capital securities of which are admitted to trading on a regulated market of a Member State.</w:t>
      </w:r>
    </w:p>
    <w:p w14:paraId="4D6A214E" w14:textId="77777777" w:rsidR="00ED3A7E" w:rsidRPr="000550CF" w:rsidRDefault="00ED3A7E" w:rsidP="00F3494E">
      <w:pPr>
        <w:ind w:firstLine="720"/>
        <w:jc w:val="both"/>
      </w:pPr>
      <w:r>
        <w:t xml:space="preserve">8. The requirements of Chapter II of this Law applicable to financial brokerage firms shall apply mutatis mutandis to a financial advisor </w:t>
      </w:r>
      <w:proofErr w:type="gramStart"/>
      <w:r>
        <w:t>firm, unless</w:t>
      </w:r>
      <w:proofErr w:type="gramEnd"/>
      <w:r>
        <w:t xml:space="preserve"> this Law provides otherwise. </w:t>
      </w:r>
    </w:p>
    <w:p w14:paraId="7B8C9080" w14:textId="77777777" w:rsidR="00ED3A7E" w:rsidRPr="000550CF" w:rsidRDefault="00ED3A7E" w:rsidP="00F3494E">
      <w:pPr>
        <w:widowControl w:val="0"/>
        <w:ind w:firstLine="720"/>
        <w:jc w:val="both"/>
        <w:rPr>
          <w:szCs w:val="24"/>
        </w:rPr>
      </w:pPr>
      <w:r>
        <w:t xml:space="preserve">9. The requirements of Articles 13 and 18 of this Law shall not apply to a financial advisor firm; however, a financial advisor firm shall be required to obtain its professional indemnity </w:t>
      </w:r>
      <w:r>
        <w:lastRenderedPageBreak/>
        <w:t xml:space="preserve">insurance. The sum insured shall be not less than EUR 29 000 per one insured event and EUR 145 000 for all insured events on a yearly basis. The insurance cover of a financial advisor firm must be </w:t>
      </w:r>
      <w:proofErr w:type="spellStart"/>
      <w:r>
        <w:t>life long</w:t>
      </w:r>
      <w:proofErr w:type="spellEnd"/>
      <w:r>
        <w:t>.</w:t>
      </w:r>
    </w:p>
    <w:p w14:paraId="5A907AE1" w14:textId="77777777" w:rsidR="00ED3A7E" w:rsidRPr="000550CF" w:rsidRDefault="00ED3A7E" w:rsidP="00F3494E">
      <w:pPr>
        <w:widowControl w:val="0"/>
        <w:ind w:firstLine="720"/>
        <w:jc w:val="both"/>
        <w:rPr>
          <w:szCs w:val="24"/>
        </w:rPr>
      </w:pPr>
      <w:r>
        <w:t>10. A financial advisor firm shall be authorised to provide and advertise investment services referred to in the license only in the Republic of Lithuania. A financial advisor firm shall not be granted the rights laid down in Section Six of Chapter II of this Law.</w:t>
      </w:r>
    </w:p>
    <w:p w14:paraId="73C6F7A8" w14:textId="77777777" w:rsidR="00ED3A7E" w:rsidRPr="000550CF" w:rsidRDefault="00ED3A7E" w:rsidP="00F3494E">
      <w:pPr>
        <w:widowControl w:val="0"/>
        <w:ind w:firstLine="720"/>
        <w:jc w:val="both"/>
        <w:rPr>
          <w:szCs w:val="24"/>
        </w:rPr>
      </w:pPr>
      <w:r>
        <w:t>11. A credit institution established in the Republic of Lithuania shall have the right to provide investment services only having set up a specialised internal structural subdivision. The preparedness of the credit institution that has set up the specialised internal structural subdivision to provide investment services shall be assessed by the supervisory authority.</w:t>
      </w:r>
    </w:p>
    <w:p w14:paraId="3317D3C7" w14:textId="77777777" w:rsidR="00ED3A7E" w:rsidRPr="000550CF" w:rsidRDefault="00ED3A7E" w:rsidP="00F3494E">
      <w:pPr>
        <w:widowControl w:val="0"/>
        <w:ind w:firstLine="720"/>
        <w:jc w:val="both"/>
        <w:rPr>
          <w:szCs w:val="24"/>
        </w:rPr>
      </w:pPr>
      <w:r>
        <w:t>12. Rights of credit institutions operating in the Republic of Lithuania to provide investment and ancillary services are also regulated by laws regulating activities of credit institutions.</w:t>
      </w:r>
    </w:p>
    <w:p w14:paraId="34245AED" w14:textId="77777777" w:rsidR="00ED3A7E" w:rsidRPr="000550CF" w:rsidRDefault="00ED3A7E" w:rsidP="00F3494E">
      <w:pPr>
        <w:widowControl w:val="0"/>
        <w:ind w:firstLine="720"/>
        <w:jc w:val="both"/>
        <w:rPr>
          <w:szCs w:val="24"/>
          <w:lang w:eastAsia="lt-LT"/>
        </w:rPr>
      </w:pPr>
    </w:p>
    <w:p w14:paraId="71C10392" w14:textId="77777777" w:rsidR="00ED3A7E" w:rsidRPr="000550CF" w:rsidRDefault="00ED3A7E" w:rsidP="00F3494E">
      <w:pPr>
        <w:widowControl w:val="0"/>
        <w:jc w:val="center"/>
        <w:rPr>
          <w:b/>
          <w:szCs w:val="24"/>
        </w:rPr>
      </w:pPr>
      <w:r>
        <w:rPr>
          <w:b/>
          <w:szCs w:val="24"/>
        </w:rPr>
        <w:t>SECTION TWO</w:t>
      </w:r>
    </w:p>
    <w:p w14:paraId="14B2F133" w14:textId="77777777" w:rsidR="00ED3A7E" w:rsidRPr="000550CF" w:rsidRDefault="00ED3A7E" w:rsidP="00F3494E">
      <w:pPr>
        <w:widowControl w:val="0"/>
        <w:jc w:val="center"/>
        <w:rPr>
          <w:b/>
          <w:szCs w:val="24"/>
        </w:rPr>
      </w:pPr>
      <w:r>
        <w:rPr>
          <w:b/>
          <w:szCs w:val="24"/>
        </w:rPr>
        <w:t>FINANCIAL BROKERAGE FIRM LICENCE</w:t>
      </w:r>
    </w:p>
    <w:p w14:paraId="2FDC006E" w14:textId="77777777" w:rsidR="00ED3A7E" w:rsidRPr="000550CF" w:rsidRDefault="00ED3A7E" w:rsidP="00F3494E">
      <w:pPr>
        <w:widowControl w:val="0"/>
        <w:ind w:firstLine="720"/>
        <w:rPr>
          <w:szCs w:val="24"/>
          <w:lang w:eastAsia="lt-LT"/>
        </w:rPr>
      </w:pPr>
    </w:p>
    <w:p w14:paraId="260939B4" w14:textId="77777777" w:rsidR="00ED3A7E" w:rsidRPr="000550CF" w:rsidRDefault="00ED3A7E" w:rsidP="00F3494E">
      <w:pPr>
        <w:widowControl w:val="0"/>
        <w:ind w:firstLine="720"/>
        <w:rPr>
          <w:b/>
          <w:szCs w:val="24"/>
        </w:rPr>
      </w:pPr>
      <w:r>
        <w:rPr>
          <w:b/>
          <w:szCs w:val="24"/>
        </w:rPr>
        <w:t>Article 5. Scope of a financial brokerage firm licence</w:t>
      </w:r>
    </w:p>
    <w:p w14:paraId="4AF77BA4" w14:textId="77777777" w:rsidR="00ED3A7E" w:rsidRPr="000550CF" w:rsidRDefault="00ED3A7E" w:rsidP="00F3494E">
      <w:pPr>
        <w:widowControl w:val="0"/>
        <w:ind w:firstLine="720"/>
        <w:jc w:val="both"/>
        <w:rPr>
          <w:szCs w:val="24"/>
        </w:rPr>
      </w:pPr>
      <w:r>
        <w:t>1. A financial brokerage firm licence shall specify the investment services that the financial brokerage firm is authorised to provide. The licence may cover one or more of the ancillary services. The financial brokerage firm licence shall in no case be granted solely for the provision of ancillary services.</w:t>
      </w:r>
    </w:p>
    <w:p w14:paraId="134F26D6" w14:textId="77777777" w:rsidR="00ED3A7E" w:rsidRPr="000550CF" w:rsidRDefault="00ED3A7E" w:rsidP="00F3494E">
      <w:pPr>
        <w:widowControl w:val="0"/>
        <w:ind w:firstLine="720"/>
        <w:jc w:val="both"/>
        <w:rPr>
          <w:szCs w:val="24"/>
        </w:rPr>
      </w:pPr>
      <w:r>
        <w:t>2. A financial brokerage firm seeking to extend its business to additional investment services and/or ancillary services not foreseen in the licence issued to it shall submit a request to the supervisory authority for extension of its license by the additional investment services and/or ancillary services which it intends to provide.</w:t>
      </w:r>
    </w:p>
    <w:p w14:paraId="5E919491" w14:textId="77777777" w:rsidR="00ED3A7E" w:rsidRPr="000550CF" w:rsidRDefault="00ED3A7E" w:rsidP="00F3494E">
      <w:pPr>
        <w:ind w:firstLine="720"/>
        <w:jc w:val="both"/>
      </w:pPr>
      <w:r>
        <w:t xml:space="preserve">3. The financial brokerage firm licence shall allow providing the investment services and ancillary services specified in the license throughout the European Economic Area, either through the right of establishment and/or through the freedom to provide services according to the conditions provided for in Section Six of Chapter II of this Law. </w:t>
      </w:r>
    </w:p>
    <w:p w14:paraId="11FD5AB1" w14:textId="77777777" w:rsidR="00ED3A7E" w:rsidRPr="000550CF" w:rsidRDefault="00ED3A7E" w:rsidP="00F3494E">
      <w:pPr>
        <w:widowControl w:val="0"/>
        <w:ind w:firstLine="720"/>
        <w:rPr>
          <w:b/>
          <w:szCs w:val="24"/>
          <w:lang w:eastAsia="lt-LT"/>
        </w:rPr>
      </w:pPr>
    </w:p>
    <w:p w14:paraId="3F8CEDE0" w14:textId="77777777" w:rsidR="00ED3A7E" w:rsidRPr="000550CF" w:rsidRDefault="00ED3A7E" w:rsidP="00F3494E">
      <w:pPr>
        <w:widowControl w:val="0"/>
        <w:ind w:firstLine="720"/>
        <w:rPr>
          <w:szCs w:val="24"/>
        </w:rPr>
      </w:pPr>
      <w:r>
        <w:rPr>
          <w:b/>
          <w:szCs w:val="24"/>
        </w:rPr>
        <w:t>Article 6. Procedure for issuing a financial brokerage firm</w:t>
      </w:r>
      <w:r>
        <w:t xml:space="preserve"> </w:t>
      </w:r>
      <w:proofErr w:type="gramStart"/>
      <w:r>
        <w:rPr>
          <w:b/>
          <w:szCs w:val="24"/>
        </w:rPr>
        <w:t>licence</w:t>
      </w:r>
      <w:proofErr w:type="gramEnd"/>
      <w:r>
        <w:rPr>
          <w:b/>
          <w:szCs w:val="24"/>
        </w:rPr>
        <w:t xml:space="preserve"> </w:t>
      </w:r>
    </w:p>
    <w:p w14:paraId="1C8E7F59" w14:textId="77777777" w:rsidR="00ED3A7E" w:rsidRPr="000550CF" w:rsidRDefault="00ED3A7E" w:rsidP="00F3494E">
      <w:pPr>
        <w:widowControl w:val="0"/>
        <w:ind w:firstLine="720"/>
        <w:jc w:val="both"/>
        <w:rPr>
          <w:szCs w:val="24"/>
        </w:rPr>
      </w:pPr>
      <w:r>
        <w:t>1. The supervisory authority shall issue a financial brokerage firm licence to firms established in the Republic of Lithuania intending to pursue business of a financial brokerage firm.</w:t>
      </w:r>
    </w:p>
    <w:p w14:paraId="250F594F" w14:textId="62E7DB32" w:rsidR="000654E6" w:rsidRPr="000654E6" w:rsidRDefault="00ED3A7E" w:rsidP="000654E6">
      <w:pPr>
        <w:spacing w:line="360" w:lineRule="atLeast"/>
        <w:ind w:firstLine="720"/>
        <w:jc w:val="both"/>
        <w:rPr>
          <w:color w:val="000000"/>
          <w:szCs w:val="24"/>
        </w:rPr>
      </w:pPr>
      <w:r>
        <w:t xml:space="preserve">2.  </w:t>
      </w:r>
      <w:r>
        <w:rPr>
          <w:color w:val="000000"/>
          <w:szCs w:val="24"/>
        </w:rPr>
        <w:t>An applicant for a financial brokerage firm licence shall provide to the supervisory authority a licence application and a programme of operations (business plan) setting out the areas of business envisaged, the organisational structure appropriate and proportionate to the nature, scale and complexity of the business risks and business model of the financial brokerage firm, defining in a clear, transparent and consistent manner the responsibilities, internal management procedure, also providing information about the legal entity, its participants, managers, operations, fulfilment of capital requirements and other information required by the supervisory authority to satisfy itself that the applicant complies with the requirements issuing a financial brokerage firm licence under this Section.</w:t>
      </w:r>
    </w:p>
    <w:p w14:paraId="58E20097" w14:textId="77777777" w:rsidR="000654E6" w:rsidRDefault="000654E6" w:rsidP="000654E6">
      <w:pPr>
        <w:rPr>
          <w:color w:val="000000"/>
          <w:sz w:val="27"/>
          <w:szCs w:val="27"/>
        </w:rPr>
      </w:pPr>
      <w:r>
        <w:rPr>
          <w:i/>
          <w:iCs/>
          <w:color w:val="000000"/>
          <w:sz w:val="20"/>
        </w:rPr>
        <w:t>Amendments to the paragraph of the Article:</w:t>
      </w:r>
    </w:p>
    <w:p w14:paraId="713D9956" w14:textId="77777777" w:rsidR="000654E6" w:rsidRDefault="000654E6" w:rsidP="000654E6">
      <w:pPr>
        <w:jc w:val="both"/>
        <w:rPr>
          <w:color w:val="000000"/>
          <w:sz w:val="27"/>
          <w:szCs w:val="27"/>
        </w:rPr>
      </w:pPr>
      <w:r>
        <w:rPr>
          <w:i/>
          <w:iCs/>
          <w:color w:val="000000"/>
          <w:sz w:val="20"/>
        </w:rPr>
        <w:t xml:space="preserve">No </w:t>
      </w:r>
      <w:hyperlink r:id="rId67" w:tgtFrame="_parent" w:history="1">
        <w:r>
          <w:rPr>
            <w:rStyle w:val="Hyperlink"/>
            <w:i/>
            <w:iCs/>
            <w:sz w:val="20"/>
          </w:rPr>
          <w:t>XIV-821</w:t>
        </w:r>
      </w:hyperlink>
      <w:r>
        <w:rPr>
          <w:i/>
          <w:iCs/>
          <w:color w:val="000000"/>
          <w:sz w:val="20"/>
        </w:rPr>
        <w:t>, 23/12/2021, published in the RLA, 30/12/2021, ID code 2021-27710</w:t>
      </w:r>
    </w:p>
    <w:p w14:paraId="21B82C10" w14:textId="63307B71" w:rsidR="00ED3A7E" w:rsidRPr="000550CF" w:rsidRDefault="00ED3A7E" w:rsidP="00F3494E">
      <w:pPr>
        <w:widowControl w:val="0"/>
        <w:ind w:firstLine="720"/>
        <w:jc w:val="both"/>
        <w:rPr>
          <w:szCs w:val="24"/>
          <w:lang w:eastAsia="lt-LT"/>
        </w:rPr>
      </w:pPr>
    </w:p>
    <w:p w14:paraId="317F142A" w14:textId="77777777" w:rsidR="00ED3A7E" w:rsidRPr="000550CF" w:rsidRDefault="00ED3A7E" w:rsidP="00F3494E">
      <w:pPr>
        <w:widowControl w:val="0"/>
        <w:ind w:firstLine="720"/>
        <w:jc w:val="both"/>
        <w:rPr>
          <w:szCs w:val="24"/>
        </w:rPr>
      </w:pPr>
      <w:r>
        <w:t>3. The supervisory authority shall issue a financial brokerage firm licence only when it is fully satisfied that the applicant complies with all licensing requirements under this Section.</w:t>
      </w:r>
    </w:p>
    <w:p w14:paraId="73356B7E" w14:textId="77777777" w:rsidR="00ED3A7E" w:rsidRPr="000550CF" w:rsidRDefault="00ED3A7E" w:rsidP="00F3494E">
      <w:pPr>
        <w:widowControl w:val="0"/>
        <w:ind w:firstLine="720"/>
        <w:jc w:val="both"/>
        <w:rPr>
          <w:szCs w:val="24"/>
        </w:rPr>
      </w:pPr>
      <w:r>
        <w:t xml:space="preserve">4.  An applicant shall be informed by the supervisory authority about its decision </w:t>
      </w:r>
      <w:proofErr w:type="gramStart"/>
      <w:r>
        <w:t>whether or not</w:t>
      </w:r>
      <w:proofErr w:type="gramEnd"/>
      <w:r>
        <w:t xml:space="preserve"> to issue the license within six months of the submission of all required documents and information.</w:t>
      </w:r>
    </w:p>
    <w:p w14:paraId="7EFB1F09" w14:textId="360C08EA" w:rsidR="000654E6" w:rsidRDefault="00ED3A7E" w:rsidP="000654E6">
      <w:pPr>
        <w:spacing w:line="360" w:lineRule="atLeast"/>
        <w:ind w:firstLine="720"/>
        <w:jc w:val="both"/>
        <w:rPr>
          <w:color w:val="000000"/>
        </w:rPr>
      </w:pPr>
      <w:r>
        <w:lastRenderedPageBreak/>
        <w:t xml:space="preserve">5.  </w:t>
      </w:r>
      <w:r>
        <w:rPr>
          <w:color w:val="000000"/>
        </w:rPr>
        <w:t>The information about the issue or withdrawal of a license shall be notified by the supervisory authority to the European Securities and Markets Authority of and shall be published on the website of the supervisory authority.</w:t>
      </w:r>
    </w:p>
    <w:p w14:paraId="02E28BC4" w14:textId="77777777" w:rsidR="000654E6" w:rsidRDefault="000654E6" w:rsidP="000654E6">
      <w:pPr>
        <w:rPr>
          <w:color w:val="000000"/>
        </w:rPr>
      </w:pPr>
      <w:r>
        <w:rPr>
          <w:i/>
          <w:iCs/>
          <w:color w:val="000000"/>
          <w:sz w:val="20"/>
        </w:rPr>
        <w:t>Amendments to the paragraph of the Article:</w:t>
      </w:r>
    </w:p>
    <w:p w14:paraId="73377F42" w14:textId="6B062A7C" w:rsidR="000654E6" w:rsidRDefault="000654E6" w:rsidP="000654E6">
      <w:pPr>
        <w:jc w:val="both"/>
        <w:rPr>
          <w:color w:val="000000"/>
        </w:rPr>
      </w:pPr>
      <w:r>
        <w:rPr>
          <w:i/>
          <w:iCs/>
          <w:color w:val="000000"/>
          <w:sz w:val="20"/>
        </w:rPr>
        <w:t xml:space="preserve">No </w:t>
      </w:r>
      <w:hyperlink r:id="rId68" w:tgtFrame="_parent" w:history="1">
        <w:r>
          <w:rPr>
            <w:rStyle w:val="Hyperlink"/>
            <w:i/>
            <w:iCs/>
            <w:sz w:val="20"/>
          </w:rPr>
          <w:t>XIII-2964</w:t>
        </w:r>
      </w:hyperlink>
      <w:r>
        <w:rPr>
          <w:i/>
          <w:iCs/>
          <w:color w:val="000000"/>
          <w:sz w:val="20"/>
        </w:rPr>
        <w:t>, 21/05/2020, published in the RLA, 28/05/2020, ID code 2020-11343</w:t>
      </w:r>
    </w:p>
    <w:p w14:paraId="331A0BC0" w14:textId="77777777" w:rsidR="000654E6" w:rsidRDefault="000654E6" w:rsidP="000654E6">
      <w:pPr>
        <w:spacing w:line="360" w:lineRule="atLeast"/>
        <w:ind w:firstLine="720"/>
        <w:jc w:val="both"/>
        <w:rPr>
          <w:color w:val="000000"/>
        </w:rPr>
      </w:pPr>
      <w:bookmarkStart w:id="16" w:name="part_74b74548376c4a358ce0cc6cc6adca3c"/>
      <w:bookmarkEnd w:id="16"/>
      <w:r>
        <w:rPr>
          <w:color w:val="000000"/>
        </w:rPr>
        <w:t>6. When determining the internal management procedure referred to in paragraph 2 of this Article, the criteria established in paragraphs 8-10 of Article 9, Articles 15</w:t>
      </w:r>
      <w:r>
        <w:rPr>
          <w:color w:val="000000"/>
          <w:vertAlign w:val="superscript"/>
        </w:rPr>
        <w:t>4</w:t>
      </w:r>
      <w:r>
        <w:rPr>
          <w:color w:val="000000"/>
        </w:rPr>
        <w:t>, 15</w:t>
      </w:r>
      <w:r>
        <w:rPr>
          <w:color w:val="000000"/>
          <w:vertAlign w:val="superscript"/>
        </w:rPr>
        <w:t>5</w:t>
      </w:r>
      <w:r>
        <w:rPr>
          <w:color w:val="000000"/>
        </w:rPr>
        <w:t xml:space="preserve"> and 15</w:t>
      </w:r>
      <w:r>
        <w:rPr>
          <w:color w:val="000000"/>
          <w:vertAlign w:val="superscript"/>
        </w:rPr>
        <w:t>6</w:t>
      </w:r>
      <w:r>
        <w:rPr>
          <w:color w:val="000000"/>
        </w:rPr>
        <w:t xml:space="preserve"> of this Law shall be </w:t>
      </w:r>
      <w:proofErr w:type="gramStart"/>
      <w:r>
        <w:rPr>
          <w:color w:val="000000"/>
        </w:rPr>
        <w:t>taken into account</w:t>
      </w:r>
      <w:proofErr w:type="gramEnd"/>
      <w:r>
        <w:rPr>
          <w:color w:val="000000"/>
        </w:rPr>
        <w:t>.</w:t>
      </w:r>
    </w:p>
    <w:p w14:paraId="0941997F" w14:textId="77777777" w:rsidR="000654E6" w:rsidRDefault="000654E6" w:rsidP="000654E6">
      <w:pPr>
        <w:rPr>
          <w:color w:val="000000"/>
        </w:rPr>
      </w:pPr>
      <w:r>
        <w:rPr>
          <w:i/>
          <w:iCs/>
          <w:color w:val="000000"/>
          <w:sz w:val="20"/>
        </w:rPr>
        <w:t>Supplemented with the paragraph to the Article:</w:t>
      </w:r>
    </w:p>
    <w:p w14:paraId="34AA6153" w14:textId="77777777" w:rsidR="000654E6" w:rsidRDefault="000654E6" w:rsidP="000654E6">
      <w:pPr>
        <w:jc w:val="both"/>
        <w:rPr>
          <w:color w:val="000000"/>
        </w:rPr>
      </w:pPr>
      <w:r>
        <w:rPr>
          <w:i/>
          <w:iCs/>
          <w:color w:val="000000"/>
          <w:sz w:val="20"/>
        </w:rPr>
        <w:t xml:space="preserve">No </w:t>
      </w:r>
      <w:hyperlink r:id="rId69" w:tgtFrame="_parent" w:history="1">
        <w:r>
          <w:rPr>
            <w:rStyle w:val="Hyperlink"/>
            <w:i/>
            <w:iCs/>
            <w:sz w:val="20"/>
          </w:rPr>
          <w:t>XIV-821</w:t>
        </w:r>
      </w:hyperlink>
      <w:r>
        <w:rPr>
          <w:i/>
          <w:iCs/>
          <w:color w:val="000000"/>
          <w:sz w:val="20"/>
        </w:rPr>
        <w:t>, 23/12/2021, published in the RLA, 30/12/2021, ID code 2021-27710</w:t>
      </w:r>
    </w:p>
    <w:p w14:paraId="6369B19D" w14:textId="07646BDF" w:rsidR="00ED3A7E" w:rsidRPr="000550CF" w:rsidRDefault="00ED3A7E" w:rsidP="00F3494E">
      <w:pPr>
        <w:widowControl w:val="0"/>
        <w:ind w:firstLine="720"/>
        <w:jc w:val="both"/>
        <w:rPr>
          <w:szCs w:val="24"/>
          <w:lang w:eastAsia="lt-LT"/>
        </w:rPr>
      </w:pPr>
    </w:p>
    <w:p w14:paraId="68CFC327" w14:textId="77777777" w:rsidR="00ED3A7E" w:rsidRPr="000550CF" w:rsidRDefault="00ED3A7E" w:rsidP="00F3494E">
      <w:pPr>
        <w:widowControl w:val="0"/>
        <w:ind w:firstLine="720"/>
        <w:jc w:val="both"/>
        <w:rPr>
          <w:szCs w:val="24"/>
          <w:lang w:eastAsia="lt-LT"/>
        </w:rPr>
      </w:pPr>
    </w:p>
    <w:p w14:paraId="057E9752" w14:textId="77777777" w:rsidR="00ED3A7E" w:rsidRPr="000550CF" w:rsidRDefault="00ED3A7E" w:rsidP="00F3494E">
      <w:pPr>
        <w:widowControl w:val="0"/>
        <w:ind w:firstLine="720"/>
        <w:rPr>
          <w:szCs w:val="24"/>
        </w:rPr>
      </w:pPr>
      <w:r>
        <w:rPr>
          <w:b/>
          <w:szCs w:val="24"/>
        </w:rPr>
        <w:t xml:space="preserve">Article 7. Grounds for refusal to issue a </w:t>
      </w:r>
      <w:proofErr w:type="gramStart"/>
      <w:r>
        <w:rPr>
          <w:b/>
          <w:szCs w:val="24"/>
        </w:rPr>
        <w:t>licence</w:t>
      </w:r>
      <w:proofErr w:type="gramEnd"/>
    </w:p>
    <w:p w14:paraId="647FEAB2" w14:textId="77777777" w:rsidR="00ED3A7E" w:rsidRPr="000550CF" w:rsidRDefault="00ED3A7E" w:rsidP="00F3494E">
      <w:pPr>
        <w:widowControl w:val="0"/>
        <w:ind w:firstLine="720"/>
        <w:jc w:val="both"/>
        <w:rPr>
          <w:szCs w:val="24"/>
        </w:rPr>
      </w:pPr>
      <w:r>
        <w:t>1. The Supervisory authority shall refuse issuing a financial brokerage firm licence where:</w:t>
      </w:r>
    </w:p>
    <w:p w14:paraId="1A5B9A90" w14:textId="77777777" w:rsidR="00ED3A7E" w:rsidRPr="000550CF" w:rsidRDefault="00ED3A7E" w:rsidP="00F3494E">
      <w:pPr>
        <w:widowControl w:val="0"/>
        <w:ind w:firstLine="720"/>
        <w:jc w:val="both"/>
        <w:rPr>
          <w:szCs w:val="24"/>
        </w:rPr>
      </w:pPr>
      <w:r>
        <w:t xml:space="preserve">1) the submitted data, documents and information show that the firm does not comply with the requirements set forth in this Law for pursuing the respective business or where not all or incorrect data are </w:t>
      </w:r>
      <w:proofErr w:type="gramStart"/>
      <w:r>
        <w:t>submitted;</w:t>
      </w:r>
      <w:proofErr w:type="gramEnd"/>
    </w:p>
    <w:p w14:paraId="47454F5E" w14:textId="77777777" w:rsidR="00ED3A7E" w:rsidRPr="000550CF" w:rsidRDefault="00ED3A7E" w:rsidP="00F3494E">
      <w:pPr>
        <w:widowControl w:val="0"/>
        <w:ind w:firstLine="720"/>
        <w:jc w:val="both"/>
        <w:rPr>
          <w:szCs w:val="24"/>
        </w:rPr>
      </w:pPr>
      <w:r>
        <w:t xml:space="preserve">2) the firm’s managers are not of good repute or do not have sufficient </w:t>
      </w:r>
      <w:proofErr w:type="gramStart"/>
      <w:r>
        <w:t>experience;</w:t>
      </w:r>
      <w:proofErr w:type="gramEnd"/>
    </w:p>
    <w:p w14:paraId="4902A6CF" w14:textId="77777777" w:rsidR="00ED3A7E" w:rsidRPr="000550CF" w:rsidRDefault="00ED3A7E" w:rsidP="00F3494E">
      <w:pPr>
        <w:widowControl w:val="0"/>
        <w:ind w:firstLine="720"/>
        <w:jc w:val="both"/>
        <w:rPr>
          <w:szCs w:val="24"/>
        </w:rPr>
      </w:pPr>
      <w:r>
        <w:t xml:space="preserve">3) the envisaged changes of the firm’s managers pose a threat to its reliable and transparent </w:t>
      </w:r>
      <w:proofErr w:type="gramStart"/>
      <w:r>
        <w:t>governance;</w:t>
      </w:r>
      <w:proofErr w:type="gramEnd"/>
    </w:p>
    <w:p w14:paraId="05C62EFE" w14:textId="77777777" w:rsidR="00ED3A7E" w:rsidRPr="000550CF" w:rsidRDefault="00ED3A7E" w:rsidP="00F3494E">
      <w:pPr>
        <w:widowControl w:val="0"/>
        <w:ind w:firstLine="720"/>
        <w:jc w:val="both"/>
        <w:rPr>
          <w:szCs w:val="24"/>
        </w:rPr>
      </w:pPr>
      <w:r>
        <w:t xml:space="preserve">4) the firm has failed to provide information about its shareholders, their direct or indirect qualifying holdings of the capital and/or of the voting rights and the amounts of those </w:t>
      </w:r>
      <w:proofErr w:type="gramStart"/>
      <w:r>
        <w:t>holdings;</w:t>
      </w:r>
      <w:proofErr w:type="gramEnd"/>
    </w:p>
    <w:p w14:paraId="1F0566F2" w14:textId="77777777" w:rsidR="00ED3A7E" w:rsidRPr="000550CF" w:rsidRDefault="00ED3A7E" w:rsidP="00F3494E">
      <w:pPr>
        <w:ind w:firstLine="720"/>
        <w:jc w:val="both"/>
      </w:pPr>
      <w:r>
        <w:t>5) there are grounds for believing that the reliable and transparent governance of the firm will not be ensured by the holders of the qualifying holding of the capital and/or of the voting rights of the firm;</w:t>
      </w:r>
    </w:p>
    <w:p w14:paraId="2D4B0CE2" w14:textId="77777777" w:rsidR="00ED3A7E" w:rsidRPr="000550CF" w:rsidRDefault="00ED3A7E" w:rsidP="00F3494E">
      <w:pPr>
        <w:widowControl w:val="0"/>
        <w:ind w:firstLine="720"/>
        <w:jc w:val="both"/>
        <w:rPr>
          <w:szCs w:val="24"/>
        </w:rPr>
      </w:pPr>
      <w:r>
        <w:t>6) close links existing between the firm and other natural or legal persons are likely to prevent the effective exercise of the supervisory functions of the supervisory authority;</w:t>
      </w:r>
    </w:p>
    <w:p w14:paraId="333A1212" w14:textId="77777777" w:rsidR="00ED3A7E" w:rsidRPr="000550CF" w:rsidRDefault="00ED3A7E" w:rsidP="00F3494E">
      <w:pPr>
        <w:widowControl w:val="0"/>
        <w:ind w:firstLine="720"/>
        <w:jc w:val="both"/>
        <w:rPr>
          <w:szCs w:val="24"/>
        </w:rPr>
      </w:pPr>
      <w:r>
        <w:t>7) at least one employee of the firm is a member of the regulated market operating in the Republic of Lithuania or of the central depositary;</w:t>
      </w:r>
    </w:p>
    <w:p w14:paraId="55D3F974" w14:textId="77777777" w:rsidR="00ED3A7E" w:rsidRPr="000550CF" w:rsidRDefault="00ED3A7E" w:rsidP="00F3494E">
      <w:pPr>
        <w:widowControl w:val="0"/>
        <w:ind w:firstLine="720"/>
        <w:jc w:val="both"/>
        <w:rPr>
          <w:szCs w:val="24"/>
        </w:rPr>
      </w:pPr>
      <w:r>
        <w:t>8) premises or equipment held by right of ownership or on other grounds are unsuitable for the provision of investment services;</w:t>
      </w:r>
    </w:p>
    <w:p w14:paraId="4015CAD5" w14:textId="77777777" w:rsidR="00ED3A7E" w:rsidRPr="000550CF" w:rsidRDefault="00ED3A7E" w:rsidP="00F3494E">
      <w:pPr>
        <w:widowControl w:val="0"/>
        <w:ind w:firstLine="720"/>
        <w:jc w:val="both"/>
        <w:rPr>
          <w:szCs w:val="24"/>
        </w:rPr>
      </w:pPr>
      <w:r>
        <w:t xml:space="preserve">9) the head office of the firm established in the Republic of Lithuania is situated outside the territory of the Republic of </w:t>
      </w:r>
      <w:proofErr w:type="gramStart"/>
      <w:r>
        <w:t>Lithuania;</w:t>
      </w:r>
      <w:proofErr w:type="gramEnd"/>
    </w:p>
    <w:p w14:paraId="1F13123E" w14:textId="77777777" w:rsidR="00ED3A7E" w:rsidRPr="000550CF" w:rsidRDefault="00ED3A7E" w:rsidP="00F3494E">
      <w:pPr>
        <w:widowControl w:val="0"/>
        <w:ind w:firstLine="720"/>
        <w:jc w:val="both"/>
        <w:rPr>
          <w:szCs w:val="24"/>
        </w:rPr>
      </w:pPr>
      <w:r>
        <w:t xml:space="preserve">10) requirements of a third-country legal acts governing the status of natural or legal persons with whom the firm is related by close links, or the implementation of those requirements may prevent the supervisory authority from effectively exercising the supervisory functions </w:t>
      </w:r>
      <w:proofErr w:type="gramStart"/>
      <w:r>
        <w:t>of;</w:t>
      </w:r>
      <w:proofErr w:type="gramEnd"/>
    </w:p>
    <w:p w14:paraId="39AF853A" w14:textId="77777777" w:rsidR="00ED3A7E" w:rsidRPr="000550CF" w:rsidRDefault="00ED3A7E" w:rsidP="00F3494E">
      <w:pPr>
        <w:widowControl w:val="0"/>
        <w:ind w:firstLine="720"/>
        <w:jc w:val="both"/>
        <w:rPr>
          <w:szCs w:val="24"/>
        </w:rPr>
      </w:pPr>
      <w:r>
        <w:t xml:space="preserve">11) the firm fails to meet capital and/or prudential requirements set out in this Law, Regulation (EU) No 575/2013 and other legal </w:t>
      </w:r>
      <w:proofErr w:type="gramStart"/>
      <w:r>
        <w:t>acts;</w:t>
      </w:r>
      <w:proofErr w:type="gramEnd"/>
    </w:p>
    <w:p w14:paraId="1D96DE76" w14:textId="77777777" w:rsidR="00ED3A7E" w:rsidRPr="000550CF" w:rsidRDefault="00ED3A7E" w:rsidP="00F3494E">
      <w:pPr>
        <w:widowControl w:val="0"/>
        <w:ind w:firstLine="720"/>
        <w:jc w:val="both"/>
        <w:rPr>
          <w:szCs w:val="24"/>
        </w:rPr>
      </w:pPr>
      <w:r>
        <w:t xml:space="preserve">12) the firm is not a member of an authorised investor obligations insurance scheme or of investor compensation </w:t>
      </w:r>
      <w:proofErr w:type="gramStart"/>
      <w:r>
        <w:t>schemes;</w:t>
      </w:r>
      <w:proofErr w:type="gramEnd"/>
    </w:p>
    <w:p w14:paraId="3FE106EB" w14:textId="77777777" w:rsidR="00ED3A7E" w:rsidRPr="000550CF" w:rsidRDefault="00ED3A7E" w:rsidP="00F3494E">
      <w:pPr>
        <w:widowControl w:val="0"/>
        <w:ind w:firstLine="720"/>
        <w:jc w:val="both"/>
        <w:rPr>
          <w:szCs w:val="24"/>
        </w:rPr>
      </w:pPr>
      <w:r>
        <w:t xml:space="preserve">13) the firm has not put in place the arrangements and procedures to ensure the compliance with organizational requirements for the financial brokerage </w:t>
      </w:r>
      <w:proofErr w:type="gramStart"/>
      <w:r>
        <w:t>firm;</w:t>
      </w:r>
      <w:proofErr w:type="gramEnd"/>
    </w:p>
    <w:p w14:paraId="36D34C19" w14:textId="77777777" w:rsidR="00ED3A7E" w:rsidRPr="000550CF" w:rsidRDefault="00ED3A7E" w:rsidP="00F3494E">
      <w:pPr>
        <w:widowControl w:val="0"/>
        <w:ind w:firstLine="720"/>
        <w:jc w:val="both"/>
        <w:rPr>
          <w:szCs w:val="24"/>
        </w:rPr>
      </w:pPr>
      <w:r>
        <w:t>14) the firm, its mangers or shareholders are assessed as unsuitable according to the assessment criteria set out in Article 11(10) of this Law.</w:t>
      </w:r>
    </w:p>
    <w:p w14:paraId="631B360B" w14:textId="77777777" w:rsidR="00ED3A7E" w:rsidRPr="000550CF" w:rsidRDefault="00ED3A7E" w:rsidP="00F3494E">
      <w:pPr>
        <w:widowControl w:val="0"/>
        <w:ind w:firstLine="720"/>
        <w:jc w:val="both"/>
        <w:rPr>
          <w:szCs w:val="24"/>
        </w:rPr>
      </w:pPr>
      <w:r>
        <w:t>2. The refusal of a license must be reasoned in writing and may be appealed before the court.</w:t>
      </w:r>
    </w:p>
    <w:p w14:paraId="25F53178" w14:textId="77777777" w:rsidR="00ED3A7E" w:rsidRPr="000550CF" w:rsidRDefault="00ED3A7E" w:rsidP="00F3494E">
      <w:pPr>
        <w:widowControl w:val="0"/>
        <w:ind w:firstLine="720"/>
        <w:rPr>
          <w:szCs w:val="24"/>
          <w:lang w:eastAsia="lt-LT"/>
        </w:rPr>
      </w:pPr>
    </w:p>
    <w:p w14:paraId="4A778A88" w14:textId="77777777" w:rsidR="00ED3A7E" w:rsidRPr="000550CF" w:rsidRDefault="00ED3A7E" w:rsidP="00F3494E">
      <w:pPr>
        <w:widowControl w:val="0"/>
        <w:ind w:left="1985" w:hanging="1265"/>
        <w:jc w:val="both"/>
        <w:rPr>
          <w:szCs w:val="24"/>
        </w:rPr>
      </w:pPr>
      <w:r>
        <w:rPr>
          <w:b/>
          <w:szCs w:val="24"/>
        </w:rPr>
        <w:t xml:space="preserve">Article 8. Warning about possible suspension of a licence, lifting the warning, suspending and lifting the suspension of a licence, withdrawing a </w:t>
      </w:r>
      <w:proofErr w:type="gramStart"/>
      <w:r>
        <w:rPr>
          <w:b/>
          <w:szCs w:val="24"/>
        </w:rPr>
        <w:t>licence</w:t>
      </w:r>
      <w:proofErr w:type="gramEnd"/>
      <w:r>
        <w:rPr>
          <w:b/>
          <w:szCs w:val="24"/>
        </w:rPr>
        <w:t xml:space="preserve"> </w:t>
      </w:r>
    </w:p>
    <w:p w14:paraId="670A5740" w14:textId="77777777" w:rsidR="00ED3A7E" w:rsidRPr="000550CF" w:rsidRDefault="00ED3A7E" w:rsidP="00F3494E">
      <w:pPr>
        <w:widowControl w:val="0"/>
        <w:ind w:firstLine="720"/>
        <w:jc w:val="both"/>
        <w:rPr>
          <w:szCs w:val="24"/>
        </w:rPr>
      </w:pPr>
      <w:r>
        <w:t>1. A financial brokerage firm shall be warned about possible suspension of a license for infringements of the licensed activity conditions.</w:t>
      </w:r>
    </w:p>
    <w:p w14:paraId="12C215E8" w14:textId="77777777" w:rsidR="00ED3A7E" w:rsidRPr="000550CF" w:rsidRDefault="00ED3A7E" w:rsidP="00F3494E">
      <w:pPr>
        <w:widowControl w:val="0"/>
        <w:ind w:firstLine="720"/>
        <w:jc w:val="both"/>
        <w:rPr>
          <w:szCs w:val="24"/>
        </w:rPr>
      </w:pPr>
      <w:r>
        <w:t xml:space="preserve">2. The supervisory authority, having identified any infringements of the licensed activity </w:t>
      </w:r>
      <w:r>
        <w:lastRenderedPageBreak/>
        <w:t>conditions, shall, no later than on the next business day, take a decision whereby a financial brokerage firm shall be warned about the possible suspension of its licence and, within three business days of the date of taking such decision, notify about that the financial brokerage firm, indicate the infringements and set the time limit not exceeding two months during which the financial brokerage firm must eliminate the identified infringements.</w:t>
      </w:r>
    </w:p>
    <w:p w14:paraId="3ACF2F16" w14:textId="77777777" w:rsidR="00ED3A7E" w:rsidRPr="000550CF" w:rsidRDefault="00ED3A7E" w:rsidP="00F3494E">
      <w:pPr>
        <w:widowControl w:val="0"/>
        <w:ind w:firstLine="720"/>
        <w:jc w:val="both"/>
        <w:rPr>
          <w:szCs w:val="24"/>
        </w:rPr>
      </w:pPr>
      <w:r>
        <w:t>3. The financial brokerage firm, having eliminated the infringements, must notify about that the supervisory authority and the latter shall verify this information, within five business days of receiving the notification about the eliminated infringements, and take the decision to lift the warning regarding the possible suspension of a licence provided that all infringements were eliminated within the fixed time limit, and shall inform about that the financial brokerage firm no later than within 3 (three) working days of taking the decision.</w:t>
      </w:r>
    </w:p>
    <w:p w14:paraId="394E359C" w14:textId="77777777" w:rsidR="00ED3A7E" w:rsidRPr="000550CF" w:rsidRDefault="00ED3A7E" w:rsidP="00F3494E">
      <w:pPr>
        <w:widowControl w:val="0"/>
        <w:ind w:firstLine="720"/>
        <w:jc w:val="both"/>
        <w:rPr>
          <w:szCs w:val="24"/>
        </w:rPr>
      </w:pPr>
      <w:r>
        <w:t>4. A licence shall be suspended where a financial brokerage firm, which has been warned about possible suspension of a licence, fails to eliminate the identified infringements in a timely manner.</w:t>
      </w:r>
    </w:p>
    <w:p w14:paraId="086B7A9E" w14:textId="77777777" w:rsidR="00ED3A7E" w:rsidRPr="000550CF" w:rsidRDefault="00ED3A7E" w:rsidP="00F3494E">
      <w:pPr>
        <w:ind w:firstLine="720"/>
        <w:jc w:val="both"/>
        <w:rPr>
          <w:szCs w:val="24"/>
        </w:rPr>
      </w:pPr>
      <w:r>
        <w:t xml:space="preserve">5. Having taken a licence suspension decision, the supervisory authority shall inform about that the financial brokerage firm within three business days of taking the decision, indicate the infringements and set the time limit not exceeding two months for the financial brokerage firm to eliminate the identified infringements. </w:t>
      </w:r>
    </w:p>
    <w:p w14:paraId="1E4BA3D1" w14:textId="77777777" w:rsidR="00ED3A7E" w:rsidRPr="000550CF" w:rsidRDefault="00ED3A7E" w:rsidP="00F3494E">
      <w:pPr>
        <w:widowControl w:val="0"/>
        <w:ind w:firstLine="720"/>
        <w:jc w:val="both"/>
        <w:rPr>
          <w:szCs w:val="24"/>
        </w:rPr>
      </w:pPr>
      <w:r>
        <w:t>6. A financial brokerage firm, having eliminated the infringements regarding which the licence suspension decision was taken, must notify about that the supervisory authority and the latter shall verify this information, within five business days of receiving the notification about the eliminated infringements, and take the decision to lift the licence suspension, provided that all infringements were eliminated within the fixed time limit, and shall inform about that the financial brokerage firm no later than within 3 (three) working days of taking the decision.</w:t>
      </w:r>
    </w:p>
    <w:p w14:paraId="56D8470A" w14:textId="77777777" w:rsidR="00ED3A7E" w:rsidRPr="000550CF" w:rsidRDefault="00ED3A7E" w:rsidP="00F3494E">
      <w:pPr>
        <w:widowControl w:val="0"/>
        <w:ind w:firstLine="720"/>
        <w:jc w:val="both"/>
        <w:rPr>
          <w:szCs w:val="24"/>
        </w:rPr>
      </w:pPr>
      <w:r>
        <w:t>7. The supervisory authority shall have the right to withdraw a license issued by it to a financial brokerage firm where the financial brokerage firm:</w:t>
      </w:r>
    </w:p>
    <w:p w14:paraId="422A3ABA" w14:textId="77777777" w:rsidR="00ED3A7E" w:rsidRPr="000550CF" w:rsidRDefault="00ED3A7E" w:rsidP="00F3494E">
      <w:pPr>
        <w:widowControl w:val="0"/>
        <w:ind w:firstLine="720"/>
        <w:jc w:val="both"/>
        <w:rPr>
          <w:szCs w:val="24"/>
        </w:rPr>
      </w:pPr>
      <w:r>
        <w:t xml:space="preserve">1) has itself applied for the withdrawal of the </w:t>
      </w:r>
      <w:proofErr w:type="gramStart"/>
      <w:r>
        <w:t>license;</w:t>
      </w:r>
      <w:proofErr w:type="gramEnd"/>
    </w:p>
    <w:p w14:paraId="691BC138" w14:textId="77777777" w:rsidR="00ED3A7E" w:rsidRPr="000550CF" w:rsidRDefault="00ED3A7E" w:rsidP="00F3494E">
      <w:pPr>
        <w:widowControl w:val="0"/>
        <w:ind w:firstLine="720"/>
        <w:jc w:val="both"/>
        <w:rPr>
          <w:szCs w:val="24"/>
        </w:rPr>
      </w:pPr>
      <w:r>
        <w:t xml:space="preserve">2) has not started to provide services specified in the license within twelve months of its </w:t>
      </w:r>
      <w:proofErr w:type="gramStart"/>
      <w:r>
        <w:t>issue;</w:t>
      </w:r>
      <w:proofErr w:type="gramEnd"/>
    </w:p>
    <w:p w14:paraId="68D05E67" w14:textId="77777777" w:rsidR="00ED3A7E" w:rsidRPr="000550CF" w:rsidRDefault="00ED3A7E" w:rsidP="00F3494E">
      <w:pPr>
        <w:widowControl w:val="0"/>
        <w:ind w:firstLine="720"/>
        <w:jc w:val="both"/>
        <w:rPr>
          <w:szCs w:val="24"/>
        </w:rPr>
      </w:pPr>
      <w:r>
        <w:t xml:space="preserve">3) has provided no investment services within the last six </w:t>
      </w:r>
      <w:proofErr w:type="gramStart"/>
      <w:r>
        <w:t>months;</w:t>
      </w:r>
      <w:proofErr w:type="gramEnd"/>
    </w:p>
    <w:p w14:paraId="1CC28630" w14:textId="77777777" w:rsidR="00ED3A7E" w:rsidRPr="000550CF" w:rsidRDefault="00ED3A7E" w:rsidP="00F3494E">
      <w:pPr>
        <w:widowControl w:val="0"/>
        <w:ind w:firstLine="720"/>
        <w:jc w:val="both"/>
        <w:rPr>
          <w:szCs w:val="24"/>
        </w:rPr>
      </w:pPr>
      <w:r>
        <w:t xml:space="preserve">4) has obtained the license by making false statements, documents or information or by any other irregular </w:t>
      </w:r>
      <w:proofErr w:type="gramStart"/>
      <w:r>
        <w:t>means;</w:t>
      </w:r>
      <w:proofErr w:type="gramEnd"/>
    </w:p>
    <w:p w14:paraId="6DA2A112" w14:textId="77777777" w:rsidR="00ED3A7E" w:rsidRPr="000550CF" w:rsidRDefault="00ED3A7E" w:rsidP="00F3494E">
      <w:pPr>
        <w:widowControl w:val="0"/>
        <w:ind w:firstLine="720"/>
        <w:jc w:val="both"/>
        <w:rPr>
          <w:szCs w:val="24"/>
        </w:rPr>
      </w:pPr>
      <w:r>
        <w:t xml:space="preserve">5) no longer meets the conditions under which the financial brokerage firm licence was </w:t>
      </w:r>
      <w:proofErr w:type="gramStart"/>
      <w:r>
        <w:t>issued;</w:t>
      </w:r>
      <w:proofErr w:type="gramEnd"/>
    </w:p>
    <w:p w14:paraId="0F43A8EE" w14:textId="77C9186B" w:rsidR="000654E6" w:rsidRPr="000654E6" w:rsidRDefault="00ED3A7E" w:rsidP="000654E6">
      <w:pPr>
        <w:spacing w:line="360" w:lineRule="atLeast"/>
        <w:ind w:firstLine="720"/>
        <w:jc w:val="both"/>
        <w:rPr>
          <w:color w:val="000000"/>
          <w:szCs w:val="24"/>
        </w:rPr>
      </w:pPr>
      <w:r>
        <w:t xml:space="preserve">6) has grossly and continuously violated operating requirements for a financial brokerage firm set out in this Law, Regulation (EU) No 575/2013, Regulation (EU) No 600/2014 or Regulation (EU) </w:t>
      </w:r>
      <w:proofErr w:type="gramStart"/>
      <w:r>
        <w:t>2019/2033;</w:t>
      </w:r>
      <w:proofErr w:type="gramEnd"/>
    </w:p>
    <w:p w14:paraId="31B46377" w14:textId="77777777" w:rsidR="000654E6" w:rsidRDefault="000654E6" w:rsidP="000654E6">
      <w:pPr>
        <w:rPr>
          <w:color w:val="000000"/>
          <w:sz w:val="27"/>
          <w:szCs w:val="27"/>
        </w:rPr>
      </w:pPr>
      <w:r>
        <w:rPr>
          <w:i/>
          <w:iCs/>
          <w:color w:val="000000"/>
          <w:sz w:val="20"/>
        </w:rPr>
        <w:t>Amendments to the paragraph of the Article:</w:t>
      </w:r>
    </w:p>
    <w:p w14:paraId="12B71FEC" w14:textId="0C7E1B13" w:rsidR="000654E6" w:rsidRDefault="000654E6" w:rsidP="000654E6">
      <w:pPr>
        <w:jc w:val="both"/>
        <w:rPr>
          <w:color w:val="000000"/>
          <w:sz w:val="27"/>
          <w:szCs w:val="27"/>
        </w:rPr>
      </w:pPr>
      <w:r>
        <w:rPr>
          <w:i/>
          <w:iCs/>
          <w:color w:val="000000"/>
          <w:sz w:val="20"/>
        </w:rPr>
        <w:t xml:space="preserve">No </w:t>
      </w:r>
      <w:hyperlink r:id="rId70" w:tgtFrame="_parent" w:history="1">
        <w:r>
          <w:rPr>
            <w:rStyle w:val="Hyperlink"/>
            <w:i/>
            <w:iCs/>
            <w:sz w:val="20"/>
          </w:rPr>
          <w:t>XIV-821</w:t>
        </w:r>
      </w:hyperlink>
      <w:r>
        <w:rPr>
          <w:i/>
          <w:iCs/>
          <w:color w:val="000000"/>
          <w:sz w:val="20"/>
        </w:rPr>
        <w:t>, 23/12/2021, published in the RLA, 30/12/2021, ID code 2021-27710</w:t>
      </w:r>
    </w:p>
    <w:p w14:paraId="130A343D" w14:textId="16506299" w:rsidR="00ED3A7E" w:rsidRPr="000550CF" w:rsidRDefault="00ED3A7E" w:rsidP="00F3494E">
      <w:pPr>
        <w:widowControl w:val="0"/>
        <w:ind w:firstLine="720"/>
        <w:jc w:val="both"/>
        <w:rPr>
          <w:szCs w:val="24"/>
          <w:lang w:eastAsia="lt-LT"/>
        </w:rPr>
      </w:pPr>
    </w:p>
    <w:p w14:paraId="0982D604" w14:textId="77777777" w:rsidR="00ED3A7E" w:rsidRPr="000550CF" w:rsidRDefault="00ED3A7E" w:rsidP="00F3494E">
      <w:pPr>
        <w:widowControl w:val="0"/>
        <w:ind w:firstLine="720"/>
        <w:jc w:val="both"/>
        <w:rPr>
          <w:szCs w:val="24"/>
        </w:rPr>
      </w:pPr>
      <w:r>
        <w:t xml:space="preserve">7) is unable to meet its obligations according to its liabilities or there is evidence that it will not be able to do that in the </w:t>
      </w:r>
      <w:proofErr w:type="gramStart"/>
      <w:r>
        <w:t>future;</w:t>
      </w:r>
      <w:proofErr w:type="gramEnd"/>
    </w:p>
    <w:p w14:paraId="7B59005C" w14:textId="77777777" w:rsidR="00ED3A7E" w:rsidRPr="000550CF" w:rsidRDefault="00ED3A7E" w:rsidP="00F3494E">
      <w:pPr>
        <w:widowControl w:val="0"/>
        <w:ind w:firstLine="720"/>
        <w:jc w:val="both"/>
        <w:rPr>
          <w:szCs w:val="24"/>
        </w:rPr>
      </w:pPr>
      <w:r>
        <w:t xml:space="preserve">8) has failed to eliminate within the fixed time limit the identified infringements that have </w:t>
      </w:r>
      <w:proofErr w:type="spellStart"/>
      <w:proofErr w:type="gramStart"/>
      <w:r>
        <w:t>lead</w:t>
      </w:r>
      <w:proofErr w:type="spellEnd"/>
      <w:proofErr w:type="gramEnd"/>
      <w:r>
        <w:t xml:space="preserve"> to suspension of the financial brokerage firm licence;</w:t>
      </w:r>
    </w:p>
    <w:p w14:paraId="206FD05F" w14:textId="77777777" w:rsidR="00ED3A7E" w:rsidRPr="000550CF" w:rsidRDefault="00ED3A7E" w:rsidP="00F3494E">
      <w:pPr>
        <w:widowControl w:val="0"/>
        <w:ind w:firstLine="720"/>
        <w:jc w:val="both"/>
        <w:rPr>
          <w:szCs w:val="24"/>
        </w:rPr>
      </w:pPr>
      <w:r>
        <w:t xml:space="preserve">9) in other </w:t>
      </w:r>
      <w:proofErr w:type="gramStart"/>
      <w:r>
        <w:t>cases</w:t>
      </w:r>
      <w:proofErr w:type="gramEnd"/>
      <w:r>
        <w:t xml:space="preserve"> provided for by laws.</w:t>
      </w:r>
    </w:p>
    <w:p w14:paraId="7C99853B" w14:textId="77777777" w:rsidR="00ED3A7E" w:rsidRPr="000550CF" w:rsidRDefault="00ED3A7E" w:rsidP="00F3494E">
      <w:pPr>
        <w:widowControl w:val="0"/>
        <w:ind w:firstLine="720"/>
        <w:jc w:val="both"/>
        <w:rPr>
          <w:szCs w:val="24"/>
          <w:lang w:eastAsia="lt-LT"/>
        </w:rPr>
      </w:pPr>
    </w:p>
    <w:p w14:paraId="28991588" w14:textId="77777777" w:rsidR="00ED3A7E" w:rsidRPr="000550CF" w:rsidRDefault="00ED3A7E" w:rsidP="00F3494E">
      <w:pPr>
        <w:widowControl w:val="0"/>
        <w:ind w:firstLine="720"/>
        <w:rPr>
          <w:szCs w:val="24"/>
        </w:rPr>
      </w:pPr>
      <w:r>
        <w:rPr>
          <w:b/>
          <w:szCs w:val="24"/>
        </w:rPr>
        <w:t>Article 9. Managers of a financial brokerage firm</w:t>
      </w:r>
    </w:p>
    <w:p w14:paraId="13DBC7DE" w14:textId="77777777" w:rsidR="00ED3A7E" w:rsidRPr="000550CF" w:rsidRDefault="00ED3A7E" w:rsidP="00F3494E">
      <w:pPr>
        <w:ind w:firstLine="720"/>
        <w:jc w:val="both"/>
        <w:rPr>
          <w:b/>
          <w:szCs w:val="24"/>
        </w:rPr>
      </w:pPr>
      <w:r>
        <w:t xml:space="preserve">1. Managers of a financial brokerage firm </w:t>
      </w:r>
      <w:r>
        <w:rPr>
          <w:color w:val="000000"/>
          <w:szCs w:val="24"/>
        </w:rPr>
        <w:t>must be of good repute, have sufficient qualification and experience required for the proper performance of duties. The qualification and experience of managers of a</w:t>
      </w:r>
      <w:r>
        <w:t xml:space="preserve"> financial brokerage firm </w:t>
      </w:r>
      <w:r>
        <w:rPr>
          <w:color w:val="000000"/>
          <w:szCs w:val="24"/>
        </w:rPr>
        <w:t>shall be assessed taking account of the person’s education</w:t>
      </w:r>
      <w:r>
        <w:t>, professional training, nature and duration of professional activity or work experience, as well as other factors that might be relevant for the person’s qualification and experience</w:t>
      </w:r>
      <w:r>
        <w:rPr>
          <w:sz w:val="22"/>
          <w:szCs w:val="22"/>
        </w:rPr>
        <w:t>.</w:t>
      </w:r>
      <w:r>
        <w:t xml:space="preserve"> Requirements for the reputation, </w:t>
      </w:r>
      <w:proofErr w:type="gramStart"/>
      <w:r>
        <w:t>qualification</w:t>
      </w:r>
      <w:proofErr w:type="gramEnd"/>
      <w:r>
        <w:t xml:space="preserve"> and work experience of managers </w:t>
      </w:r>
      <w:r>
        <w:rPr>
          <w:color w:val="000000"/>
          <w:szCs w:val="24"/>
        </w:rPr>
        <w:t xml:space="preserve">of a </w:t>
      </w:r>
      <w:r>
        <w:t xml:space="preserve">financial brokerage firm </w:t>
      </w:r>
      <w:r>
        <w:rPr>
          <w:color w:val="000000"/>
          <w:szCs w:val="24"/>
        </w:rPr>
        <w:t>shall be assessed in accordance with the procedure set forth by legal acts adopted by the supervisory authority</w:t>
      </w:r>
      <w:r>
        <w:t>.</w:t>
      </w:r>
    </w:p>
    <w:p w14:paraId="718F51BC" w14:textId="77777777" w:rsidR="00ED3A7E" w:rsidRPr="000550CF" w:rsidRDefault="00ED3A7E" w:rsidP="00F3494E">
      <w:pPr>
        <w:widowControl w:val="0"/>
        <w:ind w:firstLine="720"/>
        <w:jc w:val="both"/>
        <w:rPr>
          <w:szCs w:val="24"/>
        </w:rPr>
      </w:pPr>
      <w:r>
        <w:lastRenderedPageBreak/>
        <w:t>2. Where a market operator seeking an authorisation to operate a multilateral trading facility and the multilateral trading facility intended to be operated by the market operator are managed by the same persons who manage the regulated market, such persons shall be deemed to comply with the requirements set out in paragraph 1 of this Article.</w:t>
      </w:r>
    </w:p>
    <w:p w14:paraId="223F7B15" w14:textId="77777777" w:rsidR="00ED3A7E" w:rsidRPr="000550CF" w:rsidRDefault="00ED3A7E" w:rsidP="00F3494E">
      <w:pPr>
        <w:widowControl w:val="0"/>
        <w:ind w:firstLine="720"/>
        <w:jc w:val="both"/>
        <w:rPr>
          <w:szCs w:val="24"/>
        </w:rPr>
      </w:pPr>
      <w:r>
        <w:t>3. A financial brokerage firm licensed in the Republic of Lithuania must inform the supervisory authority in advance of all envisaged changes of the firm’s managers and provide the information specified by the supervisory authority which is necessary to assess the compliance of the newly elected or nominated managers with the requirements of good repute and sufficient qualification and experience. The newly elected managers of the financial brokerage firm may start working in their position only when their candidatures are approved by the supervisory authority.</w:t>
      </w:r>
    </w:p>
    <w:p w14:paraId="786189C0" w14:textId="77777777" w:rsidR="00ED3A7E" w:rsidRPr="000550CF" w:rsidRDefault="00ED3A7E" w:rsidP="00F3494E">
      <w:pPr>
        <w:widowControl w:val="0"/>
        <w:ind w:firstLine="720"/>
        <w:jc w:val="both"/>
        <w:rPr>
          <w:szCs w:val="24"/>
        </w:rPr>
      </w:pPr>
      <w:r>
        <w:t>4. The supervisory authority shall have the right to reject the candidatures of the newly nominated managers if they are not of sufficiently good repute, do not possess sufficient qualification and experience, or if there are other objective grounds for believing that the envisaged changes of managers pose a threat to the sound and transparent prudential management of the firm based on systemic risk, the client interests or the integrity of the market. The supervisory authority shall decide on the suitability of the candidatures of the newly elected managers no later than within one month of the receipt of all required documents.</w:t>
      </w:r>
    </w:p>
    <w:p w14:paraId="50EE82A2" w14:textId="77777777" w:rsidR="00ED3A7E" w:rsidRPr="000550CF" w:rsidRDefault="00ED3A7E" w:rsidP="00F3494E">
      <w:pPr>
        <w:widowControl w:val="0"/>
        <w:ind w:firstLine="720"/>
        <w:jc w:val="both"/>
        <w:rPr>
          <w:szCs w:val="24"/>
        </w:rPr>
      </w:pPr>
      <w:r>
        <w:t>5. A financial brokerage firm must establish a single-person management body – the manager of the firm and a collegial management body – the board. Formation of the board in a financial advisor form shall be optional.</w:t>
      </w:r>
    </w:p>
    <w:p w14:paraId="691672AA" w14:textId="77777777" w:rsidR="00ED3A7E" w:rsidRPr="000550CF" w:rsidRDefault="00ED3A7E" w:rsidP="00F3494E">
      <w:pPr>
        <w:widowControl w:val="0"/>
        <w:ind w:firstLine="720"/>
        <w:jc w:val="both"/>
        <w:rPr>
          <w:szCs w:val="24"/>
        </w:rPr>
      </w:pPr>
      <w:r>
        <w:t>6. A person’s repute shall be assessed taking account of:</w:t>
      </w:r>
    </w:p>
    <w:p w14:paraId="1D39E097" w14:textId="77777777" w:rsidR="00ED3A7E" w:rsidRPr="000550CF" w:rsidRDefault="00ED3A7E" w:rsidP="00F3494E">
      <w:pPr>
        <w:widowControl w:val="0"/>
        <w:ind w:firstLine="720"/>
        <w:jc w:val="both"/>
        <w:rPr>
          <w:szCs w:val="24"/>
        </w:rPr>
      </w:pPr>
      <w:r>
        <w:t xml:space="preserve">1) any performed or pending pre-trial investigations, suspicions or charges brought against the person for committing criminal acts, or the person’s conviction, irrespective of whether it has </w:t>
      </w:r>
      <w:proofErr w:type="gramStart"/>
      <w:r>
        <w:t>expired;</w:t>
      </w:r>
      <w:proofErr w:type="gramEnd"/>
    </w:p>
    <w:p w14:paraId="5069CBDC" w14:textId="77777777" w:rsidR="00ED3A7E" w:rsidRPr="000550CF" w:rsidRDefault="00ED3A7E" w:rsidP="00F3494E">
      <w:pPr>
        <w:widowControl w:val="0"/>
        <w:ind w:firstLine="720"/>
        <w:jc w:val="both"/>
        <w:rPr>
          <w:szCs w:val="24"/>
        </w:rPr>
      </w:pPr>
      <w:r>
        <w:t xml:space="preserve">2) applied administrative or other penalties (sanctions) irrespective of the time of their </w:t>
      </w:r>
      <w:proofErr w:type="gramStart"/>
      <w:r>
        <w:t>application;</w:t>
      </w:r>
      <w:proofErr w:type="gramEnd"/>
      <w:r>
        <w:t xml:space="preserve"> </w:t>
      </w:r>
    </w:p>
    <w:p w14:paraId="05BE89F2" w14:textId="77777777" w:rsidR="00ED3A7E" w:rsidRPr="000550CF" w:rsidRDefault="00ED3A7E" w:rsidP="00F3494E">
      <w:pPr>
        <w:widowControl w:val="0"/>
        <w:ind w:firstLine="720"/>
        <w:jc w:val="both"/>
        <w:rPr>
          <w:szCs w:val="24"/>
        </w:rPr>
      </w:pPr>
      <w:r>
        <w:t xml:space="preserve">3) previous or current inspections carried out by supervisory and other authorities regarding infringements of legal </w:t>
      </w:r>
      <w:proofErr w:type="gramStart"/>
      <w:r>
        <w:t>acts;</w:t>
      </w:r>
      <w:proofErr w:type="gramEnd"/>
    </w:p>
    <w:p w14:paraId="79BEC647" w14:textId="77777777" w:rsidR="00ED3A7E" w:rsidRPr="000550CF" w:rsidRDefault="00ED3A7E" w:rsidP="00F3494E">
      <w:pPr>
        <w:widowControl w:val="0"/>
        <w:ind w:firstLine="720"/>
        <w:jc w:val="both"/>
        <w:rPr>
          <w:szCs w:val="24"/>
        </w:rPr>
      </w:pPr>
      <w:r>
        <w:t xml:space="preserve">4) applied disciplinary actions, official penalties, suspension or dismissal from nominated or elected positions, irrespective of the time of their </w:t>
      </w:r>
      <w:proofErr w:type="gramStart"/>
      <w:r>
        <w:t>application;</w:t>
      </w:r>
      <w:proofErr w:type="gramEnd"/>
    </w:p>
    <w:p w14:paraId="26C988EE" w14:textId="77777777" w:rsidR="00ED3A7E" w:rsidRPr="000550CF" w:rsidRDefault="00ED3A7E" w:rsidP="00F3494E">
      <w:pPr>
        <w:widowControl w:val="0"/>
        <w:ind w:firstLine="720"/>
        <w:jc w:val="both"/>
        <w:rPr>
          <w:szCs w:val="24"/>
        </w:rPr>
      </w:pPr>
      <w:r>
        <w:t>5) refusal to issue an authorisation</w:t>
      </w:r>
      <w:r>
        <w:rPr>
          <w:color w:val="000000"/>
          <w:szCs w:val="24"/>
        </w:rPr>
        <w:t xml:space="preserve"> (licence) or any other refusal of the right to carry out certain actions or to engage in certain professional or other activities, and suspension of withdrawal of the granted </w:t>
      </w:r>
      <w:r>
        <w:t>authorisation</w:t>
      </w:r>
      <w:r>
        <w:rPr>
          <w:color w:val="000000"/>
          <w:szCs w:val="24"/>
        </w:rPr>
        <w:t xml:space="preserve"> (licence) or any other refusal of the right to carry out certain actions or to engage in certain professional or other </w:t>
      </w:r>
      <w:proofErr w:type="gramStart"/>
      <w:r>
        <w:rPr>
          <w:color w:val="000000"/>
          <w:szCs w:val="24"/>
        </w:rPr>
        <w:t>activities</w:t>
      </w:r>
      <w:r>
        <w:t>;</w:t>
      </w:r>
      <w:proofErr w:type="gramEnd"/>
      <w:r>
        <w:t xml:space="preserve"> </w:t>
      </w:r>
    </w:p>
    <w:p w14:paraId="1C96E51C" w14:textId="77777777" w:rsidR="00ED3A7E" w:rsidRPr="000550CF" w:rsidRDefault="00ED3A7E" w:rsidP="00F3494E">
      <w:pPr>
        <w:ind w:firstLine="720"/>
        <w:jc w:val="both"/>
        <w:rPr>
          <w:szCs w:val="24"/>
        </w:rPr>
      </w:pPr>
      <w:r>
        <w:t xml:space="preserve">6) any cases in which the person defaulted on the duty to acquire licences, authorisations, consents, approvals, non-objections established by legal acts or to provide timely information to supervisory authorities, provided to them not all required information or wrong </w:t>
      </w:r>
      <w:proofErr w:type="gramStart"/>
      <w:r>
        <w:t>information;</w:t>
      </w:r>
      <w:proofErr w:type="gramEnd"/>
      <w:r>
        <w:t xml:space="preserve"> </w:t>
      </w:r>
    </w:p>
    <w:p w14:paraId="63E0240F" w14:textId="77777777" w:rsidR="00ED3A7E" w:rsidRPr="000550CF" w:rsidRDefault="00ED3A7E" w:rsidP="00F3494E">
      <w:pPr>
        <w:widowControl w:val="0"/>
        <w:ind w:firstLine="720"/>
        <w:jc w:val="both"/>
        <w:rPr>
          <w:szCs w:val="24"/>
        </w:rPr>
      </w:pPr>
      <w:r>
        <w:t xml:space="preserve">7) information on the person’s fulfilment of previous and current monetary or other obligations, including details about any previous or pending restructuring or bankruptcy proceedings, actions brought in civil proceedings against the </w:t>
      </w:r>
      <w:proofErr w:type="gramStart"/>
      <w:r>
        <w:t>person;</w:t>
      </w:r>
      <w:proofErr w:type="gramEnd"/>
      <w:r>
        <w:t xml:space="preserve"> </w:t>
      </w:r>
    </w:p>
    <w:p w14:paraId="28D438D4" w14:textId="77777777" w:rsidR="00ED3A7E" w:rsidRPr="000550CF" w:rsidRDefault="00ED3A7E" w:rsidP="00F3494E">
      <w:pPr>
        <w:widowControl w:val="0"/>
        <w:ind w:firstLine="720"/>
        <w:jc w:val="both"/>
        <w:rPr>
          <w:szCs w:val="24"/>
        </w:rPr>
      </w:pPr>
      <w:r>
        <w:t>8) data referred to in points 1–7 of this paragraph about the legal person the manager of which the person was or is or the qualifying holding of the capital and/or of the voting rights of which the person directly or indirectly controls or controlled.</w:t>
      </w:r>
    </w:p>
    <w:p w14:paraId="7094EDA3" w14:textId="77777777" w:rsidR="00ED3A7E" w:rsidRPr="000550CF" w:rsidRDefault="00ED3A7E" w:rsidP="00F3494E">
      <w:pPr>
        <w:widowControl w:val="0"/>
        <w:ind w:firstLine="720"/>
        <w:jc w:val="both"/>
        <w:rPr>
          <w:szCs w:val="24"/>
        </w:rPr>
      </w:pPr>
      <w:r>
        <w:t xml:space="preserve">7. A person may not be regarded to be of good repute where he: </w:t>
      </w:r>
    </w:p>
    <w:p w14:paraId="1C6D7124" w14:textId="77777777" w:rsidR="00ED3A7E" w:rsidRPr="000550CF" w:rsidRDefault="00ED3A7E" w:rsidP="00F3494E">
      <w:pPr>
        <w:widowControl w:val="0"/>
        <w:ind w:firstLine="720"/>
        <w:jc w:val="both"/>
        <w:rPr>
          <w:b/>
          <w:szCs w:val="24"/>
        </w:rPr>
      </w:pPr>
      <w:r>
        <w:t xml:space="preserve">1) has been convicted of a serious or grave crime provided for in the Criminal Code of the Republic of Lithuania or of a deliberate crime against property, property rights and property interests, the economy and business practice, the financial system, public safety, civil service and public interests or of corresponding criminal acts under criminal laws of foreign states, irrespective of whether the conviction has </w:t>
      </w:r>
      <w:proofErr w:type="gramStart"/>
      <w:r>
        <w:t>expired;</w:t>
      </w:r>
      <w:proofErr w:type="gramEnd"/>
      <w:r>
        <w:rPr>
          <w:b/>
          <w:szCs w:val="24"/>
        </w:rPr>
        <w:t xml:space="preserve"> </w:t>
      </w:r>
    </w:p>
    <w:p w14:paraId="2D9A2D59" w14:textId="77777777" w:rsidR="00ED3A7E" w:rsidRPr="000550CF" w:rsidRDefault="00ED3A7E" w:rsidP="00F3494E">
      <w:pPr>
        <w:ind w:firstLine="720"/>
        <w:jc w:val="both"/>
        <w:rPr>
          <w:szCs w:val="24"/>
        </w:rPr>
      </w:pPr>
      <w:r>
        <w:t xml:space="preserve">2) has been convicted of a criminal act, other than those referred to in point 1 of this paragraph, provided for under the Criminal Code of the Republic of Lithuania or laws of other states and less </w:t>
      </w:r>
      <w:r>
        <w:lastRenderedPageBreak/>
        <w:t xml:space="preserve">than three years have elapsed from the day of serving of the sentence, suspension of enforcement of the sentence or release from serving of the </w:t>
      </w:r>
      <w:proofErr w:type="gramStart"/>
      <w:r>
        <w:t>sentence;</w:t>
      </w:r>
      <w:proofErr w:type="gramEnd"/>
      <w:r>
        <w:t xml:space="preserve"> </w:t>
      </w:r>
    </w:p>
    <w:p w14:paraId="0ECA7CD0" w14:textId="77777777" w:rsidR="00ED3A7E" w:rsidRPr="000550CF" w:rsidRDefault="00ED3A7E" w:rsidP="00F3494E">
      <w:pPr>
        <w:ind w:firstLine="720"/>
        <w:jc w:val="both"/>
        <w:rPr>
          <w:bCs/>
          <w:szCs w:val="24"/>
        </w:rPr>
      </w:pPr>
      <w:r>
        <w:t xml:space="preserve">3) has been suspended or removed from office or work or has lost the right to engage in a certain activity for the non-compliance with the statutory requirements for good repute or for infringement of legal acts regulating the financial market and less than three years have elapsed from the day of suspension or removal from office or work or from loss of the right to engage in a certain </w:t>
      </w:r>
      <w:proofErr w:type="gramStart"/>
      <w:r>
        <w:t>activity;</w:t>
      </w:r>
      <w:proofErr w:type="gramEnd"/>
    </w:p>
    <w:p w14:paraId="0922E400" w14:textId="77777777" w:rsidR="00ED3A7E" w:rsidRPr="000550CF" w:rsidRDefault="00ED3A7E" w:rsidP="00F3494E">
      <w:pPr>
        <w:ind w:firstLine="720"/>
        <w:jc w:val="both"/>
        <w:rPr>
          <w:szCs w:val="24"/>
        </w:rPr>
      </w:pPr>
      <w:r>
        <w:t>4) abuses psychotropic, narcotic, other psycho-stimulating substances or alcohol;</w:t>
      </w:r>
    </w:p>
    <w:p w14:paraId="1A917C77" w14:textId="45955764" w:rsidR="00ED3A7E" w:rsidRDefault="00ED3A7E" w:rsidP="00F3494E">
      <w:pPr>
        <w:ind w:firstLine="720"/>
        <w:jc w:val="both"/>
        <w:rPr>
          <w:bCs/>
          <w:szCs w:val="24"/>
        </w:rPr>
      </w:pPr>
      <w:r>
        <w:t>5) the supervisory authority recognises that other circumstances referred to in paragraph 6 of this Article are significant and give reasonable grounds for doubting the person’s ability to ensure the reliable and prudent governance of the firm or the proper fulfilment of other functions established by this Law.</w:t>
      </w:r>
    </w:p>
    <w:p w14:paraId="7048E8F3" w14:textId="77777777" w:rsidR="00E35836" w:rsidRDefault="00E35836" w:rsidP="00E35836">
      <w:pPr>
        <w:spacing w:line="360" w:lineRule="atLeast"/>
        <w:ind w:firstLine="720"/>
        <w:jc w:val="both"/>
        <w:rPr>
          <w:color w:val="000000"/>
        </w:rPr>
      </w:pPr>
      <w:r>
        <w:rPr>
          <w:color w:val="000000"/>
        </w:rPr>
        <w:t>8. Managers of a financial brokerage firm shall be responsible for a sound and safe operation of the firm, shall determine the strategic goals, the risks that the firm is or may be exposed to, including the business cycle-related risk of the macroeconomic environment and the business cycle risks, the management strategy and policy, shall ensure the effective continuous management of fulfilment of the strategic goals, risk management strategy and policy as well as sound internal governance of the firm and shall regularly review the firm’s strategic goals, risk management strategy and policy. The firm’s internal documentation shall establish the accountability to managers and the procedure for informing them about risks significant to the firm, the strategy and policy for managing these risks, as well as their changes.</w:t>
      </w:r>
    </w:p>
    <w:p w14:paraId="381DA0DF" w14:textId="77777777" w:rsidR="00E35836" w:rsidRDefault="00E35836" w:rsidP="00E35836">
      <w:pPr>
        <w:rPr>
          <w:color w:val="000000"/>
        </w:rPr>
      </w:pPr>
      <w:r>
        <w:rPr>
          <w:i/>
          <w:iCs/>
          <w:color w:val="000000"/>
          <w:sz w:val="20"/>
        </w:rPr>
        <w:t>Supplemented with the paragraph to the Article:</w:t>
      </w:r>
    </w:p>
    <w:p w14:paraId="280C4A25" w14:textId="0F595B5D" w:rsidR="00E35836" w:rsidRDefault="00E35836" w:rsidP="00E35836">
      <w:pPr>
        <w:jc w:val="both"/>
        <w:rPr>
          <w:color w:val="000000"/>
        </w:rPr>
      </w:pPr>
      <w:r>
        <w:rPr>
          <w:i/>
          <w:iCs/>
          <w:color w:val="000000"/>
          <w:sz w:val="20"/>
        </w:rPr>
        <w:t xml:space="preserve">No </w:t>
      </w:r>
      <w:hyperlink r:id="rId71" w:tgtFrame="_parent" w:history="1">
        <w:r>
          <w:rPr>
            <w:rStyle w:val="Hyperlink"/>
            <w:i/>
            <w:iCs/>
            <w:sz w:val="20"/>
          </w:rPr>
          <w:t>XIV-821</w:t>
        </w:r>
      </w:hyperlink>
      <w:r>
        <w:rPr>
          <w:i/>
          <w:iCs/>
          <w:color w:val="000000"/>
          <w:sz w:val="20"/>
        </w:rPr>
        <w:t>, 23/12/2021, published in the RLA, 30/12/2021, ID code 2021-27710</w:t>
      </w:r>
    </w:p>
    <w:p w14:paraId="7A853059" w14:textId="77777777" w:rsidR="00E35836" w:rsidRDefault="00E35836" w:rsidP="00E35836">
      <w:pPr>
        <w:spacing w:line="360" w:lineRule="atLeast"/>
        <w:ind w:firstLine="720"/>
        <w:jc w:val="both"/>
        <w:rPr>
          <w:color w:val="000000"/>
        </w:rPr>
      </w:pPr>
      <w:bookmarkStart w:id="17" w:name="part_cf9df018d0e44794a29f816239e11a9a"/>
      <w:bookmarkEnd w:id="17"/>
      <w:r>
        <w:rPr>
          <w:color w:val="000000"/>
        </w:rPr>
        <w:t>9. Managers of a financial brokerage firm shall allocate time to ensure the implementation of the measures referred to in paragraph 8 of this Article.  Managers of a brokerage firm shall allocate resources to manage the risks that the financial brokerage firm is exposed to.</w:t>
      </w:r>
    </w:p>
    <w:p w14:paraId="629CCE66" w14:textId="77777777" w:rsidR="00E35836" w:rsidRDefault="00E35836" w:rsidP="00E35836">
      <w:pPr>
        <w:rPr>
          <w:color w:val="000000"/>
        </w:rPr>
      </w:pPr>
      <w:r>
        <w:rPr>
          <w:i/>
          <w:iCs/>
          <w:color w:val="000000"/>
          <w:sz w:val="20"/>
        </w:rPr>
        <w:t>Supplemented with the paragraph to the Article:</w:t>
      </w:r>
    </w:p>
    <w:p w14:paraId="099801F7" w14:textId="671F56E5" w:rsidR="00E35836" w:rsidRDefault="00E35836" w:rsidP="00E35836">
      <w:pPr>
        <w:jc w:val="both"/>
        <w:rPr>
          <w:color w:val="000000"/>
        </w:rPr>
      </w:pPr>
      <w:r>
        <w:rPr>
          <w:i/>
          <w:iCs/>
          <w:color w:val="000000"/>
          <w:sz w:val="20"/>
        </w:rPr>
        <w:t xml:space="preserve">No </w:t>
      </w:r>
      <w:hyperlink r:id="rId72" w:tgtFrame="_parent" w:history="1">
        <w:r>
          <w:rPr>
            <w:rStyle w:val="Hyperlink"/>
            <w:i/>
            <w:iCs/>
            <w:sz w:val="20"/>
          </w:rPr>
          <w:t>XIV-821</w:t>
        </w:r>
      </w:hyperlink>
      <w:r>
        <w:rPr>
          <w:i/>
          <w:iCs/>
          <w:color w:val="000000"/>
          <w:sz w:val="20"/>
        </w:rPr>
        <w:t>, 23/12/2021, published in the RLA, 30/12/2021, ID code 2021-27710</w:t>
      </w:r>
    </w:p>
    <w:p w14:paraId="27900991" w14:textId="77777777" w:rsidR="00E35836" w:rsidRDefault="00E35836" w:rsidP="00E35836">
      <w:pPr>
        <w:spacing w:line="360" w:lineRule="atLeast"/>
        <w:ind w:firstLine="720"/>
        <w:jc w:val="both"/>
        <w:rPr>
          <w:color w:val="000000"/>
        </w:rPr>
      </w:pPr>
      <w:bookmarkStart w:id="18" w:name="part_fc17797445dd4bc8a776a1718c5e26fc"/>
      <w:bookmarkEnd w:id="18"/>
      <w:r>
        <w:rPr>
          <w:color w:val="000000"/>
        </w:rPr>
        <w:t>10. The supervisory board of the financial brokerage firm, or where it is not formed – the board and the risk committee, if any, shall be given access to information about the risk situation of the firm and, if necessary and appropriate, the possibility to consult with external experts.</w:t>
      </w:r>
    </w:p>
    <w:p w14:paraId="5BCBD94A" w14:textId="77777777" w:rsidR="00E35836" w:rsidRDefault="00E35836" w:rsidP="00E35836">
      <w:pPr>
        <w:rPr>
          <w:color w:val="000000"/>
        </w:rPr>
      </w:pPr>
      <w:r>
        <w:rPr>
          <w:i/>
          <w:iCs/>
          <w:color w:val="000000"/>
          <w:sz w:val="20"/>
        </w:rPr>
        <w:t>Supplemented with the paragraph to the Article:</w:t>
      </w:r>
    </w:p>
    <w:p w14:paraId="365BCF04" w14:textId="77777777" w:rsidR="00E35836" w:rsidRDefault="00E35836" w:rsidP="00E35836">
      <w:pPr>
        <w:jc w:val="both"/>
        <w:rPr>
          <w:color w:val="000000"/>
        </w:rPr>
      </w:pPr>
      <w:r>
        <w:rPr>
          <w:i/>
          <w:iCs/>
          <w:color w:val="000000"/>
          <w:sz w:val="20"/>
        </w:rPr>
        <w:t xml:space="preserve">No </w:t>
      </w:r>
      <w:hyperlink r:id="rId73" w:tgtFrame="_parent" w:history="1">
        <w:r>
          <w:rPr>
            <w:rStyle w:val="Hyperlink"/>
            <w:i/>
            <w:iCs/>
            <w:sz w:val="20"/>
          </w:rPr>
          <w:t>XIV-821</w:t>
        </w:r>
      </w:hyperlink>
      <w:r>
        <w:rPr>
          <w:i/>
          <w:iCs/>
          <w:color w:val="000000"/>
          <w:sz w:val="20"/>
        </w:rPr>
        <w:t>, 23/12/2021, published in the RLA, 30/12/2021, ID code 2021-27710</w:t>
      </w:r>
    </w:p>
    <w:p w14:paraId="0D466A80" w14:textId="77777777" w:rsidR="00E35836" w:rsidRPr="000550CF" w:rsidRDefault="00E35836" w:rsidP="00F3494E">
      <w:pPr>
        <w:ind w:firstLine="720"/>
        <w:jc w:val="both"/>
        <w:rPr>
          <w:bCs/>
          <w:szCs w:val="24"/>
        </w:rPr>
      </w:pPr>
    </w:p>
    <w:p w14:paraId="5A609800" w14:textId="77777777" w:rsidR="00ED3A7E" w:rsidRPr="000550CF" w:rsidRDefault="00ED3A7E" w:rsidP="002E02BA">
      <w:pPr>
        <w:widowControl w:val="0"/>
        <w:jc w:val="both"/>
        <w:rPr>
          <w:szCs w:val="24"/>
          <w:lang w:eastAsia="lt-LT"/>
        </w:rPr>
      </w:pPr>
    </w:p>
    <w:p w14:paraId="46B42FBC" w14:textId="77777777" w:rsidR="00ED3A7E" w:rsidRPr="000550CF" w:rsidRDefault="00ED3A7E" w:rsidP="00980F80">
      <w:pPr>
        <w:suppressAutoHyphens/>
        <w:ind w:left="2410" w:hanging="1690"/>
        <w:jc w:val="both"/>
        <w:textAlignment w:val="baseline"/>
        <w:rPr>
          <w:b/>
          <w:szCs w:val="24"/>
        </w:rPr>
      </w:pPr>
      <w:r>
        <w:rPr>
          <w:b/>
        </w:rPr>
        <w:t xml:space="preserve">Article 10. Specific features of notification about </w:t>
      </w:r>
      <w:r>
        <w:rPr>
          <w:b/>
          <w:szCs w:val="24"/>
        </w:rPr>
        <w:t xml:space="preserve">convening of an extraordinary general meeting of shareholders of a financial brokerage firm </w:t>
      </w:r>
    </w:p>
    <w:p w14:paraId="0998232E" w14:textId="77777777" w:rsidR="00ED3A7E" w:rsidRPr="000550CF" w:rsidRDefault="00ED3A7E" w:rsidP="00F3494E">
      <w:pPr>
        <w:widowControl w:val="0"/>
        <w:ind w:firstLine="720"/>
        <w:jc w:val="both"/>
        <w:rPr>
          <w:szCs w:val="24"/>
        </w:rPr>
      </w:pPr>
      <w:r>
        <w:t>1. A general meeting of shareholders of a financial brokerage firm which is subject to the requirement specified in Article 14(2) of this Law may decide by at least 2/3 majority vote of all votes conferred by shares held by shareholders present at the meeting that where a temporary administrator is appointed in accordance with Article 104 of this Law or where according to the assessment of the supervisory authority the conditions referred to in Article 102(7) of this Law are met and it is necessary to increase the capital in order to avoid the conditions of restructuring defined in Article 42 of the Law on Financial Stability, the notification about convening of an extraordinary general meeting regarding the capital increase should be issued within a shorter period than specified in Article 26(4), (5) and (6) and Article 26</w:t>
      </w:r>
      <w:r>
        <w:rPr>
          <w:szCs w:val="24"/>
          <w:vertAlign w:val="superscript"/>
        </w:rPr>
        <w:t>1</w:t>
      </w:r>
      <w:r>
        <w:t>(3), (4) and (5) of the Law on Companies, or may take a decision to amend the articles of association to provide for a possibility of a shorter period of notice. A notification about convening of an extraordinary general meeting of shareholders, in any case, shall be given not later than ten days before the meeting.</w:t>
      </w:r>
    </w:p>
    <w:p w14:paraId="2C8A540F" w14:textId="77777777" w:rsidR="00ED3A7E" w:rsidRPr="000550CF" w:rsidRDefault="00ED3A7E" w:rsidP="00F3494E">
      <w:pPr>
        <w:widowControl w:val="0"/>
        <w:ind w:firstLine="720"/>
        <w:jc w:val="both"/>
        <w:rPr>
          <w:szCs w:val="24"/>
        </w:rPr>
      </w:pPr>
      <w:r>
        <w:lastRenderedPageBreak/>
        <w:t>2. Where, in the case specified in paragraph 1 of this Article, a general meeting of shareholders is convened at a shorter notice, the following shall not apply: the provisions of Article 21(1) of the Law on Companies regarding the recording date of the general meeting of shareholders; the provisions of Article 25(3) of the Law on Companies regarding the term for submission of a proposal to supplement the agenda of the general meeting of shareholders and the obligation specified in Article 25(5) of the Law on Companies to notify the shareholders of the supplements to the agenda of the general meeting of shareholders not later than ten days before the general meeting of shareholders; the requirement specified in Article 26(7) of the Law on Companies to obtain a written consent of all shareholders to convene the general meeting of shareholders disregarding the time limits set in Article 26(4), (5) and (6) of the Law on Companies.</w:t>
      </w:r>
    </w:p>
    <w:p w14:paraId="51C78DB4" w14:textId="77777777" w:rsidR="00ED3A7E" w:rsidRPr="000550CF" w:rsidRDefault="00ED3A7E" w:rsidP="00F3494E">
      <w:pPr>
        <w:widowControl w:val="0"/>
        <w:ind w:firstLine="720"/>
        <w:rPr>
          <w:szCs w:val="24"/>
          <w:lang w:eastAsia="lt-LT"/>
        </w:rPr>
      </w:pPr>
    </w:p>
    <w:p w14:paraId="6F940C74" w14:textId="77777777" w:rsidR="00ED3A7E" w:rsidRPr="000550CF" w:rsidRDefault="00ED3A7E" w:rsidP="00F3494E">
      <w:pPr>
        <w:widowControl w:val="0"/>
        <w:ind w:firstLine="720"/>
        <w:rPr>
          <w:szCs w:val="24"/>
        </w:rPr>
      </w:pPr>
      <w:r>
        <w:rPr>
          <w:b/>
          <w:szCs w:val="24"/>
        </w:rPr>
        <w:t>Article 11. Acquisition and disposal of shares of a financial brokerage firm</w:t>
      </w:r>
    </w:p>
    <w:p w14:paraId="1DAEA4B8" w14:textId="77777777" w:rsidR="00ED3A7E" w:rsidRPr="000550CF" w:rsidRDefault="00ED3A7E" w:rsidP="00F3494E">
      <w:pPr>
        <w:widowControl w:val="0"/>
        <w:ind w:firstLine="720"/>
        <w:jc w:val="both"/>
        <w:rPr>
          <w:szCs w:val="24"/>
        </w:rPr>
      </w:pPr>
      <w:r>
        <w:t xml:space="preserve">1. An acquirer shall obtain the supervisory authority’s decision to oppose the proposed acquisition. The non-compliance with this requirement shall not nullify the transaction; however, it shall entail the consequences set forth in paragraph 23 of this Article. </w:t>
      </w:r>
    </w:p>
    <w:p w14:paraId="4FF1F3F2" w14:textId="77777777" w:rsidR="00ED3A7E" w:rsidRPr="000550CF" w:rsidRDefault="00ED3A7E" w:rsidP="00F3494E">
      <w:pPr>
        <w:widowControl w:val="0"/>
        <w:ind w:firstLine="720"/>
        <w:jc w:val="both"/>
        <w:rPr>
          <w:szCs w:val="24"/>
        </w:rPr>
      </w:pPr>
      <w:r>
        <w:t>2. In determining whether the criteria applicable to a qualifying holding of the capital and/or of the voting rights under this Article are fulfilled, the voting rights or shares the financial brokerage firms may hold after the provision of investment services of underwriting and/or distribution of financial instruments on a firm commitment basis shall not be taken into account provided that such rights are not exercised or are not used otherwise in order to intervene in the management of the issuer and provided that they are disposed within one year of their acquisition.</w:t>
      </w:r>
    </w:p>
    <w:p w14:paraId="1028613C" w14:textId="77777777" w:rsidR="00ED3A7E" w:rsidRPr="000550CF" w:rsidRDefault="00ED3A7E" w:rsidP="00F3494E">
      <w:pPr>
        <w:ind w:firstLine="720"/>
        <w:jc w:val="both"/>
      </w:pPr>
      <w:r>
        <w:t xml:space="preserve">3. An acquirer must notify in writing the supervisory authority of the proposed acquisition and indicate the amount of the qualifying holding of the capital and/or of the voting rights intended to be acquired in the financial brokerage </w:t>
      </w:r>
      <w:proofErr w:type="gramStart"/>
      <w:r>
        <w:t>firm, and</w:t>
      </w:r>
      <w:proofErr w:type="gramEnd"/>
      <w:r>
        <w:t xml:space="preserve"> provide the supporting documents and other information and data specified by the supervisory authority.</w:t>
      </w:r>
    </w:p>
    <w:p w14:paraId="7826F7DC" w14:textId="77777777" w:rsidR="00ED3A7E" w:rsidRPr="000550CF" w:rsidRDefault="00ED3A7E" w:rsidP="00F3494E">
      <w:pPr>
        <w:widowControl w:val="0"/>
        <w:ind w:firstLine="720"/>
        <w:jc w:val="both"/>
        <w:rPr>
          <w:szCs w:val="24"/>
        </w:rPr>
      </w:pPr>
      <w:r>
        <w:t>4. A person who has taken a decision to dispose or to reduce, either directly or indirectly, a qualifying holding of the capital and/or of the voting rights held in a financial  brokerage firm as a result of which the proportion of the voting rights or of the capital held would reach or exceed20 %, 30 % or 50 %  in a descending order, or so that the firm would cease being the subsidiary of that legal person, shall notify the supervisory authority in writing, indicating the size of the qualifying holding of the capital and/or of the voting rights intended to be disposed or reduced in the financial brokerage firm.</w:t>
      </w:r>
    </w:p>
    <w:p w14:paraId="09FFB48D" w14:textId="77777777" w:rsidR="00ED3A7E" w:rsidRPr="000550CF" w:rsidRDefault="00ED3A7E" w:rsidP="00F3494E">
      <w:pPr>
        <w:widowControl w:val="0"/>
        <w:ind w:firstLine="720"/>
        <w:jc w:val="both"/>
        <w:rPr>
          <w:szCs w:val="24"/>
        </w:rPr>
      </w:pPr>
      <w:r>
        <w:t>5. The supervisory authority shall establish a list of documents and data to be submitted along with the notification of the proposed acquisition necessary to carry out the assessment of the acquirer and the proposed acquisition. The documents and data specified in this list shall be proportionate and adapted for the assessment of the acquirer and of the proposed acquisition. The list shall not specify any documents and data that are not necessary for the assessment of the acquirer and of the proposed acquisition in accordance with the criteria set out in paragraph 10 of this Article.</w:t>
      </w:r>
    </w:p>
    <w:p w14:paraId="31BE41FE" w14:textId="77777777" w:rsidR="00ED3A7E" w:rsidRPr="000550CF" w:rsidRDefault="00ED3A7E" w:rsidP="00F3494E">
      <w:pPr>
        <w:widowControl w:val="0"/>
        <w:ind w:firstLine="720"/>
        <w:jc w:val="both"/>
        <w:rPr>
          <w:szCs w:val="24"/>
        </w:rPr>
      </w:pPr>
      <w:r>
        <w:t>6. The supervisory authority shall acknowledge in writing the receipt of the notification of the proposed acquisition and of further documents and data under paragraph 8 of this Article promptly and in any event within two working days following the receipt and shall inform the acquirer of the date of the expiry of the period of assessment of the acquirer and of the proposed acquisition (hereinafter in thus Article – the assessment period).</w:t>
      </w:r>
    </w:p>
    <w:p w14:paraId="6AF66CA9" w14:textId="77777777" w:rsidR="00ED3A7E" w:rsidRPr="000550CF" w:rsidRDefault="00ED3A7E" w:rsidP="00F3494E">
      <w:pPr>
        <w:widowControl w:val="0"/>
        <w:ind w:firstLine="720"/>
        <w:jc w:val="both"/>
        <w:rPr>
          <w:szCs w:val="24"/>
        </w:rPr>
      </w:pPr>
      <w:r>
        <w:t xml:space="preserve">7. The supervisory authority shall have a maximum of 60 working days as from the date of the written acknowledgement of the receipt of the notification and all documents and data </w:t>
      </w:r>
      <w:proofErr w:type="gramStart"/>
      <w:r>
        <w:t>on the basis of</w:t>
      </w:r>
      <w:proofErr w:type="gramEnd"/>
      <w:r>
        <w:t xml:space="preserve"> the list referred to in paragraph 5 of this Article to carry out the assessment.</w:t>
      </w:r>
    </w:p>
    <w:p w14:paraId="0AB382DD" w14:textId="77777777" w:rsidR="00ED3A7E" w:rsidRPr="000550CF" w:rsidRDefault="00ED3A7E" w:rsidP="00F3494E">
      <w:pPr>
        <w:widowControl w:val="0"/>
        <w:ind w:firstLine="720"/>
        <w:jc w:val="both"/>
        <w:rPr>
          <w:szCs w:val="24"/>
        </w:rPr>
      </w:pPr>
      <w:r>
        <w:t xml:space="preserve">8. The supervisory authority may, during the assessment period if necessary, and no later than on the 50th working day of the assessment period, request further documents and data that are necessary to complete the assessment. Such a request shall be made in writing and shall specify the additional information needed. For the period between the date of request for additional documents and data by the supervisory authority and the receipt of a response thereto by the proposed acquirer, the assessment period shall be suspended. The suspension shall not exceed 20 working days. Any </w:t>
      </w:r>
      <w:r>
        <w:lastRenderedPageBreak/>
        <w:t>further requests by the supervisory authority for submission of additional documents and data or for their clarification shall be at its discretion but shall not result in a suspension of the assessment period.</w:t>
      </w:r>
    </w:p>
    <w:p w14:paraId="23B00851" w14:textId="77777777" w:rsidR="00ED3A7E" w:rsidRPr="000550CF" w:rsidRDefault="00ED3A7E" w:rsidP="00F3494E">
      <w:pPr>
        <w:widowControl w:val="0"/>
        <w:ind w:firstLine="720"/>
        <w:jc w:val="both"/>
        <w:rPr>
          <w:szCs w:val="24"/>
        </w:rPr>
      </w:pPr>
      <w:r>
        <w:t>9. The supervisory authority may extend the suspension of the assessment period referred to in paragraph 8 of this Article up to thirty working days if the proposed acquirer is situated or regulated in a third country or is a natural or legal person not subject to supervision under legal acts of Member States regulating activities of financial brokerage firms, management companies of harmonised collective investment undertakings, credit institutions, insurance or reinsurance undertakings.</w:t>
      </w:r>
    </w:p>
    <w:p w14:paraId="333BCF76" w14:textId="77777777" w:rsidR="00ED3A7E" w:rsidRPr="000550CF" w:rsidRDefault="00ED3A7E" w:rsidP="00F3494E">
      <w:pPr>
        <w:ind w:firstLine="720"/>
        <w:jc w:val="both"/>
        <w:rPr>
          <w:szCs w:val="24"/>
        </w:rPr>
      </w:pPr>
      <w:r>
        <w:t>10.  In assessing the notification provided for in paragraph 3 of this Article and the documents and data necessary for carrying out the assessment of the acquirer and of the proposed acquisition, the supervisory authority shall assess the suitability of the acquirer and the financial soundness of the proposed acquisition in accordance with the following criteria:</w:t>
      </w:r>
    </w:p>
    <w:p w14:paraId="1892B903" w14:textId="77777777" w:rsidR="00ED3A7E" w:rsidRPr="000550CF" w:rsidRDefault="00ED3A7E" w:rsidP="00F3494E">
      <w:pPr>
        <w:widowControl w:val="0"/>
        <w:ind w:firstLine="720"/>
        <w:jc w:val="both"/>
        <w:rPr>
          <w:szCs w:val="24"/>
        </w:rPr>
      </w:pPr>
      <w:r>
        <w:t>1) the impeccable reputation of the acquirer;</w:t>
      </w:r>
    </w:p>
    <w:p w14:paraId="4FD06515" w14:textId="77777777" w:rsidR="00ED3A7E" w:rsidRPr="000550CF" w:rsidRDefault="00ED3A7E" w:rsidP="00F3494E">
      <w:pPr>
        <w:widowControl w:val="0"/>
        <w:ind w:firstLine="720"/>
        <w:jc w:val="both"/>
        <w:rPr>
          <w:szCs w:val="24"/>
        </w:rPr>
      </w:pPr>
      <w:r>
        <w:t xml:space="preserve">2) the reputation and experience of any person who will direct the business of the financial brokerage firm as a result of the proposed acquisition; for the purpose of carrying out this assessment the supervisory authority shall act in accordance with provisions of Article 9 of this </w:t>
      </w:r>
      <w:proofErr w:type="gramStart"/>
      <w:r>
        <w:t>Law;</w:t>
      </w:r>
      <w:proofErr w:type="gramEnd"/>
      <w:r>
        <w:t xml:space="preserve"> </w:t>
      </w:r>
    </w:p>
    <w:p w14:paraId="08C2AAED" w14:textId="77777777" w:rsidR="00ED3A7E" w:rsidRPr="000550CF" w:rsidRDefault="00ED3A7E" w:rsidP="00F3494E">
      <w:pPr>
        <w:widowControl w:val="0"/>
        <w:ind w:firstLine="720"/>
        <w:jc w:val="both"/>
        <w:rPr>
          <w:szCs w:val="24"/>
        </w:rPr>
      </w:pPr>
      <w:r>
        <w:t xml:space="preserve">3) the financial soundness of the acquirer, in particular in relation to the type of pursued or envisaged business of the financial brokerage firm in which the acquisition or increase of a qualifying holding of the capital and/or of the voting rights is </w:t>
      </w:r>
      <w:proofErr w:type="gramStart"/>
      <w:r>
        <w:t>proposed;</w:t>
      </w:r>
      <w:proofErr w:type="gramEnd"/>
    </w:p>
    <w:p w14:paraId="2F2406D6" w14:textId="77777777" w:rsidR="00ED3A7E" w:rsidRPr="000550CF" w:rsidRDefault="00ED3A7E" w:rsidP="00F3494E">
      <w:pPr>
        <w:widowControl w:val="0"/>
        <w:ind w:firstLine="720"/>
        <w:jc w:val="both"/>
        <w:rPr>
          <w:szCs w:val="24"/>
        </w:rPr>
      </w:pPr>
      <w:r>
        <w:t xml:space="preserve">4) whether the financial brokerage firm will be able to comply with the prudential requirements, whether a structure of the group of which it will become part after the proposed acquisition makes it possible to perform effective supervision, to effectively exchange information among the supervisory authority and supervisory authorities of other Member States, and to determine the allocation of responsibilities among the supervisory authority and supervisory authorities of other Member </w:t>
      </w:r>
      <w:proofErr w:type="gramStart"/>
      <w:r>
        <w:t>States;</w:t>
      </w:r>
      <w:proofErr w:type="gramEnd"/>
    </w:p>
    <w:p w14:paraId="14271730" w14:textId="77777777" w:rsidR="00ED3A7E" w:rsidRPr="000550CF" w:rsidRDefault="00ED3A7E" w:rsidP="00F3494E">
      <w:pPr>
        <w:widowControl w:val="0"/>
        <w:ind w:firstLine="720"/>
        <w:jc w:val="both"/>
        <w:rPr>
          <w:szCs w:val="24"/>
        </w:rPr>
      </w:pPr>
      <w:r>
        <w:t>5) whether there are any grounds for believing that in connection with the proposed acquisition money laundering or terrorist financing within the meaning of the Law of the Republic of Lithuania on the Prevention of Money Laundering and Terrorist Financing is being or has been committed or attempted, or that the proposed acquisition could increase the risk thereof.</w:t>
      </w:r>
    </w:p>
    <w:p w14:paraId="3AB13EF1" w14:textId="77777777" w:rsidR="00ED3A7E" w:rsidRPr="000550CF" w:rsidRDefault="00ED3A7E" w:rsidP="00F3494E">
      <w:pPr>
        <w:widowControl w:val="0"/>
        <w:ind w:firstLine="720"/>
        <w:jc w:val="both"/>
        <w:rPr>
          <w:szCs w:val="24"/>
        </w:rPr>
      </w:pPr>
      <w:r>
        <w:t>11. The supervisory authority shall neither impose any prior conditions in respect of the level of a qualifying holding of the capital and/or of the voting rights of a financial brokerage firm that must be acquired nor examine the proposed acquisition in terms of the economic needs of the market.</w:t>
      </w:r>
    </w:p>
    <w:p w14:paraId="3CC8675D" w14:textId="77777777" w:rsidR="00ED3A7E" w:rsidRPr="000550CF" w:rsidRDefault="00ED3A7E" w:rsidP="00F3494E">
      <w:pPr>
        <w:widowControl w:val="0"/>
        <w:ind w:firstLine="720"/>
        <w:jc w:val="both"/>
        <w:rPr>
          <w:szCs w:val="24"/>
        </w:rPr>
      </w:pPr>
      <w:r>
        <w:t>12. The supervisory authority may oppose the proposed acquisition only relying on the criteria set forth in paragraph 10 of this Article or the acquirer has provided not all documents and data provided to the supervisory authority under paragraphs 5 or 8 of this Article, or the information provided by the acquirer is incomplete or wrong.</w:t>
      </w:r>
    </w:p>
    <w:p w14:paraId="6F321D05" w14:textId="77777777" w:rsidR="00ED3A7E" w:rsidRPr="000550CF" w:rsidRDefault="00ED3A7E" w:rsidP="00F3494E">
      <w:pPr>
        <w:widowControl w:val="0"/>
        <w:ind w:firstLine="720"/>
        <w:jc w:val="both"/>
        <w:rPr>
          <w:szCs w:val="24"/>
        </w:rPr>
      </w:pPr>
      <w:r>
        <w:t>13. Before taking a decision on the proposed acquisition, the supervisory authority shall consult supervisory authorities of other Member States where the acquirer is a financial brokerage firm, a management company of the harmonized collective investment undertaking, a credit institution, an insurance undertaking, a reinsurance undertaking, or a parent undertaking or a controlling person of any of the aforementioned entities licensed in the Member State.</w:t>
      </w:r>
    </w:p>
    <w:p w14:paraId="70903888" w14:textId="77777777" w:rsidR="00ED3A7E" w:rsidRPr="000550CF" w:rsidRDefault="00ED3A7E" w:rsidP="00F3494E">
      <w:pPr>
        <w:widowControl w:val="0"/>
        <w:ind w:firstLine="720"/>
        <w:jc w:val="both"/>
        <w:rPr>
          <w:szCs w:val="24"/>
        </w:rPr>
      </w:pPr>
      <w:r>
        <w:t>14. When consulting under paragraph 13 of this Article, the supervisory authority shall request from other supervisory authorities any information which is relevant for the assessment of the suitability of the acquirer and of the financial reliability of the proposed acquisition and shall, without undue delay, provide other supervisory authorities with the information requested by them which is relevant for the assessment carried out by such other supervisory authorities and shall communicate on its own initiative all essential information necessary for the assessment being carried out.</w:t>
      </w:r>
    </w:p>
    <w:p w14:paraId="67D5B303" w14:textId="77777777" w:rsidR="00ED3A7E" w:rsidRPr="000550CF" w:rsidRDefault="00ED3A7E" w:rsidP="00F3494E">
      <w:pPr>
        <w:widowControl w:val="0"/>
        <w:ind w:firstLine="720"/>
        <w:jc w:val="both"/>
        <w:rPr>
          <w:szCs w:val="24"/>
        </w:rPr>
      </w:pPr>
      <w:r>
        <w:t>15. Where the supervisory authority does not take a decision to oppose the proposed acquisition during the assessment period, it shall be deemed that the supervisory authority does not object to the proposed acquisition. Where the supervisory authority decides not to oppose the proposed acquisition before the end of the assessment period, the supervisory authority shall notify the acquirer of the taken decision in writing within two working days.</w:t>
      </w:r>
    </w:p>
    <w:p w14:paraId="0C4172CE" w14:textId="77777777" w:rsidR="00ED3A7E" w:rsidRPr="000550CF" w:rsidRDefault="00ED3A7E" w:rsidP="00F3494E">
      <w:pPr>
        <w:widowControl w:val="0"/>
        <w:ind w:firstLine="720"/>
        <w:jc w:val="both"/>
        <w:rPr>
          <w:szCs w:val="24"/>
        </w:rPr>
      </w:pPr>
      <w:r>
        <w:t xml:space="preserve">16. Where the supervisory authority decides not to oppose the proposed acquisition, it may </w:t>
      </w:r>
      <w:r>
        <w:lastRenderedPageBreak/>
        <w:t>fix and, if necessary, extend the maximum period for the implementation of the intended acquisition or increase of a qualifying holding of the capital and/or of the voting rights of a financial brokerage firm.</w:t>
      </w:r>
    </w:p>
    <w:p w14:paraId="45DDEDDA" w14:textId="77777777" w:rsidR="00ED3A7E" w:rsidRPr="000550CF" w:rsidRDefault="00ED3A7E" w:rsidP="00F3494E">
      <w:pPr>
        <w:widowControl w:val="0"/>
        <w:ind w:firstLine="720"/>
        <w:jc w:val="both"/>
        <w:rPr>
          <w:szCs w:val="24"/>
        </w:rPr>
      </w:pPr>
      <w:r>
        <w:t xml:space="preserve">17. Where, after completing the assessment, the supervisory authority decides to oppose the proposed acquisition, it shall notify the acquirer about that in writing within two working days of adoption of the decision not exceeding the assessment </w:t>
      </w:r>
      <w:proofErr w:type="gramStart"/>
      <w:r>
        <w:t>period, and</w:t>
      </w:r>
      <w:proofErr w:type="gramEnd"/>
      <w:r>
        <w:t xml:space="preserve"> state the reasons of decision.</w:t>
      </w:r>
    </w:p>
    <w:p w14:paraId="6DFA93B1" w14:textId="77777777" w:rsidR="00ED3A7E" w:rsidRPr="000550CF" w:rsidRDefault="00ED3A7E" w:rsidP="00F3494E">
      <w:pPr>
        <w:widowControl w:val="0"/>
        <w:ind w:firstLine="720"/>
        <w:jc w:val="both"/>
        <w:rPr>
          <w:szCs w:val="24"/>
        </w:rPr>
      </w:pPr>
      <w:r>
        <w:t>18. Any views and reservations received from other supervisory authorities in accordance with paragraphs 13 and 14 of this Article shall be provided in the decision of the supervisory authority on the proposed acquisition. The supervisory authority’s decision to oppose the proposed acquisition may be appealed before a court. The supervisory authority shall publish the decision and its reasons regardless of whether the acquirer’s consent is obtained. The supervisory authority shall be entitled not to publish the decision and its reasons where such publication would cause damage to the market or disproportionate damage to persons involved.</w:t>
      </w:r>
    </w:p>
    <w:p w14:paraId="4100E2CA" w14:textId="77777777" w:rsidR="00ED3A7E" w:rsidRPr="000550CF" w:rsidRDefault="00ED3A7E" w:rsidP="00F3494E">
      <w:pPr>
        <w:widowControl w:val="0"/>
        <w:ind w:firstLine="720"/>
        <w:jc w:val="both"/>
        <w:rPr>
          <w:szCs w:val="24"/>
        </w:rPr>
      </w:pPr>
      <w:r>
        <w:t>19. Where more than one notification of a proposed acquisition is received by the supervisory authority from the same financial brokerage firm, the supervisory authority shall examine all notifications according to the same procedure in a non-discriminatory manner.</w:t>
      </w:r>
    </w:p>
    <w:p w14:paraId="5A093207" w14:textId="77777777" w:rsidR="00ED3A7E" w:rsidRPr="000550CF" w:rsidRDefault="00ED3A7E" w:rsidP="00F3494E">
      <w:pPr>
        <w:widowControl w:val="0"/>
        <w:ind w:firstLine="720"/>
        <w:jc w:val="both"/>
        <w:rPr>
          <w:szCs w:val="24"/>
        </w:rPr>
      </w:pPr>
      <w:r>
        <w:t>20. Where a financial brokerage firm becomes aware of any acquisitions or disposals of its shares that cause the qualifying holdings of the capital and/or of the voting rights held by the firm’s shareholders to exceed or fall below any of the established thresholds of the proposed acquisition, the firm must inform about that the supervisory authority without undue delay.</w:t>
      </w:r>
    </w:p>
    <w:p w14:paraId="2DD11DCC" w14:textId="77777777" w:rsidR="00ED3A7E" w:rsidRPr="000550CF" w:rsidRDefault="00ED3A7E" w:rsidP="00F3494E">
      <w:pPr>
        <w:ind w:firstLine="720"/>
        <w:jc w:val="both"/>
      </w:pPr>
      <w:r>
        <w:t>21. A financial brokerage firm shall at least once a year submit a notification to the supervisory authority specifying the firm’s shareholders who hold the qualifying holding of the capital and/or of the voting rights of the firm, and the amounts of the qualifying holding of the capital and/or of the voting rights held by them. The information shall be provided based on the data available on the date of the annual general meeting of shareholders, and where the shares of the firm are admitted to trading on a regulated market – in compliance with the requirements established by legal acts applicable to companies whose securities are traded on a regulated market.</w:t>
      </w:r>
    </w:p>
    <w:p w14:paraId="4A70DA20" w14:textId="77777777" w:rsidR="00ED3A7E" w:rsidRPr="000550CF" w:rsidRDefault="00ED3A7E" w:rsidP="00F3494E">
      <w:pPr>
        <w:widowControl w:val="0"/>
        <w:ind w:firstLine="720"/>
        <w:jc w:val="both"/>
        <w:rPr>
          <w:szCs w:val="24"/>
        </w:rPr>
      </w:pPr>
      <w:r>
        <w:t>22. Where the impact produced by acquirers poses a threat to sound and transparent governance of a financial brokerage firm, the supervisory authority shall have the right to give mandatory instructions and apply sanctions defined in this Law to managers and other persons responsible for the management of the firm.</w:t>
      </w:r>
    </w:p>
    <w:p w14:paraId="666CCE3F" w14:textId="77777777" w:rsidR="00ED3A7E" w:rsidRPr="000550CF" w:rsidRDefault="00ED3A7E" w:rsidP="00F3494E">
      <w:pPr>
        <w:widowControl w:val="0"/>
        <w:ind w:firstLine="720"/>
        <w:jc w:val="both"/>
        <w:rPr>
          <w:szCs w:val="24"/>
        </w:rPr>
      </w:pPr>
      <w:r>
        <w:t>23. All shares of the person who has acquired a qualifying holding of the capital and/or of the voting rights or who has increased a qualifying holding of the capital and/or of the voting rights of the financial brokerage firm exceeding the established thresholds of the proposed acquisition without the supervisory authority’s decision not to oppose the proposed acquisition or before the expiry of the deadline set forth in paragraph 7 of this Article (except where the decision of the supervisory authority not to oppose the proposed acquisition is taken earlier) shall have no right to vote at the general meeting of shareholders. The right to vote shall be reacquired on the date on which the decision of the supervisory authority not to oppose the proposed acquisition is received, or where the supervisory authority does not oppose the proposed acquisition within the assessment period.</w:t>
      </w:r>
    </w:p>
    <w:p w14:paraId="773131CE" w14:textId="77777777" w:rsidR="00ED3A7E" w:rsidRPr="000550CF" w:rsidRDefault="00ED3A7E" w:rsidP="00F3494E">
      <w:pPr>
        <w:widowControl w:val="0"/>
        <w:ind w:firstLine="720"/>
        <w:jc w:val="both"/>
        <w:rPr>
          <w:b/>
          <w:szCs w:val="24"/>
          <w:lang w:eastAsia="lt-LT"/>
        </w:rPr>
      </w:pPr>
    </w:p>
    <w:p w14:paraId="3550B3C2" w14:textId="77777777" w:rsidR="00ED3A7E" w:rsidRPr="000550CF" w:rsidRDefault="00ED3A7E" w:rsidP="00F3494E">
      <w:pPr>
        <w:widowControl w:val="0"/>
        <w:ind w:left="2410" w:hanging="1690"/>
        <w:jc w:val="both"/>
        <w:rPr>
          <w:szCs w:val="24"/>
        </w:rPr>
      </w:pPr>
      <w:r>
        <w:rPr>
          <w:b/>
          <w:szCs w:val="24"/>
        </w:rPr>
        <w:t xml:space="preserve">Article 12. Membership in an accredited investor compensation scheme </w:t>
      </w:r>
    </w:p>
    <w:p w14:paraId="740CE022" w14:textId="77777777" w:rsidR="00ED3A7E" w:rsidRPr="000550CF" w:rsidRDefault="00ED3A7E" w:rsidP="00F3494E">
      <w:pPr>
        <w:widowControl w:val="0"/>
        <w:ind w:firstLine="720"/>
        <w:jc w:val="both"/>
        <w:rPr>
          <w:szCs w:val="24"/>
        </w:rPr>
      </w:pPr>
      <w:r>
        <w:t xml:space="preserve">An applicant for a financial brokerage firm license must </w:t>
      </w:r>
      <w:proofErr w:type="gramStart"/>
      <w:r>
        <w:t>insure</w:t>
      </w:r>
      <w:proofErr w:type="gramEnd"/>
      <w:r>
        <w:t xml:space="preserve"> the firm’s obligations to investors in accordance with the procedure established by the Law on Insurance of Deposits and Liabilities to Investors.</w:t>
      </w:r>
    </w:p>
    <w:p w14:paraId="2CFF5D35" w14:textId="77777777" w:rsidR="00ED3A7E" w:rsidRPr="000550CF" w:rsidRDefault="00ED3A7E" w:rsidP="00F3494E">
      <w:pPr>
        <w:widowControl w:val="0"/>
        <w:ind w:firstLine="720"/>
        <w:jc w:val="both"/>
        <w:rPr>
          <w:szCs w:val="24"/>
          <w:lang w:eastAsia="lt-LT"/>
        </w:rPr>
      </w:pPr>
    </w:p>
    <w:p w14:paraId="5BA7809C" w14:textId="77777777" w:rsidR="00ED3A7E" w:rsidRPr="000550CF" w:rsidRDefault="00ED3A7E" w:rsidP="00F3494E">
      <w:pPr>
        <w:widowControl w:val="0"/>
        <w:ind w:firstLine="720"/>
        <w:jc w:val="both"/>
        <w:rPr>
          <w:szCs w:val="24"/>
          <w:lang w:eastAsia="lt-LT"/>
        </w:rPr>
      </w:pPr>
    </w:p>
    <w:p w14:paraId="43FDD004" w14:textId="78BAA652" w:rsidR="00ED3A7E" w:rsidRPr="000550CF" w:rsidRDefault="00ED3A7E" w:rsidP="00F3494E">
      <w:pPr>
        <w:widowControl w:val="0"/>
        <w:ind w:firstLine="720"/>
        <w:jc w:val="both"/>
        <w:rPr>
          <w:szCs w:val="24"/>
        </w:rPr>
      </w:pPr>
      <w:r>
        <w:rPr>
          <w:b/>
          <w:szCs w:val="24"/>
        </w:rPr>
        <w:t xml:space="preserve">Article 13.  </w:t>
      </w:r>
      <w:r>
        <w:rPr>
          <w:b/>
          <w:bCs/>
          <w:color w:val="000000"/>
        </w:rPr>
        <w:t>Prudential requirements</w:t>
      </w:r>
    </w:p>
    <w:p w14:paraId="3E7E2A17" w14:textId="77777777" w:rsidR="00E35836" w:rsidRDefault="00E35836" w:rsidP="00E35836">
      <w:pPr>
        <w:spacing w:line="360" w:lineRule="atLeast"/>
        <w:ind w:firstLine="720"/>
        <w:jc w:val="both"/>
        <w:rPr>
          <w:color w:val="000000"/>
        </w:rPr>
      </w:pPr>
      <w:r>
        <w:rPr>
          <w:color w:val="000000"/>
        </w:rPr>
        <w:t>1. An applicant for a financial brokerage firm licence shall be required to fulfil the capital requirements and other prudential requirements set forth in this Law, Regulation (EU) 2019/2033 and other legal acts regulating capital and other prudential requirements set for financial brokerage firms.</w:t>
      </w:r>
    </w:p>
    <w:p w14:paraId="09219072" w14:textId="77777777" w:rsidR="00E35836" w:rsidRPr="00BE49BD" w:rsidRDefault="00E35836" w:rsidP="00E35836">
      <w:pPr>
        <w:spacing w:line="360" w:lineRule="atLeast"/>
        <w:ind w:firstLine="720"/>
        <w:jc w:val="both"/>
        <w:rPr>
          <w:color w:val="000000"/>
        </w:rPr>
      </w:pPr>
      <w:bookmarkStart w:id="19" w:name="part_9cecdb51e1b34235868577069aa092cc"/>
      <w:bookmarkEnd w:id="19"/>
      <w:r>
        <w:rPr>
          <w:color w:val="000000"/>
        </w:rPr>
        <w:lastRenderedPageBreak/>
        <w:t>2. By the decision of the supervisory authority, the prudential requirements set forth in the sixth paragraph of Article 1(5) of Regulation (EU) 2019/2033 which also apply to credit institutions, may be applied mutatis mutandis to a financial brokerage firm engaged in the activities referred to in points 3 and 6 of Article 3(26) of this Law when the value of its consolidated assets calculated as the average of the previous 12 consecutive months is equal to or greater than €5 billion and is in line with at least one of the conditions specified in paragraph 3 of this Article. Such a financial brokerage firm shall be subject to prudential requirements set out in this Law, Regulation (EU) No 575/2013, the Republic of Lithuania Law on Banks and other legal acts governing the operations of credit institutions.</w:t>
      </w:r>
    </w:p>
    <w:p w14:paraId="67AF21F4" w14:textId="77777777" w:rsidR="00E35836" w:rsidRPr="00BE49BD" w:rsidRDefault="00E35836" w:rsidP="00E35836">
      <w:pPr>
        <w:spacing w:line="360" w:lineRule="atLeast"/>
        <w:ind w:firstLine="720"/>
        <w:jc w:val="both"/>
        <w:rPr>
          <w:color w:val="000000"/>
        </w:rPr>
      </w:pPr>
      <w:bookmarkStart w:id="20" w:name="part_cd01d158e40a4e34b3a7bbc8186c3343"/>
      <w:bookmarkEnd w:id="20"/>
      <w:r>
        <w:rPr>
          <w:color w:val="000000"/>
        </w:rPr>
        <w:t>3. The decision referred to in paragraph 2 of this Article shall be adopted only if the financial brokerage firm carries out the activities specified in that paragraph to such an extent that its inability to meet its obligations or the difficulties experienced could cause systemic risk, and/or if the financial brokerage firm is a clearing member as defined in point 3 of Article 4(1) of Regulation (EU) 2019/2033, and/or if, based on a reasonable assessment by the supervisory authority, taking into account the size, nature, scale and complexity of operations of the financial brokerage firm and the principle of proportionality, it is determined that a decision is necessary due to the significance of the financial brokerage firm to the economy of the country or of the European Union and/or the significance of its cross-border activities, and/or its interconnections with the financial system.</w:t>
      </w:r>
    </w:p>
    <w:p w14:paraId="44B684DA" w14:textId="77777777" w:rsidR="00E35836" w:rsidRPr="00BE49BD" w:rsidRDefault="00E35836" w:rsidP="00E35836">
      <w:pPr>
        <w:spacing w:line="360" w:lineRule="atLeast"/>
        <w:ind w:firstLine="720"/>
        <w:jc w:val="both"/>
        <w:rPr>
          <w:color w:val="000000"/>
        </w:rPr>
      </w:pPr>
      <w:bookmarkStart w:id="21" w:name="part_464e4b8d9e3c4e34bfe250f11f03f584"/>
      <w:bookmarkEnd w:id="21"/>
      <w:r>
        <w:rPr>
          <w:color w:val="000000"/>
        </w:rPr>
        <w:t>4. The decision of the supervisory authority referred to in paragraph 2 of this Article shall be revoked if the value of the consolidated assets of the financial brokerage firm are no longer within the limit specified in that paragraph during 12 consecutive months.</w:t>
      </w:r>
    </w:p>
    <w:p w14:paraId="291378A9" w14:textId="77777777" w:rsidR="00E35836" w:rsidRPr="00BE49BD" w:rsidRDefault="00E35836" w:rsidP="00E35836">
      <w:pPr>
        <w:spacing w:line="360" w:lineRule="atLeast"/>
        <w:ind w:firstLine="720"/>
        <w:jc w:val="both"/>
        <w:rPr>
          <w:color w:val="000000"/>
        </w:rPr>
      </w:pPr>
      <w:bookmarkStart w:id="22" w:name="part_bcd20a2d2572437094cbd1f3ade2ebcc"/>
      <w:bookmarkEnd w:id="22"/>
      <w:r>
        <w:rPr>
          <w:color w:val="000000"/>
        </w:rPr>
        <w:t>5. When the supervisory authority adopts or revokes the decision referred to in paragraph 2 of this Article, it shall immediately notify thereof the financial brokerage firm and the European Banking Authority.</w:t>
      </w:r>
    </w:p>
    <w:p w14:paraId="6B08C096" w14:textId="77777777" w:rsidR="00E35836" w:rsidRPr="00BE49BD" w:rsidRDefault="00E35836" w:rsidP="00E35836">
      <w:pPr>
        <w:spacing w:line="360" w:lineRule="atLeast"/>
        <w:ind w:firstLine="720"/>
        <w:jc w:val="both"/>
        <w:rPr>
          <w:color w:val="000000"/>
        </w:rPr>
      </w:pPr>
      <w:bookmarkStart w:id="23" w:name="part_9238e24209c14534a9b0b0d732261062"/>
      <w:bookmarkEnd w:id="23"/>
      <w:r>
        <w:rPr>
          <w:color w:val="000000"/>
        </w:rPr>
        <w:t>6. If a financial brokerage firm determines that it no longer fulfils the conditions specified in Article 12(1) of Regulation (EU) 2019/2033, it shall immediately notify the supervisory authority thereof and shall be required to start following the requirements set forth in paragraphs 8 to 10 of Article 9, Articles 15</w:t>
      </w:r>
      <w:r>
        <w:rPr>
          <w:color w:val="000000"/>
          <w:vertAlign w:val="superscript"/>
        </w:rPr>
        <w:t>4</w:t>
      </w:r>
      <w:r>
        <w:rPr>
          <w:color w:val="000000"/>
        </w:rPr>
        <w:t>, 15</w:t>
      </w:r>
      <w:r>
        <w:rPr>
          <w:color w:val="000000"/>
          <w:vertAlign w:val="superscript"/>
        </w:rPr>
        <w:t>5</w:t>
      </w:r>
      <w:r>
        <w:rPr>
          <w:color w:val="000000"/>
        </w:rPr>
        <w:t xml:space="preserve"> and 44</w:t>
      </w:r>
      <w:r>
        <w:rPr>
          <w:color w:val="000000"/>
          <w:vertAlign w:val="superscript"/>
        </w:rPr>
        <w:t>1</w:t>
      </w:r>
      <w:r>
        <w:rPr>
          <w:color w:val="000000"/>
        </w:rPr>
        <w:t xml:space="preserve"> of this Law no later than 12 months after the day on which it itself determined that it does not fulfil the conditions specified in Article 12(1) of Regulation (EU) 2019/2033.</w:t>
      </w:r>
    </w:p>
    <w:p w14:paraId="49D1287D" w14:textId="77777777" w:rsidR="00E35836" w:rsidRDefault="00E35836" w:rsidP="00E35836">
      <w:pPr>
        <w:spacing w:line="360" w:lineRule="atLeast"/>
        <w:ind w:firstLine="720"/>
        <w:jc w:val="both"/>
        <w:rPr>
          <w:color w:val="000000"/>
        </w:rPr>
      </w:pPr>
      <w:bookmarkStart w:id="24" w:name="part_56e76167ad134971826b55d3c972cef5"/>
      <w:bookmarkEnd w:id="24"/>
      <w:r>
        <w:rPr>
          <w:color w:val="000000"/>
        </w:rPr>
        <w:t>7. Articles 9(8)-(10), 15</w:t>
      </w:r>
      <w:r>
        <w:rPr>
          <w:color w:val="000000"/>
          <w:vertAlign w:val="superscript"/>
        </w:rPr>
        <w:t>4</w:t>
      </w:r>
      <w:r>
        <w:rPr>
          <w:color w:val="000000"/>
        </w:rPr>
        <w:t>, 15</w:t>
      </w:r>
      <w:r>
        <w:rPr>
          <w:color w:val="000000"/>
          <w:vertAlign w:val="superscript"/>
        </w:rPr>
        <w:t>5</w:t>
      </w:r>
      <w:r>
        <w:rPr>
          <w:color w:val="000000"/>
        </w:rPr>
        <w:t>, 15</w:t>
      </w:r>
      <w:r>
        <w:rPr>
          <w:color w:val="000000"/>
          <w:vertAlign w:val="superscript"/>
        </w:rPr>
        <w:t>6</w:t>
      </w:r>
      <w:r>
        <w:rPr>
          <w:color w:val="000000"/>
        </w:rPr>
        <w:t xml:space="preserve"> and 44</w:t>
      </w:r>
      <w:r>
        <w:rPr>
          <w:color w:val="000000"/>
          <w:vertAlign w:val="superscript"/>
        </w:rPr>
        <w:t>1</w:t>
      </w:r>
      <w:r>
        <w:rPr>
          <w:color w:val="000000"/>
        </w:rPr>
        <w:t xml:space="preserve"> of this Law and Article 8 of Regulation (EU) 2019/2033 apply individually to the financial brokerage firm.</w:t>
      </w:r>
    </w:p>
    <w:p w14:paraId="780B0FC2" w14:textId="77777777" w:rsidR="00E35836" w:rsidRDefault="00E35836" w:rsidP="00E35836">
      <w:pPr>
        <w:spacing w:line="360" w:lineRule="atLeast"/>
        <w:ind w:firstLine="720"/>
        <w:jc w:val="both"/>
        <w:rPr>
          <w:color w:val="000000"/>
        </w:rPr>
      </w:pPr>
      <w:bookmarkStart w:id="25" w:name="part_09a3d70e0c9a48b0bf0e366356e884f8"/>
      <w:bookmarkEnd w:id="25"/>
      <w:r>
        <w:rPr>
          <w:color w:val="000000"/>
        </w:rPr>
        <w:t>8. If a financial brokerage firm is subject to the provisions of Article 7 of Regulation (EU) 2019/2033, the requirements specified in Articles 9(8)-(10), 15</w:t>
      </w:r>
      <w:r>
        <w:rPr>
          <w:color w:val="000000"/>
          <w:vertAlign w:val="superscript"/>
        </w:rPr>
        <w:t>4</w:t>
      </w:r>
      <w:r>
        <w:rPr>
          <w:color w:val="000000"/>
        </w:rPr>
        <w:t>, 15</w:t>
      </w:r>
      <w:r>
        <w:rPr>
          <w:color w:val="000000"/>
          <w:vertAlign w:val="superscript"/>
        </w:rPr>
        <w:t>5</w:t>
      </w:r>
      <w:r>
        <w:rPr>
          <w:color w:val="000000"/>
        </w:rPr>
        <w:t>, 15</w:t>
      </w:r>
      <w:r>
        <w:rPr>
          <w:color w:val="000000"/>
          <w:vertAlign w:val="superscript"/>
        </w:rPr>
        <w:t>6</w:t>
      </w:r>
      <w:r>
        <w:rPr>
          <w:color w:val="000000"/>
        </w:rPr>
        <w:t xml:space="preserve"> and 44</w:t>
      </w:r>
      <w:r>
        <w:rPr>
          <w:color w:val="000000"/>
          <w:vertAlign w:val="superscript"/>
        </w:rPr>
        <w:t>1</w:t>
      </w:r>
      <w:r>
        <w:rPr>
          <w:color w:val="000000"/>
        </w:rPr>
        <w:t xml:space="preserve"> of this Law shall be applied to it in an individual and consolidated manner.</w:t>
      </w:r>
    </w:p>
    <w:p w14:paraId="5B688933" w14:textId="77777777" w:rsidR="00E35836" w:rsidRDefault="00E35836" w:rsidP="00E35836">
      <w:pPr>
        <w:spacing w:line="360" w:lineRule="atLeast"/>
        <w:ind w:firstLine="720"/>
        <w:jc w:val="both"/>
        <w:rPr>
          <w:color w:val="000000"/>
        </w:rPr>
      </w:pPr>
      <w:bookmarkStart w:id="26" w:name="part_cf39a9159fdb41cf871f556190225e46"/>
      <w:bookmarkEnd w:id="26"/>
      <w:r>
        <w:rPr>
          <w:color w:val="000000"/>
        </w:rPr>
        <w:t>9. The requirements specified in Articles 9(8)-(10), 10, 15</w:t>
      </w:r>
      <w:r>
        <w:rPr>
          <w:color w:val="000000"/>
          <w:vertAlign w:val="superscript"/>
        </w:rPr>
        <w:t>4</w:t>
      </w:r>
      <w:r>
        <w:rPr>
          <w:color w:val="000000"/>
        </w:rPr>
        <w:t>, 15</w:t>
      </w:r>
      <w:r>
        <w:rPr>
          <w:color w:val="000000"/>
          <w:vertAlign w:val="superscript"/>
        </w:rPr>
        <w:t>5</w:t>
      </w:r>
      <w:r>
        <w:rPr>
          <w:color w:val="000000"/>
        </w:rPr>
        <w:t>, 15</w:t>
      </w:r>
      <w:r>
        <w:rPr>
          <w:color w:val="000000"/>
          <w:vertAlign w:val="superscript"/>
        </w:rPr>
        <w:t>6</w:t>
      </w:r>
      <w:r>
        <w:rPr>
          <w:color w:val="000000"/>
        </w:rPr>
        <w:t xml:space="preserve"> and 44</w:t>
      </w:r>
      <w:r>
        <w:rPr>
          <w:color w:val="000000"/>
          <w:vertAlign w:val="superscript"/>
        </w:rPr>
        <w:t>1</w:t>
      </w:r>
      <w:r>
        <w:rPr>
          <w:color w:val="000000"/>
        </w:rPr>
        <w:t xml:space="preserve"> of this Law shall not apply to subsidiaries in a consolidated situation that are established in third countries if the parent undertaking of the financial brokerage firm operating or established in the European Union can demonstrate to the supervisory authority that application of these requirements to that subsidiary is unlawful under the legislation of the third country in which it is located.</w:t>
      </w:r>
    </w:p>
    <w:p w14:paraId="54644FF4" w14:textId="77777777" w:rsidR="00E35836" w:rsidRDefault="00E35836" w:rsidP="00E35836">
      <w:pPr>
        <w:spacing w:line="360" w:lineRule="atLeast"/>
        <w:ind w:firstLine="720"/>
        <w:jc w:val="both"/>
        <w:rPr>
          <w:color w:val="000000"/>
        </w:rPr>
      </w:pPr>
      <w:bookmarkStart w:id="27" w:name="part_529d4b5aabb84ff2892065c004dc3393"/>
      <w:bookmarkEnd w:id="27"/>
      <w:r>
        <w:rPr>
          <w:color w:val="000000"/>
        </w:rPr>
        <w:lastRenderedPageBreak/>
        <w:t>10. Paragraphs 2-5 of this Article shall not apply to commodity and emission allowance dealers.</w:t>
      </w:r>
    </w:p>
    <w:p w14:paraId="275C2918" w14:textId="77777777" w:rsidR="00E35836" w:rsidRDefault="00E35836" w:rsidP="00E35836">
      <w:pPr>
        <w:spacing w:line="360" w:lineRule="atLeast"/>
        <w:ind w:firstLine="720"/>
        <w:jc w:val="both"/>
        <w:rPr>
          <w:color w:val="000000"/>
        </w:rPr>
      </w:pPr>
      <w:bookmarkStart w:id="28" w:name="part_ea774de66177412e866040afb951941f"/>
      <w:bookmarkEnd w:id="28"/>
      <w:r>
        <w:rPr>
          <w:color w:val="000000"/>
        </w:rPr>
        <w:t>11. If a financial brokerage firm determines that it complies with all the conditions specified in Article 12(1) of Regulation (EU) 2019/2033, it shall immediately notify the supervisory authority and, after 6 months of uninterrupted compliance with the conditions, it shall no longer be subject to the requirements of Articles 9(8)-(10), 15</w:t>
      </w:r>
      <w:r>
        <w:rPr>
          <w:color w:val="000000"/>
          <w:vertAlign w:val="superscript"/>
        </w:rPr>
        <w:t>4</w:t>
      </w:r>
      <w:r>
        <w:rPr>
          <w:color w:val="000000"/>
        </w:rPr>
        <w:t>, 15</w:t>
      </w:r>
      <w:r>
        <w:rPr>
          <w:color w:val="000000"/>
          <w:vertAlign w:val="superscript"/>
        </w:rPr>
        <w:t>5</w:t>
      </w:r>
      <w:r>
        <w:rPr>
          <w:color w:val="000000"/>
        </w:rPr>
        <w:t>, 15</w:t>
      </w:r>
      <w:r>
        <w:rPr>
          <w:color w:val="000000"/>
          <w:vertAlign w:val="superscript"/>
        </w:rPr>
        <w:t>6</w:t>
      </w:r>
      <w:r>
        <w:rPr>
          <w:color w:val="000000"/>
        </w:rPr>
        <w:t xml:space="preserve"> and 44</w:t>
      </w:r>
      <w:r>
        <w:rPr>
          <w:color w:val="000000"/>
          <w:vertAlign w:val="superscript"/>
        </w:rPr>
        <w:t>1</w:t>
      </w:r>
      <w:r>
        <w:rPr>
          <w:color w:val="000000"/>
        </w:rPr>
        <w:t xml:space="preserve"> of this Law.</w:t>
      </w:r>
    </w:p>
    <w:p w14:paraId="15A15550" w14:textId="77777777" w:rsidR="00E35836" w:rsidRDefault="00E35836" w:rsidP="00E35836">
      <w:pPr>
        <w:rPr>
          <w:color w:val="000000"/>
          <w:sz w:val="27"/>
          <w:szCs w:val="27"/>
        </w:rPr>
      </w:pPr>
      <w:r>
        <w:rPr>
          <w:i/>
          <w:iCs/>
          <w:color w:val="000000"/>
          <w:sz w:val="20"/>
        </w:rPr>
        <w:t>Amendments to Article:</w:t>
      </w:r>
    </w:p>
    <w:p w14:paraId="69529E80" w14:textId="77777777" w:rsidR="00E35836" w:rsidRDefault="00E35836" w:rsidP="00E35836">
      <w:pPr>
        <w:jc w:val="both"/>
        <w:rPr>
          <w:color w:val="000000"/>
          <w:sz w:val="27"/>
          <w:szCs w:val="27"/>
        </w:rPr>
      </w:pPr>
      <w:r>
        <w:rPr>
          <w:i/>
          <w:iCs/>
          <w:color w:val="000000"/>
          <w:sz w:val="20"/>
        </w:rPr>
        <w:t xml:space="preserve">No </w:t>
      </w:r>
      <w:hyperlink r:id="rId74" w:tgtFrame="_parent" w:history="1">
        <w:r>
          <w:rPr>
            <w:rStyle w:val="Hyperlink"/>
            <w:i/>
            <w:iCs/>
            <w:sz w:val="20"/>
          </w:rPr>
          <w:t>XIV-821</w:t>
        </w:r>
      </w:hyperlink>
      <w:r>
        <w:rPr>
          <w:i/>
          <w:iCs/>
          <w:color w:val="000000"/>
          <w:sz w:val="20"/>
        </w:rPr>
        <w:t>, 23/12/2021, published in the RLA, 30/12/2021, ID code 2021-27710</w:t>
      </w:r>
    </w:p>
    <w:p w14:paraId="0D758867" w14:textId="77777777" w:rsidR="00E35836" w:rsidRPr="000550CF" w:rsidRDefault="00E35836" w:rsidP="00F3494E">
      <w:pPr>
        <w:widowControl w:val="0"/>
        <w:ind w:firstLine="720"/>
        <w:jc w:val="both"/>
        <w:rPr>
          <w:szCs w:val="24"/>
          <w:lang w:eastAsia="lt-LT"/>
        </w:rPr>
      </w:pPr>
    </w:p>
    <w:p w14:paraId="626C6B59" w14:textId="77777777" w:rsidR="00ED3A7E" w:rsidRPr="000550CF" w:rsidRDefault="00ED3A7E" w:rsidP="00295BE5">
      <w:pPr>
        <w:widowControl w:val="0"/>
        <w:jc w:val="both"/>
        <w:rPr>
          <w:szCs w:val="24"/>
          <w:lang w:eastAsia="lt-LT"/>
        </w:rPr>
      </w:pPr>
    </w:p>
    <w:p w14:paraId="745F225A" w14:textId="77777777" w:rsidR="00ED3A7E" w:rsidRPr="000550CF" w:rsidRDefault="00ED3A7E" w:rsidP="00F3494E">
      <w:pPr>
        <w:widowControl w:val="0"/>
        <w:ind w:firstLine="720"/>
        <w:jc w:val="both"/>
        <w:rPr>
          <w:szCs w:val="24"/>
        </w:rPr>
      </w:pPr>
      <w:r>
        <w:rPr>
          <w:b/>
          <w:szCs w:val="24"/>
        </w:rPr>
        <w:t xml:space="preserve">Article 14. Initial capital requirements  </w:t>
      </w:r>
    </w:p>
    <w:p w14:paraId="20DF2E92" w14:textId="77777777" w:rsidR="00371B85" w:rsidRDefault="00371B85" w:rsidP="00371B85">
      <w:pPr>
        <w:spacing w:line="360" w:lineRule="atLeast"/>
        <w:ind w:firstLine="720"/>
        <w:jc w:val="both"/>
        <w:rPr>
          <w:color w:val="000000"/>
        </w:rPr>
      </w:pPr>
      <w:r>
        <w:rPr>
          <w:color w:val="000000"/>
        </w:rPr>
        <w:t>1. The initial capital of a financial brokerage firm shall be formed in accordance with the requirements of Article 9 of Regulation (EU) 2019/2033.</w:t>
      </w:r>
    </w:p>
    <w:p w14:paraId="2D0A656A" w14:textId="77777777" w:rsidR="00371B85" w:rsidRPr="00BE49BD" w:rsidRDefault="00371B85" w:rsidP="00371B85">
      <w:pPr>
        <w:spacing w:line="360" w:lineRule="atLeast"/>
        <w:ind w:firstLine="720"/>
        <w:jc w:val="both"/>
        <w:rPr>
          <w:color w:val="000000"/>
        </w:rPr>
      </w:pPr>
      <w:bookmarkStart w:id="29" w:name="part_eef81fe22c4c40ba87bbaab13992c24e"/>
      <w:bookmarkEnd w:id="29"/>
      <w:r>
        <w:rPr>
          <w:color w:val="000000"/>
        </w:rPr>
        <w:t>2. The initial capital of financial brokerage firms which may provide one or more of the investment services or carry out investing activities referred to in sub-paragraphs 3 and 6 of Article 3(26) of this Law shall be minimum €750 thousand.</w:t>
      </w:r>
    </w:p>
    <w:p w14:paraId="02E16D33" w14:textId="77777777" w:rsidR="00371B85" w:rsidRPr="00BE49BD" w:rsidRDefault="00371B85" w:rsidP="00371B85">
      <w:pPr>
        <w:spacing w:line="360" w:lineRule="atLeast"/>
        <w:ind w:firstLine="720"/>
        <w:jc w:val="both"/>
        <w:rPr>
          <w:color w:val="000000"/>
        </w:rPr>
      </w:pPr>
      <w:bookmarkStart w:id="30" w:name="part_2aed7d68232e44e0bfe7c37fb64bdc8e"/>
      <w:bookmarkEnd w:id="30"/>
      <w:r>
        <w:rPr>
          <w:color w:val="000000"/>
        </w:rPr>
        <w:t>3. The initial capital of financial brokerage firms which may provide one or more of the investment services or carry out investing activities referred to in sub-paragraphs 1, 2, 4, 5 and 7 of Article 3(26) of this Law but which do not have the right to keep in custody the clients’ money or financial instruments owned by them, shall be minimum €75 thousand.</w:t>
      </w:r>
    </w:p>
    <w:p w14:paraId="1D270144" w14:textId="77777777" w:rsidR="00371B85" w:rsidRPr="00BE49BD" w:rsidRDefault="00371B85" w:rsidP="00371B85">
      <w:pPr>
        <w:spacing w:line="360" w:lineRule="atLeast"/>
        <w:ind w:firstLine="720"/>
        <w:jc w:val="both"/>
        <w:rPr>
          <w:color w:val="000000"/>
        </w:rPr>
      </w:pPr>
      <w:bookmarkStart w:id="31" w:name="part_9c2ef8452d624949b2492e8da1e23abc"/>
      <w:bookmarkEnd w:id="31"/>
      <w:r>
        <w:rPr>
          <w:color w:val="000000"/>
        </w:rPr>
        <w:t xml:space="preserve">4. The initial capital of financial brokerage firms, </w:t>
      </w:r>
      <w:proofErr w:type="gramStart"/>
      <w:r>
        <w:rPr>
          <w:color w:val="000000"/>
        </w:rPr>
        <w:t>with the exception of</w:t>
      </w:r>
      <w:proofErr w:type="gramEnd"/>
      <w:r>
        <w:rPr>
          <w:color w:val="000000"/>
        </w:rPr>
        <w:t xml:space="preserve"> the firms specified in paragraphs 2, 3 and 5 of this Article, shall be no less than €150 thousand.</w:t>
      </w:r>
    </w:p>
    <w:p w14:paraId="7C6848F8" w14:textId="77777777" w:rsidR="00371B85" w:rsidRPr="00BE49BD" w:rsidRDefault="00371B85" w:rsidP="00371B85">
      <w:pPr>
        <w:spacing w:line="360" w:lineRule="atLeast"/>
        <w:ind w:firstLine="720"/>
        <w:jc w:val="both"/>
        <w:rPr>
          <w:color w:val="000000"/>
        </w:rPr>
      </w:pPr>
      <w:bookmarkStart w:id="32" w:name="part_4670985c81474c7e95ed53c1284a1a52"/>
      <w:bookmarkEnd w:id="32"/>
      <w:r>
        <w:rPr>
          <w:color w:val="000000"/>
        </w:rPr>
        <w:t xml:space="preserve">5. The initial capital of financial brokerage firms which provide investment services or carry out activities referred to in sub-paragraph 9 of Article 3(26) of this Law and which have the right to </w:t>
      </w:r>
      <w:proofErr w:type="gramStart"/>
      <w:r>
        <w:rPr>
          <w:color w:val="000000"/>
        </w:rPr>
        <w:t>enter into</w:t>
      </w:r>
      <w:proofErr w:type="gramEnd"/>
      <w:r>
        <w:rPr>
          <w:color w:val="000000"/>
        </w:rPr>
        <w:t xml:space="preserve"> transactions on their own account or undertake the relevant activity, shall be minimum €750 thousand.</w:t>
      </w:r>
    </w:p>
    <w:p w14:paraId="47C45CF0" w14:textId="77777777" w:rsidR="00371B85" w:rsidRDefault="00371B85" w:rsidP="00371B85">
      <w:pPr>
        <w:rPr>
          <w:color w:val="000000"/>
          <w:sz w:val="27"/>
          <w:szCs w:val="27"/>
        </w:rPr>
      </w:pPr>
      <w:r>
        <w:rPr>
          <w:i/>
          <w:iCs/>
          <w:color w:val="000000"/>
          <w:sz w:val="20"/>
        </w:rPr>
        <w:t>Amendments to Article:</w:t>
      </w:r>
    </w:p>
    <w:p w14:paraId="532E2CFE" w14:textId="77777777" w:rsidR="00371B85" w:rsidRDefault="00371B85" w:rsidP="00371B85">
      <w:pPr>
        <w:jc w:val="both"/>
        <w:rPr>
          <w:color w:val="000000"/>
          <w:sz w:val="27"/>
          <w:szCs w:val="27"/>
        </w:rPr>
      </w:pPr>
      <w:r>
        <w:rPr>
          <w:i/>
          <w:iCs/>
          <w:color w:val="000000"/>
          <w:sz w:val="20"/>
        </w:rPr>
        <w:t xml:space="preserve">No </w:t>
      </w:r>
      <w:hyperlink r:id="rId75" w:tgtFrame="_parent" w:history="1">
        <w:r>
          <w:rPr>
            <w:rStyle w:val="Hyperlink"/>
            <w:i/>
            <w:iCs/>
            <w:sz w:val="20"/>
          </w:rPr>
          <w:t>XIV-821</w:t>
        </w:r>
      </w:hyperlink>
      <w:r>
        <w:rPr>
          <w:i/>
          <w:iCs/>
          <w:color w:val="000000"/>
          <w:sz w:val="20"/>
        </w:rPr>
        <w:t>, 23/12/2021, published in the RLA, 30/12/2021, ID code 2021-27710</w:t>
      </w:r>
    </w:p>
    <w:p w14:paraId="5522815E" w14:textId="74BBD958" w:rsidR="00ED3A7E" w:rsidRDefault="00ED3A7E" w:rsidP="00F3494E">
      <w:pPr>
        <w:widowControl w:val="0"/>
        <w:ind w:firstLine="720"/>
        <w:jc w:val="both"/>
        <w:rPr>
          <w:rFonts w:ascii="Tahoma" w:hAnsi="Tahoma" w:cs="Tahoma"/>
          <w:b/>
          <w:bCs/>
          <w:color w:val="333333"/>
          <w:sz w:val="23"/>
          <w:szCs w:val="23"/>
          <w:shd w:val="clear" w:color="auto" w:fill="FFFFFF"/>
        </w:rPr>
      </w:pPr>
    </w:p>
    <w:p w14:paraId="403BF0B3" w14:textId="77777777" w:rsidR="00371B85" w:rsidRDefault="00371B85" w:rsidP="00371B85">
      <w:pPr>
        <w:spacing w:line="360" w:lineRule="atLeast"/>
        <w:ind w:firstLine="720"/>
        <w:jc w:val="both"/>
        <w:rPr>
          <w:color w:val="000000"/>
        </w:rPr>
      </w:pPr>
      <w:r>
        <w:rPr>
          <w:b/>
          <w:bCs/>
          <w:color w:val="000000"/>
        </w:rPr>
        <w:t>Article 14</w:t>
      </w:r>
      <w:r>
        <w:rPr>
          <w:b/>
          <w:bCs/>
          <w:color w:val="000000"/>
          <w:vertAlign w:val="superscript"/>
        </w:rPr>
        <w:t>1</w:t>
      </w:r>
      <w:r>
        <w:rPr>
          <w:b/>
          <w:bCs/>
          <w:color w:val="000000"/>
        </w:rPr>
        <w:t>. Internal capital and liquid assets requirements</w:t>
      </w:r>
    </w:p>
    <w:p w14:paraId="568DE170" w14:textId="77777777" w:rsidR="00371B85" w:rsidRDefault="00371B85" w:rsidP="00371B85">
      <w:pPr>
        <w:spacing w:line="360" w:lineRule="atLeast"/>
        <w:ind w:firstLine="720"/>
        <w:jc w:val="both"/>
        <w:rPr>
          <w:color w:val="000000"/>
        </w:rPr>
      </w:pPr>
      <w:bookmarkStart w:id="33" w:name="part_0b66f845a84241ccb24edf9c2220d52c"/>
      <w:bookmarkEnd w:id="33"/>
      <w:r>
        <w:rPr>
          <w:color w:val="000000"/>
        </w:rPr>
        <w:t xml:space="preserve">1. In a financial brokerage firm, </w:t>
      </w:r>
      <w:proofErr w:type="gramStart"/>
      <w:r>
        <w:rPr>
          <w:color w:val="000000"/>
        </w:rPr>
        <w:t>taking into account</w:t>
      </w:r>
      <w:proofErr w:type="gramEnd"/>
      <w:r>
        <w:rPr>
          <w:color w:val="000000"/>
        </w:rPr>
        <w:t xml:space="preserve"> the nature, scale and complexity of the firm’s activities, a proportional, effective and functional procedure, strategy and processes for determining the need for internal capital and liquid assets must be set up. This procedure, strategy and processes shall be established and regularly reviewed by the managers of the financial brokerage firm.</w:t>
      </w:r>
    </w:p>
    <w:p w14:paraId="1C0E7170" w14:textId="77777777" w:rsidR="00371B85" w:rsidRDefault="00371B85" w:rsidP="00371B85">
      <w:pPr>
        <w:spacing w:line="360" w:lineRule="atLeast"/>
        <w:ind w:firstLine="720"/>
        <w:jc w:val="both"/>
        <w:rPr>
          <w:color w:val="000000"/>
        </w:rPr>
      </w:pPr>
      <w:bookmarkStart w:id="34" w:name="part_123b70ab507648f3aad9292bf67c1615"/>
      <w:bookmarkEnd w:id="34"/>
      <w:r>
        <w:rPr>
          <w:color w:val="000000"/>
        </w:rPr>
        <w:t>2. The procedure, strategy and processes referred to in paragraph 1 of this Article must ensure that the value, types and distribution of the internal capital and liquid assets of the financial brokerage firm constantly cover the risks assumed, which arise or may arise for the financial brokerage firm itself or for other entities or persons.</w:t>
      </w:r>
    </w:p>
    <w:p w14:paraId="712290CE" w14:textId="77777777" w:rsidR="00371B85" w:rsidRDefault="00371B85" w:rsidP="00371B85">
      <w:pPr>
        <w:spacing w:line="360" w:lineRule="atLeast"/>
        <w:ind w:firstLine="720"/>
        <w:jc w:val="both"/>
        <w:rPr>
          <w:color w:val="000000"/>
        </w:rPr>
      </w:pPr>
      <w:bookmarkStart w:id="35" w:name="part_2649718d8c2c40aab27cd9c8700a457a"/>
      <w:bookmarkEnd w:id="35"/>
      <w:r>
        <w:rPr>
          <w:color w:val="000000"/>
        </w:rPr>
        <w:t>3. Paragraphs 1 and 2 of this Article shall not apply to small and non-interconnected financial brokerage firms.</w:t>
      </w:r>
    </w:p>
    <w:p w14:paraId="561A14BD" w14:textId="77777777" w:rsidR="00371B85" w:rsidRDefault="00371B85" w:rsidP="00371B85">
      <w:pPr>
        <w:spacing w:line="360" w:lineRule="atLeast"/>
        <w:ind w:firstLine="720"/>
        <w:jc w:val="both"/>
        <w:rPr>
          <w:color w:val="000000"/>
        </w:rPr>
      </w:pPr>
      <w:bookmarkStart w:id="36" w:name="part_0928d92ff8e74485bcb7397748d1f6e9"/>
      <w:bookmarkEnd w:id="36"/>
      <w:r>
        <w:rPr>
          <w:color w:val="000000"/>
        </w:rPr>
        <w:lastRenderedPageBreak/>
        <w:t>4. The supervisory authority may demand that small and non-interconnected financial brokerage firms follow with the requirements specified in paragraphs 1 and 2 of this Article, when, based on a reasonable assessment by the supervisory authority, it is necessary to do so.</w:t>
      </w:r>
    </w:p>
    <w:p w14:paraId="419A71B3" w14:textId="77777777" w:rsidR="00371B85" w:rsidRDefault="00371B85" w:rsidP="00371B85">
      <w:pPr>
        <w:spacing w:line="360" w:lineRule="atLeast"/>
        <w:ind w:firstLine="720"/>
        <w:jc w:val="both"/>
        <w:rPr>
          <w:color w:val="000000"/>
        </w:rPr>
      </w:pPr>
      <w:bookmarkStart w:id="37" w:name="part_a640764a56ab4290ab9be40a311aa4ff"/>
      <w:bookmarkEnd w:id="37"/>
      <w:r>
        <w:rPr>
          <w:color w:val="000000"/>
        </w:rPr>
        <w:t xml:space="preserve">5. The supervisory authority shall determine the requirements for the procedure, </w:t>
      </w:r>
      <w:proofErr w:type="gramStart"/>
      <w:r>
        <w:rPr>
          <w:color w:val="000000"/>
        </w:rPr>
        <w:t>strategy</w:t>
      </w:r>
      <w:proofErr w:type="gramEnd"/>
      <w:r>
        <w:rPr>
          <w:color w:val="000000"/>
        </w:rPr>
        <w:t xml:space="preserve"> and processes for determining the need for internal capital and liquid assets referred to in paragraph 1 of this Article.</w:t>
      </w:r>
    </w:p>
    <w:p w14:paraId="5D08AE1A" w14:textId="77777777" w:rsidR="00371B85" w:rsidRDefault="00371B85" w:rsidP="00371B85">
      <w:pPr>
        <w:rPr>
          <w:color w:val="000000"/>
        </w:rPr>
      </w:pPr>
      <w:r>
        <w:rPr>
          <w:i/>
          <w:iCs/>
          <w:color w:val="000000"/>
          <w:sz w:val="20"/>
        </w:rPr>
        <w:t>Supplemented with an Article:</w:t>
      </w:r>
    </w:p>
    <w:p w14:paraId="310BFFA0" w14:textId="77777777" w:rsidR="00371B85" w:rsidRDefault="00371B85" w:rsidP="00371B85">
      <w:pPr>
        <w:jc w:val="both"/>
        <w:rPr>
          <w:color w:val="000000"/>
        </w:rPr>
      </w:pPr>
      <w:r>
        <w:rPr>
          <w:i/>
          <w:iCs/>
          <w:color w:val="000000"/>
          <w:sz w:val="20"/>
        </w:rPr>
        <w:t xml:space="preserve">No </w:t>
      </w:r>
      <w:hyperlink r:id="rId76" w:tgtFrame="_parent" w:history="1">
        <w:r>
          <w:rPr>
            <w:rStyle w:val="Hyperlink"/>
            <w:i/>
            <w:iCs/>
            <w:sz w:val="20"/>
          </w:rPr>
          <w:t>XIV-821</w:t>
        </w:r>
      </w:hyperlink>
      <w:r>
        <w:rPr>
          <w:i/>
          <w:iCs/>
          <w:color w:val="000000"/>
          <w:sz w:val="20"/>
        </w:rPr>
        <w:t>, 23/12/2021, published in the RLA, 30/12/2021, ID code 2021-27710</w:t>
      </w:r>
    </w:p>
    <w:p w14:paraId="345A7158" w14:textId="6BFBCFA0" w:rsidR="00371B85" w:rsidRDefault="00371B85" w:rsidP="00371B85">
      <w:pPr>
        <w:rPr>
          <w:color w:val="000000"/>
        </w:rPr>
      </w:pPr>
    </w:p>
    <w:p w14:paraId="0CBB1D1B" w14:textId="77777777" w:rsidR="00371B85" w:rsidRDefault="00371B85" w:rsidP="00371B85">
      <w:pPr>
        <w:spacing w:line="360" w:lineRule="atLeast"/>
        <w:ind w:firstLine="720"/>
        <w:jc w:val="both"/>
        <w:rPr>
          <w:color w:val="000000"/>
        </w:rPr>
      </w:pPr>
      <w:bookmarkStart w:id="38" w:name="part_70f2897fdf7040b3a1f4d8495314cb39"/>
      <w:bookmarkEnd w:id="38"/>
      <w:r>
        <w:rPr>
          <w:b/>
          <w:bCs/>
          <w:color w:val="000000"/>
        </w:rPr>
        <w:t>Article 14</w:t>
      </w:r>
      <w:r>
        <w:rPr>
          <w:b/>
          <w:bCs/>
          <w:color w:val="000000"/>
          <w:vertAlign w:val="superscript"/>
        </w:rPr>
        <w:t>2</w:t>
      </w:r>
      <w:r>
        <w:rPr>
          <w:b/>
          <w:bCs/>
          <w:color w:val="000000"/>
        </w:rPr>
        <w:t>. Additional liquidity coverage requirement</w:t>
      </w:r>
    </w:p>
    <w:p w14:paraId="01584A03" w14:textId="77777777" w:rsidR="00371B85" w:rsidRDefault="00371B85" w:rsidP="00371B85">
      <w:pPr>
        <w:spacing w:line="360" w:lineRule="atLeast"/>
        <w:ind w:firstLine="720"/>
        <w:jc w:val="both"/>
        <w:rPr>
          <w:color w:val="000000"/>
        </w:rPr>
      </w:pPr>
      <w:bookmarkStart w:id="39" w:name="part_d9d9a093ec144d338e5a06ae53659a3e"/>
      <w:bookmarkEnd w:id="39"/>
      <w:r>
        <w:rPr>
          <w:color w:val="000000"/>
        </w:rPr>
        <w:t>1. The supervisory authority may apply an additional liquidity coverage requirement to a financial brokerage firm only when, after performing the supervisory review and assessment referred to in Article 15</w:t>
      </w:r>
      <w:r>
        <w:rPr>
          <w:color w:val="000000"/>
          <w:vertAlign w:val="superscript"/>
        </w:rPr>
        <w:t>2</w:t>
      </w:r>
      <w:r>
        <w:rPr>
          <w:color w:val="000000"/>
        </w:rPr>
        <w:t xml:space="preserve"> of this Law and/or the assessment referred to in Article 15</w:t>
      </w:r>
      <w:r>
        <w:rPr>
          <w:color w:val="000000"/>
          <w:vertAlign w:val="superscript"/>
        </w:rPr>
        <w:t>3</w:t>
      </w:r>
      <w:r>
        <w:rPr>
          <w:color w:val="000000"/>
        </w:rPr>
        <w:t xml:space="preserve"> of this Law regarding the application of internal models, it determines that:</w:t>
      </w:r>
    </w:p>
    <w:p w14:paraId="331C0738" w14:textId="77777777" w:rsidR="00371B85" w:rsidRDefault="00371B85" w:rsidP="00371B85">
      <w:pPr>
        <w:spacing w:line="360" w:lineRule="atLeast"/>
        <w:ind w:firstLine="720"/>
        <w:jc w:val="both"/>
        <w:rPr>
          <w:color w:val="000000"/>
        </w:rPr>
      </w:pPr>
      <w:bookmarkStart w:id="40" w:name="part_9419bcb99f264ffc98a0708b7885e037"/>
      <w:bookmarkEnd w:id="40"/>
      <w:r>
        <w:rPr>
          <w:color w:val="000000"/>
        </w:rPr>
        <w:t xml:space="preserve">1) the financial brokerage firm is exposed to liquidity </w:t>
      </w:r>
      <w:proofErr w:type="gramStart"/>
      <w:r>
        <w:rPr>
          <w:color w:val="000000"/>
        </w:rPr>
        <w:t>risk</w:t>
      </w:r>
      <w:proofErr w:type="gramEnd"/>
      <w:r>
        <w:rPr>
          <w:color w:val="000000"/>
        </w:rPr>
        <w:t xml:space="preserve"> and it is not covered, as stipulated in Title V of Regulation (EU) 2019/2033;</w:t>
      </w:r>
    </w:p>
    <w:p w14:paraId="554DB6AD" w14:textId="77777777" w:rsidR="00371B85" w:rsidRDefault="00371B85" w:rsidP="00371B85">
      <w:pPr>
        <w:spacing w:line="360" w:lineRule="atLeast"/>
        <w:ind w:firstLine="720"/>
        <w:jc w:val="both"/>
        <w:rPr>
          <w:color w:val="000000"/>
        </w:rPr>
      </w:pPr>
      <w:bookmarkStart w:id="41" w:name="part_766ec471f14d41148cc7860e92f4ae75"/>
      <w:bookmarkEnd w:id="41"/>
      <w:r>
        <w:rPr>
          <w:color w:val="000000"/>
        </w:rPr>
        <w:t>2) the financial brokerage firm fails to comply with the requirements set forth in paragraphs 2 and 6 of Article 6, Article 14</w:t>
      </w:r>
      <w:r>
        <w:rPr>
          <w:color w:val="000000"/>
          <w:vertAlign w:val="superscript"/>
        </w:rPr>
        <w:t>1</w:t>
      </w:r>
      <w:r>
        <w:rPr>
          <w:color w:val="000000"/>
        </w:rPr>
        <w:t xml:space="preserve">, paragraphs 1 and 11 of Article 16 of this Law and other supervisory measures would fail to improve the procedure, </w:t>
      </w:r>
      <w:proofErr w:type="gramStart"/>
      <w:r>
        <w:rPr>
          <w:color w:val="000000"/>
        </w:rPr>
        <w:t>strategy</w:t>
      </w:r>
      <w:proofErr w:type="gramEnd"/>
      <w:r>
        <w:rPr>
          <w:color w:val="000000"/>
        </w:rPr>
        <w:t xml:space="preserve"> and processes of the financial brokerage firm within an appropriate period of time.</w:t>
      </w:r>
    </w:p>
    <w:p w14:paraId="2165ED31" w14:textId="77777777" w:rsidR="00371B85" w:rsidRDefault="00371B85" w:rsidP="00371B85">
      <w:pPr>
        <w:spacing w:line="360" w:lineRule="atLeast"/>
        <w:ind w:firstLine="720"/>
        <w:jc w:val="both"/>
        <w:rPr>
          <w:color w:val="000000"/>
        </w:rPr>
      </w:pPr>
      <w:bookmarkStart w:id="42" w:name="part_5c4d44cc4eea4e0f989bb7b7c8e43613"/>
      <w:bookmarkEnd w:id="42"/>
      <w:r>
        <w:rPr>
          <w:color w:val="000000"/>
        </w:rPr>
        <w:t>2. The amount of extraordinary liquidity shall be determined as the difference between the liquidity coverage requirement considered sufficient, determined by the supervisory authority, in accordance with paragraph 1 of this Article and the liquidity requirement specified in Title V of Regulation (EU) 2019/2033.</w:t>
      </w:r>
    </w:p>
    <w:p w14:paraId="5E4946F7" w14:textId="77777777" w:rsidR="00371B85" w:rsidRDefault="00371B85" w:rsidP="00371B85">
      <w:pPr>
        <w:spacing w:line="360" w:lineRule="atLeast"/>
        <w:ind w:firstLine="720"/>
        <w:jc w:val="both"/>
        <w:rPr>
          <w:color w:val="000000"/>
        </w:rPr>
      </w:pPr>
      <w:bookmarkStart w:id="43" w:name="part_f0fc41507ce64a9681aef84246efb874"/>
      <w:bookmarkEnd w:id="43"/>
      <w:r>
        <w:rPr>
          <w:color w:val="000000"/>
        </w:rPr>
        <w:t>3. The financial brokerage firm complies with the additional liquidity coverage requirement by holding liquid assets, as specified in Article 43 of Regulation (EU) 2019/2033.</w:t>
      </w:r>
    </w:p>
    <w:p w14:paraId="3C346D96" w14:textId="77777777" w:rsidR="00371B85" w:rsidRDefault="00371B85" w:rsidP="00371B85">
      <w:pPr>
        <w:spacing w:line="360" w:lineRule="atLeast"/>
        <w:ind w:firstLine="720"/>
        <w:jc w:val="both"/>
        <w:rPr>
          <w:color w:val="000000"/>
        </w:rPr>
      </w:pPr>
      <w:bookmarkStart w:id="44" w:name="part_393edab4b43e4e478c80958e23f82b4e"/>
      <w:bookmarkEnd w:id="44"/>
      <w:r>
        <w:rPr>
          <w:color w:val="000000"/>
        </w:rPr>
        <w:t xml:space="preserve">4. The supervisory authority shall review the decision on the additional liquidity coverage requirement </w:t>
      </w:r>
      <w:proofErr w:type="gramStart"/>
      <w:r>
        <w:rPr>
          <w:color w:val="000000"/>
        </w:rPr>
        <w:t>in the course of</w:t>
      </w:r>
      <w:proofErr w:type="gramEnd"/>
      <w:r>
        <w:rPr>
          <w:color w:val="000000"/>
        </w:rPr>
        <w:t xml:space="preserve"> the assessments referred to in paragraph 1 of this Article and shall be required to revoke it when the financial brokerage firm rectifies the operational deficiencies that led to the decision.</w:t>
      </w:r>
    </w:p>
    <w:p w14:paraId="425CF6FF" w14:textId="77777777" w:rsidR="00371B85" w:rsidRDefault="00371B85" w:rsidP="00371B85">
      <w:pPr>
        <w:spacing w:line="360" w:lineRule="atLeast"/>
        <w:ind w:firstLine="720"/>
        <w:jc w:val="both"/>
        <w:rPr>
          <w:color w:val="000000"/>
        </w:rPr>
      </w:pPr>
      <w:bookmarkStart w:id="45" w:name="part_577b78aa24a74388b25f15bfc1d1b6bd"/>
      <w:bookmarkEnd w:id="45"/>
      <w:r>
        <w:rPr>
          <w:color w:val="000000"/>
        </w:rPr>
        <w:t>5. The requirements of this Article shall not apply to small and non-interconnected financial brokerage firms to which the supervisory authority applies an exemption as regards the application of the liquidity coverage requirement set forth in Article 43(1) of Regulation (EU) 2019/2033.</w:t>
      </w:r>
    </w:p>
    <w:p w14:paraId="037C76DF" w14:textId="77777777" w:rsidR="00371B85" w:rsidRDefault="00371B85" w:rsidP="00371B85">
      <w:pPr>
        <w:rPr>
          <w:color w:val="000000"/>
        </w:rPr>
      </w:pPr>
      <w:r>
        <w:rPr>
          <w:i/>
          <w:iCs/>
          <w:color w:val="000000"/>
          <w:sz w:val="20"/>
        </w:rPr>
        <w:t>Supplemented with an Article:</w:t>
      </w:r>
    </w:p>
    <w:p w14:paraId="58E90182" w14:textId="77777777" w:rsidR="00371B85" w:rsidRDefault="00371B85" w:rsidP="00371B85">
      <w:pPr>
        <w:jc w:val="both"/>
        <w:rPr>
          <w:color w:val="000000"/>
        </w:rPr>
      </w:pPr>
      <w:r>
        <w:rPr>
          <w:i/>
          <w:iCs/>
          <w:color w:val="000000"/>
          <w:sz w:val="20"/>
        </w:rPr>
        <w:t xml:space="preserve">No </w:t>
      </w:r>
      <w:hyperlink r:id="rId77" w:tgtFrame="_parent" w:history="1">
        <w:r>
          <w:rPr>
            <w:rStyle w:val="Hyperlink"/>
            <w:i/>
            <w:iCs/>
            <w:sz w:val="20"/>
          </w:rPr>
          <w:t>XIV-821</w:t>
        </w:r>
      </w:hyperlink>
      <w:r>
        <w:rPr>
          <w:i/>
          <w:iCs/>
          <w:color w:val="000000"/>
          <w:sz w:val="20"/>
        </w:rPr>
        <w:t>, 23/12/2021, published in the RLA, 30/12/2021, ID code 2021-27710</w:t>
      </w:r>
    </w:p>
    <w:p w14:paraId="658DE972" w14:textId="77777777" w:rsidR="00371B85" w:rsidRDefault="00371B85" w:rsidP="00F3494E">
      <w:pPr>
        <w:widowControl w:val="0"/>
        <w:ind w:firstLine="720"/>
        <w:jc w:val="both"/>
        <w:rPr>
          <w:rFonts w:ascii="Tahoma" w:hAnsi="Tahoma" w:cs="Tahoma"/>
          <w:b/>
          <w:bCs/>
          <w:color w:val="333333"/>
          <w:sz w:val="23"/>
          <w:szCs w:val="23"/>
          <w:shd w:val="clear" w:color="auto" w:fill="FFFFFF"/>
        </w:rPr>
      </w:pPr>
    </w:p>
    <w:p w14:paraId="04C1E4A5" w14:textId="77777777" w:rsidR="00371B85" w:rsidRPr="000550CF" w:rsidRDefault="00371B85" w:rsidP="00F3494E">
      <w:pPr>
        <w:widowControl w:val="0"/>
        <w:ind w:firstLine="720"/>
        <w:jc w:val="both"/>
        <w:rPr>
          <w:szCs w:val="24"/>
          <w:lang w:eastAsia="lt-LT"/>
        </w:rPr>
      </w:pPr>
    </w:p>
    <w:p w14:paraId="27C9DE13" w14:textId="5C588E17" w:rsidR="00ED3A7E" w:rsidRPr="000550CF" w:rsidRDefault="00ED3A7E" w:rsidP="00F3494E">
      <w:pPr>
        <w:widowControl w:val="0"/>
        <w:ind w:firstLine="720"/>
        <w:jc w:val="both"/>
        <w:rPr>
          <w:szCs w:val="24"/>
        </w:rPr>
      </w:pPr>
      <w:r>
        <w:rPr>
          <w:b/>
          <w:szCs w:val="24"/>
        </w:rPr>
        <w:t xml:space="preserve">Article 15.  </w:t>
      </w:r>
      <w:r>
        <w:rPr>
          <w:b/>
          <w:bCs/>
          <w:color w:val="000000"/>
        </w:rPr>
        <w:t>Requirement for additional own funds</w:t>
      </w:r>
    </w:p>
    <w:p w14:paraId="529EB150" w14:textId="4D6DA8F7" w:rsidR="00ED3A7E" w:rsidRDefault="00ED3A7E" w:rsidP="00F3494E">
      <w:pPr>
        <w:widowControl w:val="0"/>
        <w:ind w:firstLine="720"/>
        <w:jc w:val="both"/>
        <w:rPr>
          <w:szCs w:val="24"/>
        </w:rPr>
      </w:pPr>
      <w:r>
        <w:t>.</w:t>
      </w:r>
    </w:p>
    <w:p w14:paraId="71573128" w14:textId="77777777" w:rsidR="00371B85" w:rsidRDefault="00371B85" w:rsidP="00371B85">
      <w:pPr>
        <w:spacing w:line="360" w:lineRule="atLeast"/>
        <w:ind w:firstLine="720"/>
        <w:jc w:val="both"/>
        <w:rPr>
          <w:color w:val="000000"/>
        </w:rPr>
      </w:pPr>
      <w:r>
        <w:rPr>
          <w:color w:val="000000"/>
        </w:rPr>
        <w:t>1. The supervisory authority may request that a financial brokerage firm have additional own funds only when, after performing the supervisory review and assessment referred to in Article 15</w:t>
      </w:r>
      <w:r>
        <w:rPr>
          <w:color w:val="000000"/>
          <w:vertAlign w:val="superscript"/>
        </w:rPr>
        <w:t>2</w:t>
      </w:r>
      <w:r>
        <w:rPr>
          <w:color w:val="000000"/>
        </w:rPr>
        <w:t xml:space="preserve"> of this Law and/or the assessment referred to in Article 15</w:t>
      </w:r>
      <w:r>
        <w:rPr>
          <w:color w:val="000000"/>
          <w:vertAlign w:val="superscript"/>
        </w:rPr>
        <w:t>3</w:t>
      </w:r>
      <w:r>
        <w:rPr>
          <w:color w:val="000000"/>
        </w:rPr>
        <w:t xml:space="preserve"> of this Law regarding the application of internal models, it determines that:</w:t>
      </w:r>
    </w:p>
    <w:p w14:paraId="3905D088" w14:textId="77777777" w:rsidR="00371B85" w:rsidRPr="00BE49BD" w:rsidRDefault="00371B85" w:rsidP="00371B85">
      <w:pPr>
        <w:spacing w:line="360" w:lineRule="atLeast"/>
        <w:ind w:firstLine="720"/>
        <w:jc w:val="both"/>
        <w:rPr>
          <w:color w:val="000000"/>
        </w:rPr>
      </w:pPr>
      <w:bookmarkStart w:id="46" w:name="part_b784f733d4e249cdb12afaec6f8c9e99"/>
      <w:bookmarkEnd w:id="46"/>
      <w:r>
        <w:rPr>
          <w:color w:val="000000"/>
        </w:rPr>
        <w:lastRenderedPageBreak/>
        <w:t xml:space="preserve">1) the financial brokerage firm is exposed to a risk or poses the risk to clients or the market, and the risk is not covered by the mandatory requirement for own funds, in particular the K-factor requirements, as defined in Title III or IV of Regulation (EU) </w:t>
      </w:r>
      <w:proofErr w:type="gramStart"/>
      <w:r>
        <w:rPr>
          <w:color w:val="000000"/>
        </w:rPr>
        <w:t>2019/2033;</w:t>
      </w:r>
      <w:proofErr w:type="gramEnd"/>
    </w:p>
    <w:p w14:paraId="2F1DB4C5" w14:textId="77777777" w:rsidR="00371B85" w:rsidRPr="00BE49BD" w:rsidRDefault="00371B85" w:rsidP="00371B85">
      <w:pPr>
        <w:spacing w:line="360" w:lineRule="atLeast"/>
        <w:ind w:firstLine="720"/>
        <w:jc w:val="both"/>
        <w:rPr>
          <w:color w:val="000000"/>
        </w:rPr>
      </w:pPr>
      <w:bookmarkStart w:id="47" w:name="part_f10c4fc52d384c5b93ac0e9d19e2177f"/>
      <w:bookmarkEnd w:id="47"/>
      <w:r>
        <w:rPr>
          <w:color w:val="000000"/>
        </w:rPr>
        <w:t>2) the financial brokerage firm fails to comply with the requirements set forth in paragraphs 2 and 6 of Article 6, Article 14</w:t>
      </w:r>
      <w:r>
        <w:rPr>
          <w:color w:val="000000"/>
          <w:vertAlign w:val="superscript"/>
        </w:rPr>
        <w:t>1</w:t>
      </w:r>
      <w:r>
        <w:rPr>
          <w:color w:val="000000"/>
        </w:rPr>
        <w:t xml:space="preserve">, paragraphs 1 and 11 of Article 16 of this Law and other supervisory measures would fail to improve the procedure, </w:t>
      </w:r>
      <w:proofErr w:type="gramStart"/>
      <w:r>
        <w:rPr>
          <w:color w:val="000000"/>
        </w:rPr>
        <w:t>strategy</w:t>
      </w:r>
      <w:proofErr w:type="gramEnd"/>
      <w:r>
        <w:rPr>
          <w:color w:val="000000"/>
        </w:rPr>
        <w:t xml:space="preserve"> and processes of the firm within an appropriate period of time</w:t>
      </w:r>
    </w:p>
    <w:p w14:paraId="21ACA85C" w14:textId="77777777" w:rsidR="00371B85" w:rsidRPr="00BE49BD" w:rsidRDefault="00371B85" w:rsidP="00371B85">
      <w:pPr>
        <w:spacing w:line="360" w:lineRule="atLeast"/>
        <w:ind w:firstLine="720"/>
        <w:jc w:val="both"/>
        <w:rPr>
          <w:color w:val="000000"/>
        </w:rPr>
      </w:pPr>
      <w:bookmarkStart w:id="48" w:name="part_7d934100c5a04fcba0fc31ffda97d6aa"/>
      <w:bookmarkEnd w:id="48"/>
      <w:r>
        <w:rPr>
          <w:color w:val="000000"/>
        </w:rPr>
        <w:t xml:space="preserve">3) the adjustments made by the financial brokerage firm due to the prudential principle-based assessment of exposures in the trading book are not sufficient for this firm to be able to sell or hedge the exposures in a short period of time without incurring material losses under normal market </w:t>
      </w:r>
      <w:proofErr w:type="gramStart"/>
      <w:r>
        <w:rPr>
          <w:color w:val="000000"/>
        </w:rPr>
        <w:t>conditions;</w:t>
      </w:r>
      <w:proofErr w:type="gramEnd"/>
    </w:p>
    <w:p w14:paraId="77C38D23" w14:textId="77777777" w:rsidR="00371B85" w:rsidRPr="00BE49BD" w:rsidRDefault="00371B85" w:rsidP="00371B85">
      <w:pPr>
        <w:spacing w:line="360" w:lineRule="atLeast"/>
        <w:ind w:firstLine="720"/>
        <w:jc w:val="both"/>
        <w:rPr>
          <w:color w:val="000000"/>
        </w:rPr>
      </w:pPr>
      <w:bookmarkStart w:id="49" w:name="part_0017f9faa4084e2fa6c75749483e6ac7"/>
      <w:bookmarkEnd w:id="49"/>
      <w:r>
        <w:rPr>
          <w:color w:val="000000"/>
        </w:rPr>
        <w:t>4) internal models that are allowed to be applied under Article 15</w:t>
      </w:r>
      <w:r>
        <w:rPr>
          <w:color w:val="000000"/>
          <w:vertAlign w:val="superscript"/>
        </w:rPr>
        <w:t>3</w:t>
      </w:r>
      <w:r>
        <w:rPr>
          <w:color w:val="000000"/>
        </w:rPr>
        <w:t xml:space="preserve"> of this Law do not meet the requirements applicable to internal models, thus leading to determination of inadequate amount of own </w:t>
      </w:r>
      <w:proofErr w:type="gramStart"/>
      <w:r>
        <w:rPr>
          <w:color w:val="000000"/>
        </w:rPr>
        <w:t>funds;</w:t>
      </w:r>
      <w:proofErr w:type="gramEnd"/>
    </w:p>
    <w:p w14:paraId="240A6F01" w14:textId="77777777" w:rsidR="00371B85" w:rsidRPr="00BE49BD" w:rsidRDefault="00371B85" w:rsidP="00371B85">
      <w:pPr>
        <w:spacing w:line="360" w:lineRule="atLeast"/>
        <w:ind w:firstLine="720"/>
        <w:jc w:val="both"/>
        <w:rPr>
          <w:color w:val="000000"/>
        </w:rPr>
      </w:pPr>
      <w:bookmarkStart w:id="50" w:name="part_1718c87afc494a5a993fe01c92474727"/>
      <w:bookmarkEnd w:id="50"/>
      <w:r>
        <w:rPr>
          <w:color w:val="000000"/>
        </w:rPr>
        <w:t>5) the financial brokerage firm fails to re-identify or adhere to the additional amount of own funds, as established in Article 15</w:t>
      </w:r>
      <w:r>
        <w:rPr>
          <w:color w:val="000000"/>
          <w:vertAlign w:val="superscript"/>
        </w:rPr>
        <w:t>1</w:t>
      </w:r>
      <w:r>
        <w:rPr>
          <w:color w:val="000000"/>
        </w:rPr>
        <w:t xml:space="preserve"> of this Law.</w:t>
      </w:r>
    </w:p>
    <w:p w14:paraId="3F51336F" w14:textId="77777777" w:rsidR="00371B85" w:rsidRPr="00BE49BD" w:rsidRDefault="00371B85" w:rsidP="00371B85">
      <w:pPr>
        <w:spacing w:line="360" w:lineRule="atLeast"/>
        <w:ind w:firstLine="720"/>
        <w:jc w:val="both"/>
        <w:rPr>
          <w:color w:val="000000"/>
        </w:rPr>
      </w:pPr>
      <w:bookmarkStart w:id="51" w:name="part_acf6f2e8553a46bca1d80a716f03f0c1"/>
      <w:bookmarkEnd w:id="51"/>
      <w:r>
        <w:rPr>
          <w:color w:val="000000"/>
        </w:rPr>
        <w:t>2. The amount of additional own funds shall be determined as the difference between the own funds requirement established by the supervisory authority in accordance with paragraph 1 of this Article and the own funds requirement specified in Titles III or IV of Regulation (EU) 2019/2033.</w:t>
      </w:r>
    </w:p>
    <w:p w14:paraId="292EFA66" w14:textId="77777777" w:rsidR="00371B85" w:rsidRPr="00BE49BD" w:rsidRDefault="00371B85" w:rsidP="00371B85">
      <w:pPr>
        <w:spacing w:line="360" w:lineRule="atLeast"/>
        <w:ind w:firstLine="720"/>
        <w:jc w:val="both"/>
        <w:rPr>
          <w:color w:val="000000"/>
        </w:rPr>
      </w:pPr>
      <w:bookmarkStart w:id="52" w:name="part_b870a11ee6fd476d9c1ae2937281915a"/>
      <w:bookmarkEnd w:id="52"/>
      <w:r>
        <w:rPr>
          <w:color w:val="000000"/>
        </w:rPr>
        <w:t>3. Tier 1 capital constituting additional own funds must be at least three quarters of the additional own funds, and total Tier 1 capital must be at least three quarters of Tier 1 capital. Additional own funds may not be used to comply with the own funds requirements specified in Article 11(1) of Regulation (EU) 2019/2033.</w:t>
      </w:r>
    </w:p>
    <w:p w14:paraId="0A48E310" w14:textId="77777777" w:rsidR="00371B85" w:rsidRPr="00BE49BD" w:rsidRDefault="00371B85" w:rsidP="00371B85">
      <w:pPr>
        <w:spacing w:line="360" w:lineRule="atLeast"/>
        <w:ind w:firstLine="720"/>
        <w:jc w:val="both"/>
        <w:rPr>
          <w:color w:val="000000"/>
        </w:rPr>
      </w:pPr>
      <w:bookmarkStart w:id="53" w:name="part_314da36afd324d228a03b92672ed3cce"/>
      <w:bookmarkEnd w:id="53"/>
      <w:r>
        <w:rPr>
          <w:color w:val="000000"/>
        </w:rPr>
        <w:t>4. Having identified the case referred to in sub-paragraph 4 of paragraph 1 of this Article, the supervisory authority shall provide a specific explanation as to why the own funds referred to in Article 15</w:t>
      </w:r>
      <w:r>
        <w:rPr>
          <w:color w:val="000000"/>
          <w:vertAlign w:val="superscript"/>
        </w:rPr>
        <w:t>1</w:t>
      </w:r>
      <w:r>
        <w:rPr>
          <w:color w:val="000000"/>
        </w:rPr>
        <w:t>(1) of this Law are not considered sufficient.</w:t>
      </w:r>
    </w:p>
    <w:p w14:paraId="293BA5A5" w14:textId="77777777" w:rsidR="00371B85" w:rsidRPr="00BE49BD" w:rsidRDefault="00371B85" w:rsidP="00371B85">
      <w:pPr>
        <w:spacing w:line="360" w:lineRule="atLeast"/>
        <w:ind w:firstLine="720"/>
        <w:jc w:val="both"/>
        <w:rPr>
          <w:color w:val="000000"/>
        </w:rPr>
      </w:pPr>
      <w:bookmarkStart w:id="54" w:name="part_d09ddc59ee554ec89669adddc964d5a3"/>
      <w:bookmarkEnd w:id="54"/>
      <w:r>
        <w:rPr>
          <w:color w:val="000000"/>
        </w:rPr>
        <w:t>5. The supervisory authority shall immediately notify the resolution authority about the additional own funds requirement specified in paragraph 1 of this Article and set for the financial brokerage firm referred to in sub-paragraph 3 of Article 1(2) of the Law on Financial Sustainability.</w:t>
      </w:r>
    </w:p>
    <w:p w14:paraId="704E73B2" w14:textId="77777777" w:rsidR="00371B85" w:rsidRPr="00BE49BD" w:rsidRDefault="00371B85" w:rsidP="00371B85">
      <w:pPr>
        <w:spacing w:line="360" w:lineRule="atLeast"/>
        <w:ind w:firstLine="720"/>
        <w:jc w:val="both"/>
        <w:rPr>
          <w:color w:val="000000"/>
        </w:rPr>
      </w:pPr>
      <w:bookmarkStart w:id="55" w:name="part_79444d8eef3841a6b15663900feb9ff4"/>
      <w:bookmarkEnd w:id="55"/>
      <w:r>
        <w:rPr>
          <w:color w:val="000000"/>
        </w:rPr>
        <w:t>6. The supervisory authority shall notify the European Banking Authority about the methodology for applying the obligations referred to in paragraph 1 of this Article.</w:t>
      </w:r>
    </w:p>
    <w:p w14:paraId="0CB95BD1" w14:textId="77777777" w:rsidR="00371B85" w:rsidRPr="00BE49BD" w:rsidRDefault="00371B85" w:rsidP="00371B85">
      <w:pPr>
        <w:spacing w:line="360" w:lineRule="atLeast"/>
        <w:ind w:firstLine="720"/>
        <w:jc w:val="both"/>
        <w:rPr>
          <w:color w:val="000000"/>
        </w:rPr>
      </w:pPr>
      <w:bookmarkStart w:id="56" w:name="part_d3a93aeed0624741b47d0109719bd198"/>
      <w:bookmarkEnd w:id="56"/>
      <w:r>
        <w:rPr>
          <w:color w:val="000000"/>
        </w:rPr>
        <w:t>7. The requirements set forth in paragraphs 1, 2, 3 and 4 of this Article shall apply to small and non-interconnected financial brokerage firms only when the supervisory authority determines that it is necessary, based on the reasonable assessment of the financial brokerage firm.</w:t>
      </w:r>
    </w:p>
    <w:p w14:paraId="3E0426FC" w14:textId="77777777" w:rsidR="00371B85" w:rsidRDefault="00371B85" w:rsidP="00371B85">
      <w:pPr>
        <w:rPr>
          <w:color w:val="000000"/>
          <w:sz w:val="27"/>
          <w:szCs w:val="27"/>
        </w:rPr>
      </w:pPr>
      <w:r>
        <w:rPr>
          <w:i/>
          <w:iCs/>
          <w:color w:val="000000"/>
          <w:sz w:val="20"/>
        </w:rPr>
        <w:t>Amendments to Article:</w:t>
      </w:r>
    </w:p>
    <w:p w14:paraId="40586504" w14:textId="77777777" w:rsidR="00371B85" w:rsidRDefault="00371B85" w:rsidP="00371B85">
      <w:pPr>
        <w:jc w:val="both"/>
        <w:rPr>
          <w:color w:val="000000"/>
          <w:sz w:val="27"/>
          <w:szCs w:val="27"/>
        </w:rPr>
      </w:pPr>
      <w:r>
        <w:rPr>
          <w:i/>
          <w:iCs/>
          <w:color w:val="000000"/>
          <w:sz w:val="20"/>
        </w:rPr>
        <w:t xml:space="preserve">No </w:t>
      </w:r>
      <w:hyperlink r:id="rId78" w:tgtFrame="_parent" w:history="1">
        <w:r>
          <w:rPr>
            <w:rStyle w:val="Hyperlink"/>
            <w:i/>
            <w:iCs/>
            <w:sz w:val="20"/>
          </w:rPr>
          <w:t>XIV-821</w:t>
        </w:r>
      </w:hyperlink>
      <w:r>
        <w:rPr>
          <w:i/>
          <w:iCs/>
          <w:color w:val="000000"/>
          <w:sz w:val="20"/>
        </w:rPr>
        <w:t>, 23/12/2021, published in the RLA, 30/12/2021, ID code 2021-27710</w:t>
      </w:r>
    </w:p>
    <w:p w14:paraId="27FDA952" w14:textId="77777777" w:rsidR="00371B85" w:rsidRPr="000550CF" w:rsidRDefault="00371B85" w:rsidP="00F3494E">
      <w:pPr>
        <w:widowControl w:val="0"/>
        <w:ind w:firstLine="720"/>
        <w:jc w:val="both"/>
        <w:rPr>
          <w:szCs w:val="24"/>
          <w:lang w:eastAsia="lt-LT"/>
        </w:rPr>
      </w:pPr>
    </w:p>
    <w:p w14:paraId="084C3CF7" w14:textId="77777777" w:rsidR="00371B85" w:rsidRDefault="00371B85" w:rsidP="00371B85">
      <w:pPr>
        <w:spacing w:line="360" w:lineRule="atLeast"/>
        <w:ind w:firstLine="720"/>
        <w:jc w:val="both"/>
        <w:rPr>
          <w:color w:val="000000"/>
        </w:rPr>
      </w:pPr>
      <w:r>
        <w:rPr>
          <w:b/>
          <w:bCs/>
          <w:color w:val="000000"/>
        </w:rPr>
        <w:t>Article 15</w:t>
      </w:r>
      <w:r>
        <w:rPr>
          <w:b/>
          <w:bCs/>
          <w:color w:val="000000"/>
          <w:vertAlign w:val="superscript"/>
        </w:rPr>
        <w:t>1</w:t>
      </w:r>
      <w:r>
        <w:rPr>
          <w:b/>
          <w:bCs/>
          <w:color w:val="000000"/>
        </w:rPr>
        <w:t>. Own funds for business cycle fluctuations</w:t>
      </w:r>
    </w:p>
    <w:p w14:paraId="6FCB7E1C" w14:textId="77777777" w:rsidR="00371B85" w:rsidRPr="00BE49BD" w:rsidRDefault="00371B85" w:rsidP="00371B85">
      <w:pPr>
        <w:spacing w:line="360" w:lineRule="atLeast"/>
        <w:ind w:firstLine="720"/>
        <w:jc w:val="both"/>
        <w:rPr>
          <w:color w:val="000000"/>
        </w:rPr>
      </w:pPr>
      <w:bookmarkStart w:id="57" w:name="part_debc5d3c569a4611a4fd88b1b1f407b0"/>
      <w:bookmarkEnd w:id="57"/>
      <w:r>
        <w:rPr>
          <w:color w:val="000000"/>
        </w:rPr>
        <w:t>1. Following the principle of proportionality, taking into account the size, systemic significance of the financial brokerage firm, the nature, scale and complexity of the operations, and complying with the requirements set out in Article 43</w:t>
      </w:r>
      <w:r>
        <w:rPr>
          <w:color w:val="000000"/>
          <w:vertAlign w:val="superscript"/>
        </w:rPr>
        <w:t>2</w:t>
      </w:r>
      <w:r>
        <w:rPr>
          <w:color w:val="000000"/>
        </w:rPr>
        <w:t xml:space="preserve"> of the </w:t>
      </w:r>
      <w:proofErr w:type="spellStart"/>
      <w:r>
        <w:rPr>
          <w:color w:val="000000"/>
        </w:rPr>
        <w:t>the</w:t>
      </w:r>
      <w:proofErr w:type="spellEnd"/>
      <w:r>
        <w:rPr>
          <w:color w:val="000000"/>
        </w:rPr>
        <w:t xml:space="preserve"> Republic of Lithuania Law on the </w:t>
      </w:r>
      <w:r>
        <w:rPr>
          <w:color w:val="000000"/>
        </w:rPr>
        <w:lastRenderedPageBreak/>
        <w:t>Bank of Lithuania, the supervisory authority may request that the financial brokerage firm have more own funds, including additional own funds, i.e. more than established in this Law and Regulation (EU) 2019/2033, if it is necessary for ensuring that due to business cycle fluctuations, the own funds requirements established by this Law and Regulation (EU) 2019/2033 are not violated or there is no risk of unsmooth termination of activity of the financial brokerage firm.</w:t>
      </w:r>
    </w:p>
    <w:p w14:paraId="6CB1E2B8" w14:textId="77777777" w:rsidR="00371B85" w:rsidRPr="00BE49BD" w:rsidRDefault="00371B85" w:rsidP="00371B85">
      <w:pPr>
        <w:spacing w:line="360" w:lineRule="atLeast"/>
        <w:ind w:firstLine="720"/>
        <w:jc w:val="both"/>
        <w:rPr>
          <w:color w:val="000000"/>
        </w:rPr>
      </w:pPr>
      <w:bookmarkStart w:id="58" w:name="part_6c083858502845c08c5c865de2150da4"/>
      <w:bookmarkEnd w:id="58"/>
      <w:r>
        <w:rPr>
          <w:color w:val="000000"/>
        </w:rPr>
        <w:t>2. The supervisory authority shall immediately notify the resolution authority of the requirement for own funds due to business cycle fluctuations as established in paragraph 1 of this Article.</w:t>
      </w:r>
    </w:p>
    <w:p w14:paraId="7F539211" w14:textId="77777777" w:rsidR="00371B85" w:rsidRPr="00BE49BD" w:rsidRDefault="00371B85" w:rsidP="00371B85">
      <w:pPr>
        <w:spacing w:line="360" w:lineRule="atLeast"/>
        <w:ind w:firstLine="720"/>
        <w:jc w:val="both"/>
        <w:rPr>
          <w:color w:val="000000"/>
        </w:rPr>
      </w:pPr>
      <w:bookmarkStart w:id="59" w:name="part_b3bda03ab524469c8f9b5ab7571f2e43"/>
      <w:bookmarkEnd w:id="59"/>
      <w:r>
        <w:rPr>
          <w:color w:val="000000"/>
        </w:rPr>
        <w:t>3. The supervisory authority shall notify the European Banking Authority about the methodology for applying the obligations referred to in paragraph 1 of this Article.</w:t>
      </w:r>
    </w:p>
    <w:p w14:paraId="4417A5AA" w14:textId="77777777" w:rsidR="00371B85" w:rsidRPr="00BE49BD" w:rsidRDefault="00371B85" w:rsidP="00371B85">
      <w:pPr>
        <w:spacing w:line="360" w:lineRule="atLeast"/>
        <w:ind w:firstLine="720"/>
        <w:jc w:val="both"/>
        <w:rPr>
          <w:color w:val="000000"/>
        </w:rPr>
      </w:pPr>
      <w:bookmarkStart w:id="60" w:name="part_5d800374ab5e4ca4a9f94a90c77be474"/>
      <w:bookmarkEnd w:id="60"/>
      <w:r>
        <w:rPr>
          <w:color w:val="000000"/>
        </w:rPr>
        <w:t>4. Requirements of paragraph 1 of this Article shall not apply to small and non-interconnected financial brokerage firms.</w:t>
      </w:r>
    </w:p>
    <w:p w14:paraId="5A3B3E9A" w14:textId="77777777" w:rsidR="00371B85" w:rsidRDefault="00371B85" w:rsidP="00371B85">
      <w:pPr>
        <w:rPr>
          <w:color w:val="000000"/>
        </w:rPr>
      </w:pPr>
      <w:r>
        <w:rPr>
          <w:i/>
          <w:iCs/>
          <w:color w:val="000000"/>
          <w:sz w:val="20"/>
        </w:rPr>
        <w:t>Supplemented with an Article:</w:t>
      </w:r>
    </w:p>
    <w:p w14:paraId="2DDD7D9A" w14:textId="77777777" w:rsidR="00371B85" w:rsidRDefault="00371B85" w:rsidP="00371B85">
      <w:pPr>
        <w:jc w:val="both"/>
        <w:rPr>
          <w:color w:val="000000"/>
        </w:rPr>
      </w:pPr>
      <w:r>
        <w:rPr>
          <w:i/>
          <w:iCs/>
          <w:color w:val="000000"/>
          <w:sz w:val="20"/>
        </w:rPr>
        <w:t xml:space="preserve">No </w:t>
      </w:r>
      <w:hyperlink r:id="rId79" w:tgtFrame="_parent" w:history="1">
        <w:r>
          <w:rPr>
            <w:rStyle w:val="Hyperlink"/>
            <w:i/>
            <w:iCs/>
            <w:sz w:val="20"/>
          </w:rPr>
          <w:t>XIV-821</w:t>
        </w:r>
      </w:hyperlink>
      <w:r>
        <w:rPr>
          <w:i/>
          <w:iCs/>
          <w:color w:val="000000"/>
          <w:sz w:val="20"/>
        </w:rPr>
        <w:t>, 23/12/2021, published in the RLA, 30/12/2021, ID code 2021-27710</w:t>
      </w:r>
    </w:p>
    <w:p w14:paraId="252846C0" w14:textId="77777777" w:rsidR="00371B85" w:rsidRDefault="00371B85" w:rsidP="00371B85">
      <w:pPr>
        <w:rPr>
          <w:color w:val="000000"/>
        </w:rPr>
      </w:pPr>
      <w:r>
        <w:rPr>
          <w:color w:val="000000"/>
        </w:rPr>
        <w:t> </w:t>
      </w:r>
    </w:p>
    <w:p w14:paraId="152F0A5F" w14:textId="77777777" w:rsidR="00371B85" w:rsidRDefault="00371B85" w:rsidP="00371B85">
      <w:pPr>
        <w:spacing w:line="360" w:lineRule="atLeast"/>
        <w:ind w:firstLine="720"/>
        <w:jc w:val="both"/>
        <w:rPr>
          <w:color w:val="000000"/>
        </w:rPr>
      </w:pPr>
      <w:bookmarkStart w:id="61" w:name="part_0588dbe7dd2b4ee1b412be4d603859f4"/>
      <w:bookmarkEnd w:id="61"/>
      <w:r>
        <w:rPr>
          <w:b/>
          <w:bCs/>
          <w:color w:val="000000"/>
        </w:rPr>
        <w:t>Article 15</w:t>
      </w:r>
      <w:r>
        <w:rPr>
          <w:b/>
          <w:bCs/>
          <w:color w:val="000000"/>
          <w:vertAlign w:val="superscript"/>
        </w:rPr>
        <w:t>2</w:t>
      </w:r>
      <w:r>
        <w:rPr>
          <w:b/>
          <w:bCs/>
          <w:color w:val="000000"/>
        </w:rPr>
        <w:t>. Supervisory review and evaluation</w:t>
      </w:r>
    </w:p>
    <w:p w14:paraId="48AD9117" w14:textId="77777777" w:rsidR="00371B85" w:rsidRDefault="00371B85" w:rsidP="00371B85">
      <w:pPr>
        <w:spacing w:line="360" w:lineRule="atLeast"/>
        <w:ind w:firstLine="720"/>
        <w:jc w:val="both"/>
        <w:rPr>
          <w:color w:val="000000"/>
        </w:rPr>
      </w:pPr>
      <w:bookmarkStart w:id="62" w:name="part_52deaee693e843409c5f7f55c00ebd4b"/>
      <w:bookmarkEnd w:id="62"/>
      <w:r>
        <w:rPr>
          <w:color w:val="000000"/>
        </w:rPr>
        <w:t xml:space="preserve">1. The supervisory authority shall carry out supervisory review and evaluation of a financial brokerage firm </w:t>
      </w:r>
      <w:proofErr w:type="gramStart"/>
      <w:r>
        <w:rPr>
          <w:color w:val="000000"/>
        </w:rPr>
        <w:t>taking into account</w:t>
      </w:r>
      <w:proofErr w:type="gramEnd"/>
      <w:r>
        <w:rPr>
          <w:color w:val="000000"/>
        </w:rPr>
        <w:t xml:space="preserve"> the size, risk profile and business model of the financial brokerage firm. The supervisory review and evaluation shall involve the assessment of the processes put in place by the financial brokerage firm in compliance with the requirements of this Law and Regulation (EU) 2019/2033 and the legal acts of the supervisory authority implementing them. The supervisory review and evaluation shall include the assessment of the financial brokerage firm’s risks referred to in Article 15</w:t>
      </w:r>
      <w:r>
        <w:rPr>
          <w:color w:val="000000"/>
          <w:vertAlign w:val="superscript"/>
        </w:rPr>
        <w:t>4</w:t>
      </w:r>
      <w:r>
        <w:rPr>
          <w:color w:val="000000"/>
        </w:rPr>
        <w:t xml:space="preserve"> of this Law, the geographical location of exposures of the financial instruments held by the financial brokerage firm, its business model, as well as the systemic risk posed by the financial brokerage firm as specified in Article 23 of Regulation (EU) No 1093/2010 and the recommendations of the European Systemic Risk Board, and the risks arising to the security of the network and information systems, so as the confidentiality, integrity and availability of their processes, data and assets is ensured, also the interest rate risk arising from the non-trading book, the internal governance procedure, and the ability of managers to perform their functions.  The supervisory authority shall adopt legal acts establishing the procedure for supervisory review and evaluation.</w:t>
      </w:r>
    </w:p>
    <w:p w14:paraId="45A3EA22" w14:textId="77777777" w:rsidR="00371B85" w:rsidRDefault="00371B85" w:rsidP="00371B85">
      <w:pPr>
        <w:spacing w:line="360" w:lineRule="atLeast"/>
        <w:ind w:firstLine="720"/>
        <w:jc w:val="both"/>
        <w:rPr>
          <w:color w:val="000000"/>
        </w:rPr>
      </w:pPr>
      <w:bookmarkStart w:id="63" w:name="part_4ffd50fd12cb477787f3d40da6699eca"/>
      <w:bookmarkEnd w:id="63"/>
      <w:r>
        <w:rPr>
          <w:color w:val="000000"/>
        </w:rPr>
        <w:t xml:space="preserve">2. The supervisory review and evaluation referred to in paragraph 1 of this Article must be proportionate </w:t>
      </w:r>
      <w:proofErr w:type="gramStart"/>
      <w:r>
        <w:rPr>
          <w:color w:val="000000"/>
        </w:rPr>
        <w:t>taking into account</w:t>
      </w:r>
      <w:proofErr w:type="gramEnd"/>
      <w:r>
        <w:rPr>
          <w:color w:val="000000"/>
        </w:rPr>
        <w:t xml:space="preserve"> whether the financial brokerage firm has the professional indemnity insurance.</w:t>
      </w:r>
    </w:p>
    <w:p w14:paraId="3C59FED5" w14:textId="77777777" w:rsidR="00371B85" w:rsidRDefault="00371B85" w:rsidP="00371B85">
      <w:pPr>
        <w:spacing w:line="360" w:lineRule="atLeast"/>
        <w:ind w:firstLine="720"/>
        <w:jc w:val="both"/>
        <w:rPr>
          <w:color w:val="000000"/>
        </w:rPr>
      </w:pPr>
      <w:bookmarkStart w:id="64" w:name="part_7852ffe13c7c4c3e9fa5504a61a0e1a0"/>
      <w:bookmarkEnd w:id="64"/>
      <w:r>
        <w:rPr>
          <w:color w:val="000000"/>
        </w:rPr>
        <w:t xml:space="preserve">3. The supervisory authority shall determine the frequency and completeness of the supervisory review and evaluation of a financial brokerage firm in accordance with the procedure established by adopted legal acts adopted by it, </w:t>
      </w:r>
      <w:proofErr w:type="gramStart"/>
      <w:r>
        <w:rPr>
          <w:color w:val="000000"/>
        </w:rPr>
        <w:t>taking into account</w:t>
      </w:r>
      <w:proofErr w:type="gramEnd"/>
      <w:r>
        <w:rPr>
          <w:color w:val="000000"/>
        </w:rPr>
        <w:t xml:space="preserve"> the size, systemic importance, nature, scale and complexity of the financial brokerage firm’s activities, and following the principle of proportionality.</w:t>
      </w:r>
    </w:p>
    <w:p w14:paraId="6391FB1B" w14:textId="77777777" w:rsidR="00371B85" w:rsidRDefault="00371B85" w:rsidP="00371B85">
      <w:pPr>
        <w:spacing w:line="360" w:lineRule="atLeast"/>
        <w:ind w:firstLine="720"/>
        <w:jc w:val="both"/>
        <w:rPr>
          <w:color w:val="000000"/>
        </w:rPr>
      </w:pPr>
      <w:bookmarkStart w:id="65" w:name="part_567eeeade5ff493585cc3c7c7f65a505"/>
      <w:bookmarkEnd w:id="65"/>
      <w:r>
        <w:rPr>
          <w:color w:val="000000"/>
        </w:rPr>
        <w:t xml:space="preserve">4. The supervisory authority, in accordance with legal acts adopted by it, may carry out the supervisory review and evaluation of small and non-interconnected financial brokerage firms only </w:t>
      </w:r>
      <w:r>
        <w:rPr>
          <w:color w:val="000000"/>
        </w:rPr>
        <w:lastRenderedPageBreak/>
        <w:t>after assessing and substantiating that it is necessary due to the size, nature, scope and complexity of activities of a specific financial brokerage firm.</w:t>
      </w:r>
    </w:p>
    <w:p w14:paraId="725B30D1" w14:textId="77777777" w:rsidR="00371B85" w:rsidRDefault="00371B85" w:rsidP="00371B85">
      <w:pPr>
        <w:spacing w:line="360" w:lineRule="atLeast"/>
        <w:ind w:firstLine="720"/>
        <w:jc w:val="both"/>
        <w:rPr>
          <w:color w:val="000000"/>
        </w:rPr>
      </w:pPr>
      <w:bookmarkStart w:id="66" w:name="part_c079f3014f954b348a647abd69b8eae6"/>
      <w:bookmarkEnd w:id="66"/>
      <w:r>
        <w:rPr>
          <w:color w:val="000000"/>
        </w:rPr>
        <w:t>5. The supervisory authority shall notify the European Banking Authority about the Supervisory Review and Evaluation Process.</w:t>
      </w:r>
    </w:p>
    <w:p w14:paraId="2F6CC55A" w14:textId="77777777" w:rsidR="00371B85" w:rsidRDefault="00371B85" w:rsidP="00371B85">
      <w:pPr>
        <w:rPr>
          <w:color w:val="000000"/>
        </w:rPr>
      </w:pPr>
      <w:r>
        <w:rPr>
          <w:i/>
          <w:iCs/>
          <w:color w:val="000000"/>
          <w:sz w:val="20"/>
        </w:rPr>
        <w:t>Supplemented with an Article:</w:t>
      </w:r>
    </w:p>
    <w:p w14:paraId="7ADBD83F" w14:textId="77777777" w:rsidR="00371B85" w:rsidRDefault="00371B85" w:rsidP="00371B85">
      <w:pPr>
        <w:jc w:val="both"/>
        <w:rPr>
          <w:color w:val="000000"/>
        </w:rPr>
      </w:pPr>
      <w:r>
        <w:rPr>
          <w:i/>
          <w:iCs/>
          <w:color w:val="000000"/>
          <w:sz w:val="20"/>
        </w:rPr>
        <w:t xml:space="preserve">No </w:t>
      </w:r>
      <w:hyperlink r:id="rId80" w:tgtFrame="_parent" w:history="1">
        <w:r>
          <w:rPr>
            <w:rStyle w:val="Hyperlink"/>
            <w:i/>
            <w:iCs/>
            <w:sz w:val="20"/>
          </w:rPr>
          <w:t>XIV-821</w:t>
        </w:r>
      </w:hyperlink>
      <w:r>
        <w:rPr>
          <w:i/>
          <w:iCs/>
          <w:color w:val="000000"/>
          <w:sz w:val="20"/>
        </w:rPr>
        <w:t>, 23/12/2021, published in the RLA, 30/12/2021, ID code 2021-27710</w:t>
      </w:r>
    </w:p>
    <w:p w14:paraId="5F03DED3" w14:textId="77777777" w:rsidR="00371B85" w:rsidRDefault="00371B85" w:rsidP="00371B85">
      <w:pPr>
        <w:rPr>
          <w:color w:val="000000"/>
        </w:rPr>
      </w:pPr>
      <w:r>
        <w:rPr>
          <w:color w:val="000000"/>
        </w:rPr>
        <w:t> </w:t>
      </w:r>
    </w:p>
    <w:p w14:paraId="32881AE5" w14:textId="77777777" w:rsidR="00371B85" w:rsidRDefault="00371B85" w:rsidP="00371B85">
      <w:pPr>
        <w:spacing w:line="360" w:lineRule="atLeast"/>
        <w:ind w:firstLine="720"/>
        <w:jc w:val="both"/>
        <w:rPr>
          <w:color w:val="000000"/>
        </w:rPr>
      </w:pPr>
      <w:bookmarkStart w:id="67" w:name="part_3714ca5fb33149c99358f36e086719de"/>
      <w:bookmarkEnd w:id="67"/>
      <w:r>
        <w:rPr>
          <w:b/>
          <w:bCs/>
          <w:color w:val="000000"/>
        </w:rPr>
        <w:t>Article 15</w:t>
      </w:r>
      <w:r>
        <w:rPr>
          <w:b/>
          <w:bCs/>
          <w:color w:val="000000"/>
          <w:vertAlign w:val="superscript"/>
        </w:rPr>
        <w:t>3</w:t>
      </w:r>
      <w:r>
        <w:rPr>
          <w:b/>
          <w:bCs/>
          <w:color w:val="000000"/>
        </w:rPr>
        <w:t xml:space="preserve">. Review of the decision to authorise the application of internal </w:t>
      </w:r>
      <w:proofErr w:type="gramStart"/>
      <w:r>
        <w:rPr>
          <w:b/>
          <w:bCs/>
          <w:color w:val="000000"/>
        </w:rPr>
        <w:t>models</w:t>
      </w:r>
      <w:proofErr w:type="gramEnd"/>
    </w:p>
    <w:p w14:paraId="2A7C9FA8" w14:textId="77777777" w:rsidR="00371B85" w:rsidRDefault="00371B85" w:rsidP="00371B85">
      <w:pPr>
        <w:spacing w:line="360" w:lineRule="atLeast"/>
        <w:ind w:firstLine="720"/>
        <w:jc w:val="both"/>
        <w:rPr>
          <w:color w:val="000000"/>
        </w:rPr>
      </w:pPr>
      <w:bookmarkStart w:id="68" w:name="part_b38caadc469d46a083dabc0f6a855098"/>
      <w:bookmarkEnd w:id="68"/>
      <w:r>
        <w:rPr>
          <w:color w:val="000000"/>
        </w:rPr>
        <w:t>1. The supervisory authority shall regularly, at least once every three years, assess the financial brokerage firm’s compliance with the authorisation granted by the supervisory authority to use internal models for calculating own funds for market risk, as specified in Article 22 of Regulation (EU) 2019/2033.</w:t>
      </w:r>
    </w:p>
    <w:p w14:paraId="0A05A90E" w14:textId="77777777" w:rsidR="00371B85" w:rsidRDefault="00371B85" w:rsidP="00371B85">
      <w:pPr>
        <w:spacing w:line="360" w:lineRule="atLeast"/>
        <w:ind w:firstLine="720"/>
        <w:jc w:val="both"/>
        <w:rPr>
          <w:color w:val="000000"/>
        </w:rPr>
      </w:pPr>
      <w:bookmarkStart w:id="69" w:name="part_ee27bb2c5ed148aab19167ebbc095a3b"/>
      <w:bookmarkEnd w:id="69"/>
      <w:r>
        <w:rPr>
          <w:color w:val="000000"/>
        </w:rPr>
        <w:t xml:space="preserve">2. When carrying out the assessment referred to in paragraph 1 of this Article, changes in the operations of the financial brokerage firm, the application of internal models to new products, and whether the financial brokerage firm applies properly prepared latest methods and practices shall be </w:t>
      </w:r>
      <w:proofErr w:type="gramStart"/>
      <w:r>
        <w:rPr>
          <w:color w:val="000000"/>
        </w:rPr>
        <w:t>taken into account</w:t>
      </w:r>
      <w:proofErr w:type="gramEnd"/>
      <w:r>
        <w:rPr>
          <w:color w:val="000000"/>
        </w:rPr>
        <w:t xml:space="preserve"> first.</w:t>
      </w:r>
    </w:p>
    <w:p w14:paraId="16333A55" w14:textId="77777777" w:rsidR="00371B85" w:rsidRDefault="00371B85" w:rsidP="00371B85">
      <w:pPr>
        <w:spacing w:line="360" w:lineRule="atLeast"/>
        <w:ind w:firstLine="720"/>
        <w:jc w:val="both"/>
        <w:rPr>
          <w:color w:val="000000"/>
        </w:rPr>
      </w:pPr>
      <w:bookmarkStart w:id="70" w:name="part_da7fa00f66724c229291037af69f262e"/>
      <w:bookmarkEnd w:id="70"/>
      <w:r>
        <w:rPr>
          <w:color w:val="000000"/>
        </w:rPr>
        <w:t>3. Having identified any material deficiencies in the application of the models referred to in paragraph 1 of this Article, the supervisory authority shall issue to the financial brokerage firm mandatory instructions specified in paragraphs 3 and 7 of Article 102 of this Law.</w:t>
      </w:r>
    </w:p>
    <w:p w14:paraId="465183DA" w14:textId="77777777" w:rsidR="00371B85" w:rsidRDefault="00371B85" w:rsidP="00371B85">
      <w:pPr>
        <w:spacing w:line="360" w:lineRule="atLeast"/>
        <w:ind w:firstLine="720"/>
        <w:jc w:val="both"/>
        <w:rPr>
          <w:color w:val="000000"/>
        </w:rPr>
      </w:pPr>
      <w:bookmarkStart w:id="71" w:name="part_a2ceb22ba8374aa69c8785e290c2f3b0"/>
      <w:bookmarkEnd w:id="71"/>
      <w:r>
        <w:rPr>
          <w:color w:val="000000"/>
        </w:rPr>
        <w:t>4. The supervisory authority shall withdraw the authorisation for application of internal models or shall issue mandatory instructions specified in paragraphs 3 and 7 of Article 102 and Article 93(5)(8) of this Law to the financial brokerage firm if many deviations specified in Article 366 of Regulation (EU) No 575/2013 show that internal models are no longer accurate.</w:t>
      </w:r>
    </w:p>
    <w:p w14:paraId="403C2C25" w14:textId="77777777" w:rsidR="00371B85" w:rsidRDefault="00371B85" w:rsidP="00371B85">
      <w:pPr>
        <w:spacing w:line="360" w:lineRule="atLeast"/>
        <w:ind w:firstLine="720"/>
        <w:jc w:val="both"/>
        <w:rPr>
          <w:color w:val="000000"/>
        </w:rPr>
      </w:pPr>
      <w:bookmarkStart w:id="72" w:name="part_af91e2d9d0084d8d9eb25d152bc93b30"/>
      <w:bookmarkEnd w:id="72"/>
      <w:r>
        <w:rPr>
          <w:color w:val="000000"/>
        </w:rPr>
        <w:t>5. When a financial brokerage firm no longer complies with the requirements set for the issuance of the authorisation for application of internal models or with the mandatory instructions established in Article 102 of this Law, the supervisory authority shall request that the financial brokerage firm prove that the non-compliance is insignificant or submit a plan and a time limit for compliance with the requirements.  The supervisory authority may request that the plan be adjusted if it does not fully meet the requirements, and that a different time limit is set.</w:t>
      </w:r>
    </w:p>
    <w:p w14:paraId="5F765B22" w14:textId="77777777" w:rsidR="00371B85" w:rsidRDefault="00371B85" w:rsidP="00371B85">
      <w:pPr>
        <w:spacing w:line="360" w:lineRule="atLeast"/>
        <w:ind w:firstLine="720"/>
        <w:jc w:val="both"/>
        <w:rPr>
          <w:color w:val="000000"/>
        </w:rPr>
      </w:pPr>
      <w:bookmarkStart w:id="73" w:name="part_45a889b95ce644a6b11be184a6c676a1"/>
      <w:bookmarkEnd w:id="73"/>
      <w:r>
        <w:rPr>
          <w:color w:val="000000"/>
        </w:rPr>
        <w:t>6. If, in the view of the supervisory authority, the financial brokerage firm fails to comply with the requirements for application of internal models within the time limit referred to in paragraph 5 of this Article or does not prove that the non-compliance is insignificant, the financial brokerage firm’s authorisation for application of internal models shall be revoked or the application shall be allowed only in those areas that meet the requirements or in those areas that will meet the requirements within the time limit referred to in paragraph 5 of this Article.</w:t>
      </w:r>
    </w:p>
    <w:p w14:paraId="5A93236E" w14:textId="77777777" w:rsidR="00371B85" w:rsidRDefault="00371B85" w:rsidP="00371B85">
      <w:pPr>
        <w:rPr>
          <w:color w:val="000000"/>
        </w:rPr>
      </w:pPr>
      <w:r>
        <w:rPr>
          <w:i/>
          <w:iCs/>
          <w:color w:val="000000"/>
          <w:sz w:val="20"/>
        </w:rPr>
        <w:t>Supplemented with an Article:</w:t>
      </w:r>
    </w:p>
    <w:p w14:paraId="59C32B5F" w14:textId="77777777" w:rsidR="00371B85" w:rsidRDefault="00371B85" w:rsidP="00371B85">
      <w:pPr>
        <w:jc w:val="both"/>
        <w:rPr>
          <w:color w:val="000000"/>
        </w:rPr>
      </w:pPr>
      <w:r>
        <w:rPr>
          <w:i/>
          <w:iCs/>
          <w:color w:val="000000"/>
          <w:sz w:val="20"/>
        </w:rPr>
        <w:t xml:space="preserve">No </w:t>
      </w:r>
      <w:hyperlink r:id="rId81" w:tgtFrame="_parent" w:history="1">
        <w:r>
          <w:rPr>
            <w:rStyle w:val="Hyperlink"/>
            <w:i/>
            <w:iCs/>
            <w:sz w:val="20"/>
          </w:rPr>
          <w:t>XIV-821</w:t>
        </w:r>
      </w:hyperlink>
      <w:r>
        <w:rPr>
          <w:i/>
          <w:iCs/>
          <w:color w:val="000000"/>
          <w:sz w:val="20"/>
        </w:rPr>
        <w:t>, 23/12/2021, published in the RLA, 30/12/2021, ID code 2021-27710</w:t>
      </w:r>
    </w:p>
    <w:p w14:paraId="2F63B162" w14:textId="77777777" w:rsidR="00371B85" w:rsidRDefault="00371B85" w:rsidP="00371B85">
      <w:pPr>
        <w:rPr>
          <w:color w:val="000000"/>
        </w:rPr>
      </w:pPr>
      <w:r>
        <w:rPr>
          <w:color w:val="000000"/>
        </w:rPr>
        <w:t> </w:t>
      </w:r>
    </w:p>
    <w:p w14:paraId="1E98B639" w14:textId="77777777" w:rsidR="00371B85" w:rsidRDefault="00371B85" w:rsidP="00371B85">
      <w:pPr>
        <w:spacing w:line="360" w:lineRule="atLeast"/>
        <w:ind w:firstLine="720"/>
        <w:jc w:val="both"/>
        <w:rPr>
          <w:color w:val="000000"/>
        </w:rPr>
      </w:pPr>
      <w:bookmarkStart w:id="74" w:name="part_358f676a913f47e19b6f61b61d0a546e"/>
      <w:bookmarkEnd w:id="74"/>
      <w:r>
        <w:rPr>
          <w:b/>
          <w:bCs/>
          <w:color w:val="000000"/>
        </w:rPr>
        <w:t>Article 15</w:t>
      </w:r>
      <w:r>
        <w:rPr>
          <w:b/>
          <w:bCs/>
          <w:color w:val="000000"/>
          <w:vertAlign w:val="superscript"/>
        </w:rPr>
        <w:t>4</w:t>
      </w:r>
      <w:r>
        <w:rPr>
          <w:b/>
          <w:bCs/>
          <w:color w:val="000000"/>
        </w:rPr>
        <w:t>. Risk management</w:t>
      </w:r>
    </w:p>
    <w:p w14:paraId="63937655" w14:textId="77777777" w:rsidR="00371B85" w:rsidRDefault="00371B85" w:rsidP="00371B85">
      <w:pPr>
        <w:spacing w:line="360" w:lineRule="atLeast"/>
        <w:ind w:firstLine="720"/>
        <w:jc w:val="both"/>
        <w:rPr>
          <w:color w:val="000000"/>
        </w:rPr>
      </w:pPr>
      <w:bookmarkStart w:id="75" w:name="part_96f10b27be214185adf009789f7d2b4d"/>
      <w:bookmarkEnd w:id="75"/>
      <w:r>
        <w:rPr>
          <w:color w:val="000000"/>
        </w:rPr>
        <w:t xml:space="preserve">1. A financial brokerage firm shall be required to apply a robust risk management policy and strategy which would include the identification, </w:t>
      </w:r>
      <w:proofErr w:type="gramStart"/>
      <w:r>
        <w:rPr>
          <w:color w:val="000000"/>
        </w:rPr>
        <w:t>assessment</w:t>
      </w:r>
      <w:proofErr w:type="gramEnd"/>
      <w:r>
        <w:rPr>
          <w:color w:val="000000"/>
        </w:rPr>
        <w:t xml:space="preserve"> and management of the following factors:</w:t>
      </w:r>
    </w:p>
    <w:p w14:paraId="2B2F7B9D" w14:textId="77777777" w:rsidR="00371B85" w:rsidRDefault="00371B85" w:rsidP="00371B85">
      <w:pPr>
        <w:spacing w:line="360" w:lineRule="atLeast"/>
        <w:ind w:firstLine="720"/>
        <w:jc w:val="both"/>
        <w:rPr>
          <w:color w:val="000000"/>
        </w:rPr>
      </w:pPr>
      <w:bookmarkStart w:id="76" w:name="part_d3cca2d0c159499bba0a4c86c653a123"/>
      <w:bookmarkEnd w:id="76"/>
      <w:r>
        <w:rPr>
          <w:color w:val="000000"/>
        </w:rPr>
        <w:lastRenderedPageBreak/>
        <w:t xml:space="preserve">1) sources and consequences of significant risks arising for clients, as well as any significant impact on own </w:t>
      </w:r>
      <w:proofErr w:type="gramStart"/>
      <w:r>
        <w:rPr>
          <w:color w:val="000000"/>
        </w:rPr>
        <w:t>funds;</w:t>
      </w:r>
      <w:proofErr w:type="gramEnd"/>
    </w:p>
    <w:p w14:paraId="57A5FC9E" w14:textId="77777777" w:rsidR="00371B85" w:rsidRDefault="00371B85" w:rsidP="00371B85">
      <w:pPr>
        <w:spacing w:line="360" w:lineRule="atLeast"/>
        <w:ind w:firstLine="720"/>
        <w:jc w:val="both"/>
        <w:rPr>
          <w:color w:val="000000"/>
        </w:rPr>
      </w:pPr>
      <w:bookmarkStart w:id="77" w:name="part_140333c272444c6f93e8476f66f2bb7e"/>
      <w:bookmarkEnd w:id="77"/>
      <w:r>
        <w:rPr>
          <w:color w:val="000000"/>
        </w:rPr>
        <w:t xml:space="preserve">2) sources and consequences of significant risks arising for the market, as well as any significant impact on own </w:t>
      </w:r>
      <w:proofErr w:type="gramStart"/>
      <w:r>
        <w:rPr>
          <w:color w:val="000000"/>
        </w:rPr>
        <w:t>funds;</w:t>
      </w:r>
      <w:proofErr w:type="gramEnd"/>
    </w:p>
    <w:p w14:paraId="15D91749" w14:textId="77777777" w:rsidR="00371B85" w:rsidRDefault="00371B85" w:rsidP="00371B85">
      <w:pPr>
        <w:spacing w:line="360" w:lineRule="atLeast"/>
        <w:ind w:firstLine="720"/>
        <w:jc w:val="both"/>
        <w:rPr>
          <w:color w:val="000000"/>
        </w:rPr>
      </w:pPr>
      <w:bookmarkStart w:id="78" w:name="part_df46b5d920a74bbbb1c8fe0bc3aed6e5"/>
      <w:bookmarkEnd w:id="78"/>
      <w:r>
        <w:rPr>
          <w:color w:val="000000"/>
        </w:rPr>
        <w:t xml:space="preserve">3) sources and consequences of significant risks arising for the financial brokerage firm, in particular, risks that may lead to the reduction of the level of available own resources, including a significant change in the book value of assets, requirements of dependent intermediaries, defaults by clients or counterparties, financial instruments, foreign currency, commodity positions, liabilities arising from pension </w:t>
      </w:r>
      <w:proofErr w:type="gramStart"/>
      <w:r>
        <w:rPr>
          <w:color w:val="000000"/>
        </w:rPr>
        <w:t>accumulation;</w:t>
      </w:r>
      <w:proofErr w:type="gramEnd"/>
    </w:p>
    <w:p w14:paraId="445F15D9" w14:textId="77777777" w:rsidR="00371B85" w:rsidRDefault="00371B85" w:rsidP="00371B85">
      <w:pPr>
        <w:spacing w:line="360" w:lineRule="atLeast"/>
        <w:ind w:firstLine="720"/>
        <w:jc w:val="both"/>
        <w:rPr>
          <w:color w:val="000000"/>
        </w:rPr>
      </w:pPr>
      <w:bookmarkStart w:id="79" w:name="part_c93c02fb9fe0410eadced0daa58ed766"/>
      <w:bookmarkEnd w:id="79"/>
      <w:r>
        <w:rPr>
          <w:color w:val="000000"/>
        </w:rPr>
        <w:t xml:space="preserve">4) liquidity risks by periods, including a one-day period, in order to ensure that the financial brokerage firm maintains a sufficient liquidity requirement and, inter alia, is able to eliminate the significant sources of risk specified in sub-paragraphs 1, 2 and 3 of this </w:t>
      </w:r>
      <w:proofErr w:type="gramStart"/>
      <w:r>
        <w:rPr>
          <w:color w:val="000000"/>
        </w:rPr>
        <w:t>paragraph</w:t>
      </w:r>
      <w:proofErr w:type="gramEnd"/>
      <w:r>
        <w:rPr>
          <w:color w:val="000000"/>
        </w:rPr>
        <w:t>.</w:t>
      </w:r>
    </w:p>
    <w:p w14:paraId="0ED606DE" w14:textId="77777777" w:rsidR="00371B85" w:rsidRDefault="00371B85" w:rsidP="00371B85">
      <w:pPr>
        <w:spacing w:line="360" w:lineRule="atLeast"/>
        <w:ind w:firstLine="720"/>
        <w:jc w:val="both"/>
        <w:rPr>
          <w:color w:val="000000"/>
        </w:rPr>
      </w:pPr>
      <w:bookmarkStart w:id="80" w:name="part_c6e0934fc81e4eac83dbe2d73e5f8c34"/>
      <w:bookmarkEnd w:id="80"/>
      <w:r>
        <w:rPr>
          <w:color w:val="000000"/>
        </w:rPr>
        <w:t xml:space="preserve">2. The risk management policy and strategy referred to in paragraph 1 of this Article must be proportionate to the complexity, risk profile, scale of operations and risk tolerance of the financial brokerage firm as determined by the managers of the financial brokerage </w:t>
      </w:r>
      <w:proofErr w:type="gramStart"/>
      <w:r>
        <w:rPr>
          <w:color w:val="000000"/>
        </w:rPr>
        <w:t>firm, and</w:t>
      </w:r>
      <w:proofErr w:type="gramEnd"/>
      <w:r>
        <w:rPr>
          <w:color w:val="000000"/>
        </w:rPr>
        <w:t xml:space="preserve"> must correspond to the importance of the financial brokerage firm in each Member State in which the financial brokerage firm operates.</w:t>
      </w:r>
    </w:p>
    <w:p w14:paraId="43D22EBE" w14:textId="77777777" w:rsidR="00371B85" w:rsidRDefault="00371B85" w:rsidP="00371B85">
      <w:pPr>
        <w:spacing w:line="360" w:lineRule="atLeast"/>
        <w:ind w:firstLine="720"/>
        <w:jc w:val="both"/>
        <w:rPr>
          <w:color w:val="000000"/>
        </w:rPr>
      </w:pPr>
      <w:bookmarkStart w:id="81" w:name="part_903f6c3616134ef9978cb9279e6312d1"/>
      <w:bookmarkEnd w:id="81"/>
      <w:r>
        <w:rPr>
          <w:color w:val="000000"/>
        </w:rPr>
        <w:t xml:space="preserve">3. The supervisory authority may establish requirements other than those specified in sub-paragraph 1 of paragraph 1 and in paragraph 2 of this Article, </w:t>
      </w:r>
      <w:proofErr w:type="gramStart"/>
      <w:r>
        <w:rPr>
          <w:color w:val="000000"/>
        </w:rPr>
        <w:t>taking into account</w:t>
      </w:r>
      <w:proofErr w:type="gramEnd"/>
      <w:r>
        <w:rPr>
          <w:color w:val="000000"/>
        </w:rPr>
        <w:t xml:space="preserve"> the requirements applied to the custody of client funds separately from the funds of the financial brokerage firm.</w:t>
      </w:r>
    </w:p>
    <w:p w14:paraId="7157FC6C" w14:textId="77777777" w:rsidR="00371B85" w:rsidRDefault="00371B85" w:rsidP="00371B85">
      <w:pPr>
        <w:spacing w:line="360" w:lineRule="atLeast"/>
        <w:ind w:firstLine="720"/>
        <w:jc w:val="both"/>
        <w:rPr>
          <w:color w:val="000000"/>
        </w:rPr>
      </w:pPr>
      <w:bookmarkStart w:id="82" w:name="part_4064badff3d544a5b5947ece3f10b8a7"/>
      <w:bookmarkEnd w:id="82"/>
      <w:r>
        <w:rPr>
          <w:color w:val="000000"/>
        </w:rPr>
        <w:t>4. Professional indemnity insurance can be regarded as a suitable tool for managing the risk factors specified in sub-paragraph 1 of paragraph 1 of this Article.</w:t>
      </w:r>
    </w:p>
    <w:p w14:paraId="577BAD6D" w14:textId="77777777" w:rsidR="00371B85" w:rsidRDefault="00371B85" w:rsidP="00371B85">
      <w:pPr>
        <w:spacing w:line="360" w:lineRule="atLeast"/>
        <w:ind w:firstLine="720"/>
        <w:jc w:val="both"/>
        <w:rPr>
          <w:color w:val="000000"/>
        </w:rPr>
      </w:pPr>
      <w:bookmarkStart w:id="83" w:name="part_f2aa6e907a064a6d9ccabcf4ed38a567"/>
      <w:bookmarkEnd w:id="83"/>
      <w:r>
        <w:rPr>
          <w:color w:val="000000"/>
        </w:rPr>
        <w:t>5. A financial brokerage firm shall be required to assess the significant impact on own funds referred to in paragraph 1 of this Article where the client risk and the market risk are not sufficiently covered by own funds that meet the requirements specified in Article 11 of Regulation (EU) 2019/2033.</w:t>
      </w:r>
    </w:p>
    <w:p w14:paraId="3EB9018B" w14:textId="77777777" w:rsidR="00371B85" w:rsidRDefault="00371B85" w:rsidP="00371B85">
      <w:pPr>
        <w:spacing w:line="360" w:lineRule="atLeast"/>
        <w:ind w:firstLine="720"/>
        <w:jc w:val="both"/>
        <w:rPr>
          <w:color w:val="000000"/>
        </w:rPr>
      </w:pPr>
      <w:bookmarkStart w:id="84" w:name="part_d5a8457e460545d09e495b064c30e548"/>
      <w:bookmarkEnd w:id="84"/>
      <w:r>
        <w:rPr>
          <w:color w:val="000000"/>
        </w:rPr>
        <w:t xml:space="preserve">6. The supervisory authority shall have the right to request that a financial brokerage firm under liquidation or winding-up, </w:t>
      </w:r>
      <w:proofErr w:type="gramStart"/>
      <w:r>
        <w:rPr>
          <w:color w:val="000000"/>
        </w:rPr>
        <w:t>taking into account</w:t>
      </w:r>
      <w:proofErr w:type="gramEnd"/>
      <w:r>
        <w:rPr>
          <w:color w:val="000000"/>
        </w:rPr>
        <w:t xml:space="preserve"> its viability and the sustainability of its business model and strategies, properly complies with the own funds and liquid assets requirements specified in this Law and Regulation (EU) 2019/2033 throughout the period until the financial brokerage firm is liquidated or otherwise terminated.</w:t>
      </w:r>
    </w:p>
    <w:p w14:paraId="5A7D0E42" w14:textId="77777777" w:rsidR="00371B85" w:rsidRDefault="00371B85" w:rsidP="00371B85">
      <w:pPr>
        <w:spacing w:line="360" w:lineRule="atLeast"/>
        <w:ind w:firstLine="720"/>
        <w:jc w:val="both"/>
        <w:rPr>
          <w:color w:val="000000"/>
        </w:rPr>
      </w:pPr>
      <w:bookmarkStart w:id="85" w:name="part_007a6781be0f484fbfc51576b15e0f22"/>
      <w:bookmarkEnd w:id="85"/>
      <w:r>
        <w:rPr>
          <w:color w:val="000000"/>
        </w:rPr>
        <w:t xml:space="preserve">7. A financial brokerage company shall be required to establish a risk committee when the average value of its on-balance-sheet and off-balance-sheet assets for the period of 4 years preceding the last day of the financial year exceeds €100 million.  Only members of the supervisory board of the financial brokerage firm can be members of such a committee, where the setting up of the committee is mandatory under this Article. A financial brokerage firm shall determine the procedure of setting up and the structure of the risk committee, </w:t>
      </w:r>
      <w:proofErr w:type="gramStart"/>
      <w:r>
        <w:rPr>
          <w:color w:val="000000"/>
        </w:rPr>
        <w:t>taking into account</w:t>
      </w:r>
      <w:proofErr w:type="gramEnd"/>
      <w:r>
        <w:rPr>
          <w:color w:val="000000"/>
        </w:rPr>
        <w:t xml:space="preserve"> its size, internal organisational, the nature, scope and complexity of its activities.</w:t>
      </w:r>
    </w:p>
    <w:p w14:paraId="0A98CEE0" w14:textId="77777777" w:rsidR="00371B85" w:rsidRDefault="00371B85" w:rsidP="00371B85">
      <w:pPr>
        <w:spacing w:line="360" w:lineRule="atLeast"/>
        <w:ind w:firstLine="720"/>
        <w:jc w:val="both"/>
        <w:rPr>
          <w:color w:val="000000"/>
        </w:rPr>
      </w:pPr>
      <w:bookmarkStart w:id="86" w:name="part_93def79658af49bcbcfe6c3212cc1a18"/>
      <w:bookmarkEnd w:id="86"/>
      <w:r>
        <w:rPr>
          <w:color w:val="000000"/>
        </w:rPr>
        <w:lastRenderedPageBreak/>
        <w:t xml:space="preserve">8. A financial brokerage firm shall be required to ensure that the members of the risk committee are suitable for the duties of members of this committee and for the assigned functions, </w:t>
      </w:r>
      <w:proofErr w:type="gramStart"/>
      <w:r>
        <w:rPr>
          <w:color w:val="000000"/>
        </w:rPr>
        <w:t>taking into account</w:t>
      </w:r>
      <w:proofErr w:type="gramEnd"/>
      <w:r>
        <w:rPr>
          <w:color w:val="000000"/>
        </w:rPr>
        <w:t xml:space="preserve"> their reputation, education, knowledge, and experience.</w:t>
      </w:r>
    </w:p>
    <w:p w14:paraId="23451323" w14:textId="77777777" w:rsidR="00371B85" w:rsidRDefault="00371B85" w:rsidP="00371B85">
      <w:pPr>
        <w:spacing w:line="360" w:lineRule="atLeast"/>
        <w:ind w:firstLine="720"/>
        <w:jc w:val="both"/>
        <w:rPr>
          <w:color w:val="000000"/>
        </w:rPr>
      </w:pPr>
      <w:bookmarkStart w:id="87" w:name="part_9e3f16b94d434bce9578332f0a2ba835"/>
      <w:bookmarkEnd w:id="87"/>
      <w:r>
        <w:rPr>
          <w:color w:val="000000"/>
        </w:rPr>
        <w:t>9. The risk committee shall advise the managers of the financial brokerage firm on the risks assumed by the firm, the risk management strategy and shall help them supervise how the strategy is implemented by the senior management of the firm.  The responsibility for the application of the risk management strategy and policy specified in paragraph 1 of this Article shall be borne by the managers of the financial brokerage firm.</w:t>
      </w:r>
    </w:p>
    <w:p w14:paraId="2BFBDC30" w14:textId="77777777" w:rsidR="00371B85" w:rsidRDefault="00371B85" w:rsidP="00371B85">
      <w:pPr>
        <w:spacing w:line="360" w:lineRule="atLeast"/>
        <w:ind w:firstLine="720"/>
        <w:jc w:val="both"/>
        <w:rPr>
          <w:color w:val="000000"/>
        </w:rPr>
      </w:pPr>
      <w:bookmarkStart w:id="88" w:name="part_44275d918ddb4c62861076fc723d9aaf"/>
      <w:bookmarkEnd w:id="88"/>
      <w:r>
        <w:rPr>
          <w:color w:val="000000"/>
        </w:rPr>
        <w:t>10. The financial brokerage firm shall ensure that managers performing the supervisory function and the risk committee are provided with the resources necessary to perform their duties, receive all the necessary information and can refer to external experts in matters within their competence.</w:t>
      </w:r>
    </w:p>
    <w:p w14:paraId="783AF94C" w14:textId="77777777" w:rsidR="00371B85" w:rsidRDefault="00371B85" w:rsidP="00371B85">
      <w:pPr>
        <w:spacing w:line="360" w:lineRule="atLeast"/>
        <w:ind w:firstLine="720"/>
        <w:jc w:val="both"/>
        <w:rPr>
          <w:color w:val="000000"/>
        </w:rPr>
      </w:pPr>
      <w:bookmarkStart w:id="89" w:name="part_abf7fd57160c410c9b18c483c7315dbe"/>
      <w:bookmarkEnd w:id="89"/>
      <w:r>
        <w:rPr>
          <w:color w:val="000000"/>
        </w:rPr>
        <w:t>11. Requirements specified in paragraphs 7 to10 of this Article shall not apply to small and non-interconnected financial brokerage firms.</w:t>
      </w:r>
    </w:p>
    <w:p w14:paraId="097ACCFA" w14:textId="77777777" w:rsidR="00371B85" w:rsidRDefault="00371B85" w:rsidP="00371B85">
      <w:pPr>
        <w:rPr>
          <w:color w:val="000000"/>
        </w:rPr>
      </w:pPr>
      <w:r>
        <w:rPr>
          <w:i/>
          <w:iCs/>
          <w:color w:val="000000"/>
          <w:sz w:val="20"/>
        </w:rPr>
        <w:t>Supplemented with an Article:</w:t>
      </w:r>
    </w:p>
    <w:p w14:paraId="471649BE" w14:textId="77777777" w:rsidR="00371B85" w:rsidRDefault="00371B85" w:rsidP="00371B85">
      <w:pPr>
        <w:jc w:val="both"/>
        <w:rPr>
          <w:color w:val="000000"/>
        </w:rPr>
      </w:pPr>
      <w:r>
        <w:rPr>
          <w:i/>
          <w:iCs/>
          <w:color w:val="000000"/>
          <w:sz w:val="20"/>
        </w:rPr>
        <w:t xml:space="preserve">No </w:t>
      </w:r>
      <w:hyperlink r:id="rId82" w:tgtFrame="_parent" w:history="1">
        <w:r>
          <w:rPr>
            <w:rStyle w:val="Hyperlink"/>
            <w:i/>
            <w:iCs/>
            <w:sz w:val="20"/>
          </w:rPr>
          <w:t>XIV-821</w:t>
        </w:r>
      </w:hyperlink>
      <w:r>
        <w:rPr>
          <w:i/>
          <w:iCs/>
          <w:color w:val="000000"/>
          <w:sz w:val="20"/>
        </w:rPr>
        <w:t>, 23/12/2021, published in the RLA, 30/12/2021, ID code 2021-27710</w:t>
      </w:r>
    </w:p>
    <w:p w14:paraId="3D17DD55" w14:textId="77777777" w:rsidR="00371B85" w:rsidRDefault="00371B85" w:rsidP="00371B85">
      <w:pPr>
        <w:rPr>
          <w:color w:val="000000"/>
        </w:rPr>
      </w:pPr>
      <w:r>
        <w:rPr>
          <w:color w:val="000000"/>
        </w:rPr>
        <w:t> </w:t>
      </w:r>
    </w:p>
    <w:p w14:paraId="5792E184" w14:textId="77777777" w:rsidR="00371B85" w:rsidRDefault="00371B85" w:rsidP="00371B85">
      <w:pPr>
        <w:spacing w:line="360" w:lineRule="atLeast"/>
        <w:ind w:firstLine="720"/>
        <w:jc w:val="both"/>
        <w:rPr>
          <w:color w:val="000000"/>
        </w:rPr>
      </w:pPr>
      <w:bookmarkStart w:id="90" w:name="part_0d517c04d79948478f875d68da8f4e51"/>
      <w:bookmarkEnd w:id="90"/>
      <w:r>
        <w:rPr>
          <w:b/>
          <w:bCs/>
          <w:color w:val="000000"/>
        </w:rPr>
        <w:t>Article 15</w:t>
      </w:r>
      <w:r>
        <w:rPr>
          <w:b/>
          <w:bCs/>
          <w:color w:val="000000"/>
          <w:vertAlign w:val="superscript"/>
        </w:rPr>
        <w:t>5</w:t>
      </w:r>
      <w:r>
        <w:rPr>
          <w:b/>
          <w:bCs/>
          <w:color w:val="000000"/>
        </w:rPr>
        <w:t>. Remuneration policy</w:t>
      </w:r>
    </w:p>
    <w:p w14:paraId="38E2646A" w14:textId="77777777" w:rsidR="00371B85" w:rsidRDefault="00371B85" w:rsidP="00371B85">
      <w:pPr>
        <w:spacing w:line="360" w:lineRule="atLeast"/>
        <w:ind w:firstLine="720"/>
        <w:jc w:val="both"/>
        <w:rPr>
          <w:color w:val="000000"/>
        </w:rPr>
      </w:pPr>
      <w:bookmarkStart w:id="91" w:name="part_18a6ad9854f14f63b1d83d074a7e3467"/>
      <w:bookmarkEnd w:id="91"/>
      <w:r>
        <w:rPr>
          <w:color w:val="000000"/>
        </w:rPr>
        <w:t>1. The remuneration policy shall be established and applied to those categories of the financial brokerage firm’s staff whose professional activities have a material impact on the financial brokerage firm’s risk profile or the assets managed by it, and the requirements of this Article applicable to the remuneration policy of the staff of such categories must also be met.  Such categories of staff shall include at least senior management, risk-taking employees, employees performing control functions and employees whose variable and fixed remuneration is not less than the minimum remuneration of members of senior management or risk-taking employees.</w:t>
      </w:r>
    </w:p>
    <w:p w14:paraId="6032F9B8" w14:textId="77777777" w:rsidR="00371B85" w:rsidRDefault="00371B85" w:rsidP="00371B85">
      <w:pPr>
        <w:spacing w:line="360" w:lineRule="atLeast"/>
        <w:ind w:firstLine="720"/>
        <w:jc w:val="both"/>
        <w:rPr>
          <w:color w:val="000000"/>
        </w:rPr>
      </w:pPr>
      <w:bookmarkStart w:id="92" w:name="part_c2db7e56bf1d480badd01be2383b1edf"/>
      <w:bookmarkEnd w:id="92"/>
      <w:r>
        <w:rPr>
          <w:color w:val="000000"/>
        </w:rPr>
        <w:t xml:space="preserve">2. The remuneration policy referred to in paragraph 1 of this Article must be determined </w:t>
      </w:r>
      <w:proofErr w:type="gramStart"/>
      <w:r>
        <w:rPr>
          <w:color w:val="000000"/>
        </w:rPr>
        <w:t>taking into account</w:t>
      </w:r>
      <w:proofErr w:type="gramEnd"/>
      <w:r>
        <w:rPr>
          <w:color w:val="000000"/>
        </w:rPr>
        <w:t xml:space="preserve"> the size, internal organisation of the financial brokerage firm, the nature, scale and complexity of its activities.</w:t>
      </w:r>
    </w:p>
    <w:p w14:paraId="1EA2DF10" w14:textId="77777777" w:rsidR="00371B85" w:rsidRDefault="00371B85" w:rsidP="00371B85">
      <w:pPr>
        <w:spacing w:line="360" w:lineRule="atLeast"/>
        <w:ind w:firstLine="720"/>
        <w:jc w:val="both"/>
        <w:rPr>
          <w:color w:val="000000"/>
        </w:rPr>
      </w:pPr>
      <w:bookmarkStart w:id="93" w:name="part_d42f999f4af34ba58255bd53b7dad3f4"/>
      <w:bookmarkEnd w:id="93"/>
      <w:r>
        <w:rPr>
          <w:color w:val="000000"/>
        </w:rPr>
        <w:t xml:space="preserve">3. The remuneration policy must be documented and proportionate to the size, internal organisation of the financial brokerage firm, the nature, </w:t>
      </w:r>
      <w:proofErr w:type="gramStart"/>
      <w:r>
        <w:rPr>
          <w:color w:val="000000"/>
        </w:rPr>
        <w:t>scale</w:t>
      </w:r>
      <w:proofErr w:type="gramEnd"/>
      <w:r>
        <w:rPr>
          <w:color w:val="000000"/>
        </w:rPr>
        <w:t xml:space="preserve"> and complexity of its activities, must be gender-neutral, must promote strong and effective risk management, meet the financial brokerage firm’s long-term operation interests, business strategy, goals, must help avoid conflicts of interest, must not encourage employees to take excessive risks.</w:t>
      </w:r>
    </w:p>
    <w:p w14:paraId="69542CC5" w14:textId="77777777" w:rsidR="00371B85" w:rsidRDefault="00371B85" w:rsidP="00371B85">
      <w:pPr>
        <w:spacing w:line="360" w:lineRule="atLeast"/>
        <w:ind w:firstLine="720"/>
        <w:jc w:val="both"/>
        <w:rPr>
          <w:color w:val="000000"/>
        </w:rPr>
      </w:pPr>
      <w:bookmarkStart w:id="94" w:name="part_08d90320153647a1be529df8e1f05333"/>
      <w:bookmarkEnd w:id="94"/>
      <w:r>
        <w:rPr>
          <w:color w:val="000000"/>
        </w:rPr>
        <w:t xml:space="preserve">4. The supervisory board or, if it is not formed, the board shall be responsible for implementing, </w:t>
      </w:r>
      <w:proofErr w:type="gramStart"/>
      <w:r>
        <w:rPr>
          <w:color w:val="000000"/>
        </w:rPr>
        <w:t>approving</w:t>
      </w:r>
      <w:proofErr w:type="gramEnd"/>
      <w:r>
        <w:rPr>
          <w:color w:val="000000"/>
        </w:rPr>
        <w:t xml:space="preserve"> and periodically reviewing the remuneration policy.</w:t>
      </w:r>
    </w:p>
    <w:p w14:paraId="5D46781A" w14:textId="77777777" w:rsidR="00371B85" w:rsidRDefault="00371B85" w:rsidP="00371B85">
      <w:pPr>
        <w:spacing w:line="360" w:lineRule="atLeast"/>
        <w:ind w:firstLine="720"/>
        <w:jc w:val="both"/>
        <w:rPr>
          <w:color w:val="000000"/>
        </w:rPr>
      </w:pPr>
      <w:bookmarkStart w:id="95" w:name="part_f6b3991642d5472493735ef33389db8f"/>
      <w:bookmarkEnd w:id="95"/>
      <w:r>
        <w:rPr>
          <w:color w:val="000000"/>
        </w:rPr>
        <w:t>5. The internal audit unit of the financial brokerage firm or, if it is not established, persons performing control functions of the financial brokerage firm shall be required to perform an independent internal evaluation of the implementation of the remuneration policy at least once a year.</w:t>
      </w:r>
    </w:p>
    <w:p w14:paraId="737A64EB" w14:textId="77777777" w:rsidR="00371B85" w:rsidRDefault="00371B85" w:rsidP="00371B85">
      <w:pPr>
        <w:spacing w:line="360" w:lineRule="atLeast"/>
        <w:ind w:firstLine="720"/>
        <w:jc w:val="both"/>
        <w:rPr>
          <w:color w:val="000000"/>
        </w:rPr>
      </w:pPr>
      <w:bookmarkStart w:id="96" w:name="part_ef9f5a4ea5fd427dabaea70cb55addee"/>
      <w:bookmarkEnd w:id="96"/>
      <w:r>
        <w:rPr>
          <w:color w:val="000000"/>
        </w:rPr>
        <w:t xml:space="preserve">6. Staff performing control functions must be independent from the financial brokerage firm’s subdivisions the assessment of which they perform.  Variable remuneration shall be given to such staff members for the work performed and results related to the performance of the functions assigned </w:t>
      </w:r>
      <w:r>
        <w:rPr>
          <w:color w:val="000000"/>
        </w:rPr>
        <w:lastRenderedPageBreak/>
        <w:t xml:space="preserve">to </w:t>
      </w:r>
      <w:proofErr w:type="gramStart"/>
      <w:r>
        <w:rPr>
          <w:color w:val="000000"/>
        </w:rPr>
        <w:t>them, and</w:t>
      </w:r>
      <w:proofErr w:type="gramEnd"/>
      <w:r>
        <w:rPr>
          <w:color w:val="000000"/>
        </w:rPr>
        <w:t xml:space="preserve"> shall not depend on the results of activities of the financial brokerage firm’s subdivisions the assessment of which they are performing.</w:t>
      </w:r>
    </w:p>
    <w:p w14:paraId="397E85A8" w14:textId="77777777" w:rsidR="00371B85" w:rsidRDefault="00371B85" w:rsidP="00371B85">
      <w:pPr>
        <w:spacing w:line="360" w:lineRule="atLeast"/>
        <w:ind w:firstLine="720"/>
        <w:jc w:val="both"/>
        <w:rPr>
          <w:color w:val="000000"/>
        </w:rPr>
      </w:pPr>
      <w:bookmarkStart w:id="97" w:name="part_e3fc13d800984d08a64fee998b41680e"/>
      <w:bookmarkEnd w:id="97"/>
      <w:r>
        <w:rPr>
          <w:color w:val="000000"/>
        </w:rPr>
        <w:t xml:space="preserve">7. The fixed component of the staff’s remuneration shall make up a relatively large proportion of the total remuneration and shall correspond to the professional experience and organisational responsibility of the staff member.  The remuneration policy shall establish a clear ratio between the variable and fixed components of remuneration, </w:t>
      </w:r>
      <w:proofErr w:type="gramStart"/>
      <w:r>
        <w:rPr>
          <w:color w:val="000000"/>
        </w:rPr>
        <w:t>taking into account</w:t>
      </w:r>
      <w:proofErr w:type="gramEnd"/>
      <w:r>
        <w:rPr>
          <w:color w:val="000000"/>
        </w:rPr>
        <w:t xml:space="preserve"> the nature of activities of the financial brokerage firm, the related risks, risk profiles of different categories of staff referred to in paragraph 1 of this Article.  The remuneration policy must provide for the possibility for the financial brokerage firm to flexibly apply the requirements of the variable remuneration policy, including the possibility of not paying variable remuneration.</w:t>
      </w:r>
    </w:p>
    <w:p w14:paraId="45DA424A" w14:textId="77777777" w:rsidR="00371B85" w:rsidRDefault="00371B85" w:rsidP="00371B85">
      <w:pPr>
        <w:spacing w:line="360" w:lineRule="atLeast"/>
        <w:ind w:firstLine="720"/>
        <w:jc w:val="both"/>
        <w:rPr>
          <w:color w:val="000000"/>
        </w:rPr>
      </w:pPr>
      <w:bookmarkStart w:id="98" w:name="part_54fcc4055eb3456895ea7fc0ce3ef1bf"/>
      <w:bookmarkEnd w:id="98"/>
      <w:r>
        <w:rPr>
          <w:color w:val="000000"/>
        </w:rPr>
        <w:t>8. The variable remuneration of an employee must be in line with sustainable and risk-adjusted performance results of the employee, as well as additional performance results exceeding the duties set out in their job regulations.</w:t>
      </w:r>
    </w:p>
    <w:p w14:paraId="612DFCED" w14:textId="77777777" w:rsidR="00371B85" w:rsidRDefault="00371B85" w:rsidP="00371B85">
      <w:pPr>
        <w:spacing w:line="360" w:lineRule="atLeast"/>
        <w:ind w:firstLine="720"/>
        <w:jc w:val="both"/>
        <w:rPr>
          <w:color w:val="000000"/>
        </w:rPr>
      </w:pPr>
      <w:bookmarkStart w:id="99" w:name="part_fac58d647fb2443e9cd9cc59fb2b95ea"/>
      <w:bookmarkEnd w:id="99"/>
      <w:r>
        <w:rPr>
          <w:color w:val="000000"/>
        </w:rPr>
        <w:t>9. Managers of a financial brokerage firm receiving state aid may not be paid variable remuneration.  For employees who are not managers, variable remuneration, where it is not aligned with the relevant capital base of the financial brokerage firm and where it prevents the timely termination of backstop measures, can be paid only after it is reduced to the amount determined by the supervisory authority, which must be proportionate to the financial brokerage firm’s net income.</w:t>
      </w:r>
    </w:p>
    <w:p w14:paraId="3C4D0D74" w14:textId="77777777" w:rsidR="00371B85" w:rsidRDefault="00371B85" w:rsidP="00371B85">
      <w:pPr>
        <w:spacing w:line="360" w:lineRule="atLeast"/>
        <w:ind w:firstLine="720"/>
        <w:jc w:val="both"/>
        <w:rPr>
          <w:color w:val="000000"/>
        </w:rPr>
      </w:pPr>
      <w:bookmarkStart w:id="100" w:name="part_c0d591ad008942399e2125beca298c4e"/>
      <w:bookmarkEnd w:id="100"/>
      <w:r>
        <w:rPr>
          <w:color w:val="000000"/>
        </w:rPr>
        <w:t>10. A financial brokerage firm shall be required to establish a remuneration committee when the average value of on-balance-sheet and off-balance-sheet assets for the period of 4 years preceding the last day of the financial year exceeds €100 million, except in cases where the functions assigned to the remuneration committee are performed by the remuneration committee established in the parent undertaking.  Only members of the supervisory board of the financial brokerage firm shall be appointed as members and chairperson of the remuneration committee.  Gender balance shall be ensured when appointing members and chairperson of the remuneration committee.</w:t>
      </w:r>
    </w:p>
    <w:p w14:paraId="7309F08E" w14:textId="77777777" w:rsidR="00371B85" w:rsidRDefault="00371B85" w:rsidP="00371B85">
      <w:pPr>
        <w:spacing w:line="360" w:lineRule="atLeast"/>
        <w:ind w:firstLine="720"/>
        <w:jc w:val="both"/>
        <w:rPr>
          <w:color w:val="000000"/>
        </w:rPr>
      </w:pPr>
      <w:bookmarkStart w:id="101" w:name="part_04883ee98cf74e80b468630dc9333fbb"/>
      <w:bookmarkEnd w:id="101"/>
      <w:r>
        <w:rPr>
          <w:color w:val="000000"/>
        </w:rPr>
        <w:t>11. The remuneration committee shall directly verify the implementation of remuneration requirements for employees who are responsible for risk management and compliance functions.</w:t>
      </w:r>
    </w:p>
    <w:p w14:paraId="5F5E7A7C" w14:textId="77777777" w:rsidR="00371B85" w:rsidRDefault="00371B85" w:rsidP="00371B85">
      <w:pPr>
        <w:spacing w:line="360" w:lineRule="atLeast"/>
        <w:ind w:firstLine="720"/>
        <w:jc w:val="both"/>
        <w:rPr>
          <w:color w:val="000000"/>
        </w:rPr>
      </w:pPr>
      <w:bookmarkStart w:id="102" w:name="part_1092c66381ce42268fac601d0a6703cd"/>
      <w:bookmarkEnd w:id="102"/>
      <w:r>
        <w:rPr>
          <w:color w:val="000000"/>
        </w:rPr>
        <w:t xml:space="preserve">12. The remuneration committee shall competently and independently evaluate the applied remuneration policy and practices, as well as their impact on the risk, </w:t>
      </w:r>
      <w:proofErr w:type="gramStart"/>
      <w:r>
        <w:rPr>
          <w:color w:val="000000"/>
        </w:rPr>
        <w:t>capital</w:t>
      </w:r>
      <w:proofErr w:type="gramEnd"/>
      <w:r>
        <w:rPr>
          <w:color w:val="000000"/>
        </w:rPr>
        <w:t xml:space="preserve"> and liquidity situation of the financial brokerage firm.</w:t>
      </w:r>
    </w:p>
    <w:p w14:paraId="468DCD79" w14:textId="77777777" w:rsidR="00371B85" w:rsidRDefault="00371B85" w:rsidP="00371B85">
      <w:pPr>
        <w:spacing w:line="360" w:lineRule="atLeast"/>
        <w:ind w:firstLine="720"/>
        <w:jc w:val="both"/>
        <w:rPr>
          <w:color w:val="000000"/>
        </w:rPr>
      </w:pPr>
      <w:bookmarkStart w:id="103" w:name="part_43ea17c805314a4ab51206895bfbf5ef"/>
      <w:bookmarkEnd w:id="103"/>
      <w:r>
        <w:rPr>
          <w:color w:val="000000"/>
        </w:rPr>
        <w:t xml:space="preserve">13. The remuneration committee shall be responsible for drafting of decisions to be adopted in accordance with this Article and the requirements set out in the remuneration policy of the financial brokerage firm, including decisions made by the managers of the financial brokerage firm that have an impact on the risks assumed by the financial brokerage firm and its management.  When drafting decisions, the long-term interests and public interest of the financial brokerage firm, shareholders, investors and other stakeholders and entities shall be </w:t>
      </w:r>
      <w:proofErr w:type="gramStart"/>
      <w:r>
        <w:rPr>
          <w:color w:val="000000"/>
        </w:rPr>
        <w:t>taken into account</w:t>
      </w:r>
      <w:proofErr w:type="gramEnd"/>
      <w:r>
        <w:rPr>
          <w:color w:val="000000"/>
        </w:rPr>
        <w:t>.</w:t>
      </w:r>
    </w:p>
    <w:p w14:paraId="49108069" w14:textId="77777777" w:rsidR="00371B85" w:rsidRDefault="00371B85" w:rsidP="00371B85">
      <w:pPr>
        <w:spacing w:line="360" w:lineRule="atLeast"/>
        <w:ind w:firstLine="720"/>
        <w:jc w:val="both"/>
        <w:rPr>
          <w:color w:val="000000"/>
        </w:rPr>
      </w:pPr>
      <w:bookmarkStart w:id="104" w:name="part_ea54387cb1ab4c5293a965a7a9af1e5e"/>
      <w:bookmarkEnd w:id="104"/>
      <w:r>
        <w:rPr>
          <w:color w:val="000000"/>
        </w:rPr>
        <w:t>14. If the remuneration committee is not formed in the financial brokerage firm, the functions assigned to the remuneration committee referred to in this Article shall be performed by the financial brokerage firm’s supervisory board, and where it is not formed, by the board.</w:t>
      </w:r>
    </w:p>
    <w:p w14:paraId="191B13BD" w14:textId="77777777" w:rsidR="00371B85" w:rsidRDefault="00371B85" w:rsidP="00371B85">
      <w:pPr>
        <w:spacing w:line="360" w:lineRule="atLeast"/>
        <w:ind w:firstLine="720"/>
        <w:jc w:val="both"/>
        <w:rPr>
          <w:color w:val="000000"/>
        </w:rPr>
      </w:pPr>
      <w:bookmarkStart w:id="105" w:name="part_953794c101504978b8d5ea4ab4c8af23"/>
      <w:bookmarkEnd w:id="105"/>
      <w:r>
        <w:rPr>
          <w:color w:val="000000"/>
        </w:rPr>
        <w:lastRenderedPageBreak/>
        <w:t>15. A financial brokerage firm shall be required, in accordance with the procedure and terms established by the supervisory authority, provide the supervisory authority with information on the number of persons whose remuneration during the financial year amounts to or exceeds €1 million and the areas of responsibility of those persons, their field of activity and fixed remuneration, bonuses, long-term bonuses and contributions to pension funds.</w:t>
      </w:r>
    </w:p>
    <w:p w14:paraId="3ED0FA19" w14:textId="77777777" w:rsidR="00371B85" w:rsidRDefault="00371B85" w:rsidP="00371B85">
      <w:pPr>
        <w:rPr>
          <w:color w:val="000000"/>
        </w:rPr>
      </w:pPr>
      <w:r>
        <w:rPr>
          <w:i/>
          <w:iCs/>
          <w:color w:val="000000"/>
          <w:sz w:val="20"/>
        </w:rPr>
        <w:t>Supplemented with an Article:</w:t>
      </w:r>
    </w:p>
    <w:p w14:paraId="72177303" w14:textId="77777777" w:rsidR="00371B85" w:rsidRDefault="00371B85" w:rsidP="00371B85">
      <w:pPr>
        <w:jc w:val="both"/>
        <w:rPr>
          <w:color w:val="000000"/>
        </w:rPr>
      </w:pPr>
      <w:r>
        <w:rPr>
          <w:i/>
          <w:iCs/>
          <w:color w:val="000000"/>
          <w:sz w:val="20"/>
        </w:rPr>
        <w:t xml:space="preserve">No </w:t>
      </w:r>
      <w:hyperlink r:id="rId83" w:tgtFrame="_parent" w:history="1">
        <w:r>
          <w:rPr>
            <w:rStyle w:val="Hyperlink"/>
            <w:i/>
            <w:iCs/>
            <w:sz w:val="20"/>
          </w:rPr>
          <w:t>XIV-821</w:t>
        </w:r>
      </w:hyperlink>
      <w:r>
        <w:rPr>
          <w:i/>
          <w:iCs/>
          <w:color w:val="000000"/>
          <w:sz w:val="20"/>
        </w:rPr>
        <w:t>, 23/12/2021, published in the RLA, 30/12/2021, ID code 2021-27710</w:t>
      </w:r>
    </w:p>
    <w:p w14:paraId="08A42371" w14:textId="77777777" w:rsidR="00371B85" w:rsidRDefault="00371B85" w:rsidP="00371B85">
      <w:pPr>
        <w:rPr>
          <w:color w:val="000000"/>
        </w:rPr>
      </w:pPr>
      <w:r>
        <w:rPr>
          <w:color w:val="000000"/>
        </w:rPr>
        <w:t> </w:t>
      </w:r>
    </w:p>
    <w:p w14:paraId="1BF06884" w14:textId="77777777" w:rsidR="00371B85" w:rsidRDefault="00371B85" w:rsidP="00371B85">
      <w:pPr>
        <w:spacing w:line="360" w:lineRule="atLeast"/>
        <w:ind w:firstLine="720"/>
        <w:jc w:val="both"/>
        <w:rPr>
          <w:color w:val="000000"/>
        </w:rPr>
      </w:pPr>
      <w:bookmarkStart w:id="106" w:name="part_1c8fdbc05d264de38d2c52731cc0d87f"/>
      <w:bookmarkEnd w:id="106"/>
      <w:r>
        <w:rPr>
          <w:b/>
          <w:bCs/>
          <w:color w:val="000000"/>
        </w:rPr>
        <w:t>Article 15</w:t>
      </w:r>
      <w:r>
        <w:rPr>
          <w:b/>
          <w:bCs/>
          <w:color w:val="000000"/>
          <w:vertAlign w:val="superscript"/>
        </w:rPr>
        <w:t>6</w:t>
      </w:r>
      <w:r>
        <w:rPr>
          <w:b/>
          <w:bCs/>
          <w:color w:val="000000"/>
        </w:rPr>
        <w:t>. Variable remuneration</w:t>
      </w:r>
    </w:p>
    <w:p w14:paraId="70E647D9" w14:textId="77777777" w:rsidR="00371B85" w:rsidRDefault="00371B85" w:rsidP="00371B85">
      <w:pPr>
        <w:spacing w:line="360" w:lineRule="atLeast"/>
        <w:ind w:firstLine="720"/>
        <w:jc w:val="both"/>
        <w:rPr>
          <w:color w:val="000000"/>
        </w:rPr>
      </w:pPr>
      <w:bookmarkStart w:id="107" w:name="part_05ad4685a9a34d9287b66436d642fe40"/>
      <w:bookmarkEnd w:id="107"/>
      <w:r>
        <w:rPr>
          <w:color w:val="000000"/>
        </w:rPr>
        <w:t>1. The variable remuneration of a financial brokerage firm’s staff specified in Article 15</w:t>
      </w:r>
      <w:r>
        <w:rPr>
          <w:color w:val="000000"/>
          <w:vertAlign w:val="superscript"/>
        </w:rPr>
        <w:t>5</w:t>
      </w:r>
      <w:r>
        <w:rPr>
          <w:color w:val="000000"/>
        </w:rPr>
        <w:t xml:space="preserve">(1) of this Law, including the deferred part determined in paragraph 11 of this Article, shall be </w:t>
      </w:r>
      <w:proofErr w:type="gramStart"/>
      <w:r>
        <w:rPr>
          <w:color w:val="000000"/>
        </w:rPr>
        <w:t>paid</w:t>
      </w:r>
      <w:proofErr w:type="gramEnd"/>
      <w:r>
        <w:rPr>
          <w:color w:val="000000"/>
        </w:rPr>
        <w:t xml:space="preserve"> or granted only if the requirements set out in paragraphs 2 to 15 of this Article are met.</w:t>
      </w:r>
    </w:p>
    <w:p w14:paraId="4D5F3D01" w14:textId="77777777" w:rsidR="00371B85" w:rsidRDefault="00371B85" w:rsidP="00371B85">
      <w:pPr>
        <w:spacing w:line="360" w:lineRule="atLeast"/>
        <w:ind w:firstLine="720"/>
        <w:jc w:val="both"/>
        <w:rPr>
          <w:color w:val="000000"/>
        </w:rPr>
      </w:pPr>
      <w:bookmarkStart w:id="108" w:name="part_8fcbc0eb73574261a0b08359d3dacf14"/>
      <w:bookmarkEnd w:id="108"/>
      <w:r>
        <w:rPr>
          <w:color w:val="000000"/>
        </w:rPr>
        <w:t xml:space="preserve">2. Where variable remuneration is determined by evaluating the performance of the employee and the operating result of the financial brokerage firm, the total amount of the remuneration shall be based on several years of individual assessment of the employee and the assessment of the results of the subdivision of the financial brokerage firm where the employee works, as well as of the entire financial brokerage firm.  The individual assessment of employees shall </w:t>
      </w:r>
      <w:proofErr w:type="gramStart"/>
      <w:r>
        <w:rPr>
          <w:color w:val="000000"/>
        </w:rPr>
        <w:t>take into account</w:t>
      </w:r>
      <w:proofErr w:type="gramEnd"/>
      <w:r>
        <w:rPr>
          <w:color w:val="000000"/>
        </w:rPr>
        <w:t xml:space="preserve"> the business cycle and risks of the financial brokerage firm.</w:t>
      </w:r>
    </w:p>
    <w:p w14:paraId="59B41BDD" w14:textId="77777777" w:rsidR="00371B85" w:rsidRDefault="00371B85" w:rsidP="00371B85">
      <w:pPr>
        <w:spacing w:line="360" w:lineRule="atLeast"/>
        <w:ind w:firstLine="720"/>
        <w:jc w:val="both"/>
        <w:rPr>
          <w:color w:val="000000"/>
        </w:rPr>
      </w:pPr>
      <w:bookmarkStart w:id="109" w:name="part_c318787db752475b8cbda7aeefc61249"/>
      <w:bookmarkEnd w:id="109"/>
      <w:r>
        <w:rPr>
          <w:color w:val="000000"/>
        </w:rPr>
        <w:t>3. Individual assessment of an employee shall include the financial and non-financial results of a financial brokerage firm.</w:t>
      </w:r>
    </w:p>
    <w:p w14:paraId="6D9DD894" w14:textId="77777777" w:rsidR="00371B85" w:rsidRDefault="00371B85" w:rsidP="00371B85">
      <w:pPr>
        <w:spacing w:line="360" w:lineRule="atLeast"/>
        <w:ind w:firstLine="720"/>
        <w:jc w:val="both"/>
        <w:rPr>
          <w:color w:val="000000"/>
        </w:rPr>
      </w:pPr>
      <w:bookmarkStart w:id="110" w:name="part_8aa22433ea5f414990b1aa08ed7ddf7f"/>
      <w:bookmarkEnd w:id="110"/>
      <w:r>
        <w:rPr>
          <w:color w:val="000000"/>
        </w:rPr>
        <w:t>4. A financial brokerage firm shall be required to ensure that the variable remuneration has no negative impact on the sustainable capital of the firm.</w:t>
      </w:r>
    </w:p>
    <w:p w14:paraId="5B8AAA2A" w14:textId="77777777" w:rsidR="00371B85" w:rsidRDefault="00371B85" w:rsidP="00371B85">
      <w:pPr>
        <w:spacing w:line="360" w:lineRule="atLeast"/>
        <w:ind w:firstLine="720"/>
        <w:jc w:val="both"/>
        <w:rPr>
          <w:color w:val="000000"/>
        </w:rPr>
      </w:pPr>
      <w:bookmarkStart w:id="111" w:name="part_ab5974099de34672afbc74eb83411a59"/>
      <w:bookmarkEnd w:id="111"/>
      <w:r>
        <w:rPr>
          <w:color w:val="000000"/>
        </w:rPr>
        <w:t xml:space="preserve">5. Variable remuneration cannot be guaranteed, except in cases where it is paid only to new employees and only in the first year of employment and when the capital of the financial brokerage firm is sustainable.  In the cases specified in labour law, benefits related to the termination of employment shall be calculated by measuring the paid variable remuneration the amount of which depends on the employment period and the employee’s performance, and which shall not be paid where there are violations of work </w:t>
      </w:r>
      <w:proofErr w:type="gramStart"/>
      <w:r>
        <w:rPr>
          <w:color w:val="000000"/>
        </w:rPr>
        <w:t>duties</w:t>
      </w:r>
      <w:proofErr w:type="gramEnd"/>
      <w:r>
        <w:rPr>
          <w:color w:val="000000"/>
        </w:rPr>
        <w:t xml:space="preserve"> or the performance results set for the employee have not been achieved.</w:t>
      </w:r>
    </w:p>
    <w:p w14:paraId="71AEE598" w14:textId="77777777" w:rsidR="00371B85" w:rsidRDefault="00371B85" w:rsidP="00371B85">
      <w:pPr>
        <w:spacing w:line="360" w:lineRule="atLeast"/>
        <w:ind w:firstLine="720"/>
        <w:jc w:val="both"/>
        <w:rPr>
          <w:color w:val="000000"/>
        </w:rPr>
      </w:pPr>
      <w:bookmarkStart w:id="112" w:name="part_9c797501aca04dbd808d823afe0b0767"/>
      <w:bookmarkEnd w:id="112"/>
      <w:r>
        <w:rPr>
          <w:color w:val="000000"/>
        </w:rPr>
        <w:t>6. In accordance with the contracts concluded between the employee and the employer regarding compensation upon termination of the employment contract, remuneration packages related to the compensation or payments shall be aligned with the long-term interests of the financial brokerage firm.</w:t>
      </w:r>
    </w:p>
    <w:p w14:paraId="5DAAFE57" w14:textId="77777777" w:rsidR="00371B85" w:rsidRDefault="00371B85" w:rsidP="00371B85">
      <w:pPr>
        <w:spacing w:line="360" w:lineRule="atLeast"/>
        <w:ind w:firstLine="720"/>
        <w:jc w:val="both"/>
        <w:rPr>
          <w:color w:val="000000"/>
        </w:rPr>
      </w:pPr>
      <w:bookmarkStart w:id="113" w:name="part_b37d700cb51445cc8e7bdbe599a8a245"/>
      <w:bookmarkEnd w:id="113"/>
      <w:r>
        <w:rPr>
          <w:color w:val="000000"/>
        </w:rPr>
        <w:t>7. When determining the performance assessment tools to be used to calculate the variable remuneration fund, current and future risks and costs related to capital and liquidity requirements shall be measured, as specified in Regulation (EU) 2019/2033.</w:t>
      </w:r>
    </w:p>
    <w:p w14:paraId="03EC2ED8" w14:textId="77777777" w:rsidR="00371B85" w:rsidRDefault="00371B85" w:rsidP="00371B85">
      <w:pPr>
        <w:spacing w:line="360" w:lineRule="atLeast"/>
        <w:ind w:firstLine="720"/>
        <w:jc w:val="both"/>
        <w:rPr>
          <w:color w:val="000000"/>
        </w:rPr>
      </w:pPr>
      <w:bookmarkStart w:id="114" w:name="part_2b98e0e422ec40b6a184f1349fa7f158"/>
      <w:bookmarkEnd w:id="114"/>
      <w:r>
        <w:rPr>
          <w:color w:val="000000"/>
        </w:rPr>
        <w:t xml:space="preserve">8. At least 50% of the variable remuneration must consist of the financial brokerage firm’s shares, other equity, instruments related to shares or other equivalent non-monetary instruments, non-monetary instruments that are determined taking into account the granularity of the managed portfolios, additional tier 1 or tier 2 capital instruments within the meaning of Regulation (EU) No </w:t>
      </w:r>
      <w:r>
        <w:rPr>
          <w:color w:val="000000"/>
        </w:rPr>
        <w:lastRenderedPageBreak/>
        <w:t>575/2013, or other instruments that can be converted into tier 1 capital or written off and that adequately reflect the credit quality of the financial brokerage firm.</w:t>
      </w:r>
    </w:p>
    <w:p w14:paraId="16CDC2C7" w14:textId="77777777" w:rsidR="00371B85" w:rsidRDefault="00371B85" w:rsidP="00371B85">
      <w:pPr>
        <w:spacing w:line="360" w:lineRule="atLeast"/>
        <w:ind w:firstLine="720"/>
        <w:jc w:val="both"/>
        <w:rPr>
          <w:color w:val="000000"/>
        </w:rPr>
      </w:pPr>
      <w:bookmarkStart w:id="115" w:name="part_6d586a943a204272a8a4bf3e9c2e8bc9"/>
      <w:bookmarkEnd w:id="115"/>
      <w:r>
        <w:rPr>
          <w:color w:val="000000"/>
        </w:rPr>
        <w:t>9. The term of the right of transfer of such instruments must be set for the variable remuneration paid by means specified in paragraph 8 of this Article, in order to ensure that the individual goals of the employee are aligned with the long-term goals of the financial brokerage firm, its creditors and clients. With the permission of the supervisory authority, the variable remuneration may be paid by means not specified in paragraph 8 of this Article if the financial brokerage firm does not issue the instruments specified in paragraph 8 of this Article.</w:t>
      </w:r>
    </w:p>
    <w:p w14:paraId="6EB60982" w14:textId="77777777" w:rsidR="00371B85" w:rsidRDefault="00371B85" w:rsidP="00371B85">
      <w:pPr>
        <w:spacing w:line="360" w:lineRule="atLeast"/>
        <w:ind w:firstLine="720"/>
        <w:jc w:val="both"/>
        <w:rPr>
          <w:color w:val="000000"/>
        </w:rPr>
      </w:pPr>
      <w:bookmarkStart w:id="116" w:name="part_08043a376f924961b65a8438b3e9e7cd"/>
      <w:bookmarkEnd w:id="116"/>
      <w:r>
        <w:rPr>
          <w:color w:val="000000"/>
        </w:rPr>
        <w:t>10. The supervisory authority shall determine the requirements applicable to the type and structure of the instruments referred to in paragraph 8 of this Article.</w:t>
      </w:r>
    </w:p>
    <w:p w14:paraId="5897A96D" w14:textId="77777777" w:rsidR="00371B85" w:rsidRDefault="00371B85" w:rsidP="00371B85">
      <w:pPr>
        <w:spacing w:line="360" w:lineRule="atLeast"/>
        <w:ind w:firstLine="720"/>
        <w:jc w:val="both"/>
        <w:rPr>
          <w:color w:val="000000"/>
        </w:rPr>
      </w:pPr>
      <w:bookmarkStart w:id="117" w:name="part_fa1d452740d24b30b649740effe60419"/>
      <w:bookmarkEnd w:id="117"/>
      <w:r>
        <w:rPr>
          <w:color w:val="000000"/>
        </w:rPr>
        <w:t xml:space="preserve">11. At least 40% of the variable remuneration must be deferred for a period of 3 to 5 years, </w:t>
      </w:r>
      <w:proofErr w:type="gramStart"/>
      <w:r>
        <w:rPr>
          <w:color w:val="000000"/>
        </w:rPr>
        <w:t>taking into account</w:t>
      </w:r>
      <w:proofErr w:type="gramEnd"/>
      <w:r>
        <w:rPr>
          <w:color w:val="000000"/>
        </w:rPr>
        <w:t xml:space="preserve"> the business cycle of the financial brokerage firm, the nature of the activities, the risks and the performance of the employee to whom the variable remuneration is granted. Where the amount of variable remuneration is high, at least 60% of the variable remuneration shall be deferred.  The deferred portion of the variable remuneration shall be paid on a pro rata basis.</w:t>
      </w:r>
    </w:p>
    <w:p w14:paraId="4D4B9556" w14:textId="77777777" w:rsidR="00371B85" w:rsidRDefault="00371B85" w:rsidP="00371B85">
      <w:pPr>
        <w:spacing w:line="360" w:lineRule="atLeast"/>
        <w:ind w:firstLine="720"/>
        <w:jc w:val="both"/>
        <w:rPr>
          <w:color w:val="000000"/>
        </w:rPr>
      </w:pPr>
      <w:bookmarkStart w:id="118" w:name="part_23f18dc95f454d17909ef1dad0377ddf"/>
      <w:bookmarkEnd w:id="118"/>
      <w:r>
        <w:rPr>
          <w:color w:val="000000"/>
        </w:rPr>
        <w:t xml:space="preserve">12. Variable remuneration shall be reduced, not </w:t>
      </w:r>
      <w:proofErr w:type="gramStart"/>
      <w:r>
        <w:rPr>
          <w:color w:val="000000"/>
        </w:rPr>
        <w:t>paid</w:t>
      </w:r>
      <w:proofErr w:type="gramEnd"/>
      <w:r>
        <w:rPr>
          <w:color w:val="000000"/>
        </w:rPr>
        <w:t xml:space="preserve"> or not granted if the financial operating results of the financial brokerage firm are negative or worsen.  When reducing the variable remuneration, the reduction or recovery agreements established by the financial brokerage firm shall be applied, which provide for situations where the employee to whom the variable remuneration is granted has contributed to the occurrence of material losses of the financial brokerage firm or is responsible for the losses or is not considered fit to perform their duties.</w:t>
      </w:r>
    </w:p>
    <w:p w14:paraId="67ACDCCE" w14:textId="77777777" w:rsidR="00371B85" w:rsidRDefault="00371B85" w:rsidP="00371B85">
      <w:pPr>
        <w:spacing w:line="360" w:lineRule="atLeast"/>
        <w:ind w:firstLine="720"/>
        <w:jc w:val="both"/>
        <w:rPr>
          <w:color w:val="000000"/>
        </w:rPr>
      </w:pPr>
      <w:bookmarkStart w:id="119" w:name="part_13b40670d7d5411fbfb51f5e4cbb9016"/>
      <w:bookmarkEnd w:id="119"/>
      <w:r>
        <w:rPr>
          <w:color w:val="000000"/>
        </w:rPr>
        <w:t xml:space="preserve">13. At the discretion of the financial brokerage firm, the principles for calculating cumulative pension contributions shall be consistent with the financial brokerage firm’s business strategy, objectives, </w:t>
      </w:r>
      <w:proofErr w:type="gramStart"/>
      <w:r>
        <w:rPr>
          <w:color w:val="000000"/>
        </w:rPr>
        <w:t>values</w:t>
      </w:r>
      <w:proofErr w:type="gramEnd"/>
      <w:r>
        <w:rPr>
          <w:color w:val="000000"/>
        </w:rPr>
        <w:t xml:space="preserve"> and the long-term interests of its ongoing business. When an employee is no longer employed with a financial brokerage firm, the cumulative pension contributions accumulated at the discretion of the financial brokerage firm shall be, until they become of the retirement age, kept with the financial brokerage firm for 5 years in the instruments specified in paragraph 8 of this Article.  When an employee becomes of the retirement age and retires, the pension contributions accumulated at the employee’s discretion shall be paid to them in the instruments specified in paragraph 8 of this Article, and a 5-year term of the right of transfer of the instruments shall be applied.</w:t>
      </w:r>
    </w:p>
    <w:p w14:paraId="6D9FBF7F" w14:textId="77777777" w:rsidR="00371B85" w:rsidRDefault="00371B85" w:rsidP="00371B85">
      <w:pPr>
        <w:spacing w:line="360" w:lineRule="atLeast"/>
        <w:ind w:firstLine="720"/>
        <w:jc w:val="both"/>
        <w:rPr>
          <w:color w:val="000000"/>
        </w:rPr>
      </w:pPr>
      <w:bookmarkStart w:id="120" w:name="part_f41d21254a6a4bb2a9ffb18ac821bd0a"/>
      <w:bookmarkEnd w:id="120"/>
      <w:r>
        <w:rPr>
          <w:color w:val="000000"/>
        </w:rPr>
        <w:t>14. Under the requirements of paragraphs 1 to 13 of this Article, the financial brokerage firm shall be required to ensure that the persons referred to in paragraph 1 of Article 15</w:t>
      </w:r>
      <w:r>
        <w:rPr>
          <w:color w:val="000000"/>
          <w:vertAlign w:val="superscript"/>
        </w:rPr>
        <w:t>5</w:t>
      </w:r>
      <w:r>
        <w:rPr>
          <w:color w:val="000000"/>
        </w:rPr>
        <w:t xml:space="preserve"> of this Law do not use personal insurance transactions or any other form of insurance related to remuneration obligations.</w:t>
      </w:r>
    </w:p>
    <w:p w14:paraId="24826439" w14:textId="77777777" w:rsidR="00371B85" w:rsidRDefault="00371B85" w:rsidP="00371B85">
      <w:pPr>
        <w:spacing w:line="360" w:lineRule="atLeast"/>
        <w:ind w:firstLine="720"/>
        <w:jc w:val="both"/>
        <w:rPr>
          <w:color w:val="000000"/>
        </w:rPr>
      </w:pPr>
      <w:bookmarkStart w:id="121" w:name="part_62bd73e346674601a77676cf047ba575"/>
      <w:bookmarkEnd w:id="121"/>
      <w:r>
        <w:rPr>
          <w:color w:val="000000"/>
        </w:rPr>
        <w:t>15. Variable remuneration may not be paid in such manner and in such instruments that would result in failure to comply with the requirements of this Law and Regulation (EU) 2019/2033.</w:t>
      </w:r>
    </w:p>
    <w:p w14:paraId="394BA690" w14:textId="77777777" w:rsidR="00371B85" w:rsidRDefault="00371B85" w:rsidP="00371B85">
      <w:pPr>
        <w:spacing w:line="360" w:lineRule="atLeast"/>
        <w:ind w:firstLine="720"/>
        <w:jc w:val="both"/>
        <w:rPr>
          <w:color w:val="000000"/>
        </w:rPr>
      </w:pPr>
      <w:bookmarkStart w:id="122" w:name="part_a11f85839fc04115aa66514906dd4e5e"/>
      <w:bookmarkEnd w:id="122"/>
      <w:r>
        <w:rPr>
          <w:color w:val="000000"/>
        </w:rPr>
        <w:t>16. Paragraphs 8, 11 and 13 of this Article shall not apply to a financial brokerage firm where the average value of the firm’s on-balance-sheet and off-balance-sheet assets calculated within the period of 4 years preceding the last day of the financial year, does not exceed €100 million.</w:t>
      </w:r>
    </w:p>
    <w:p w14:paraId="2641C392" w14:textId="77777777" w:rsidR="00371B85" w:rsidRDefault="00371B85" w:rsidP="00371B85">
      <w:pPr>
        <w:spacing w:line="360" w:lineRule="atLeast"/>
        <w:ind w:firstLine="720"/>
        <w:jc w:val="both"/>
        <w:rPr>
          <w:color w:val="000000"/>
        </w:rPr>
      </w:pPr>
      <w:bookmarkStart w:id="123" w:name="part_0287eb1fd41b44c5a98270e09262bd67"/>
      <w:bookmarkEnd w:id="123"/>
      <w:r>
        <w:rPr>
          <w:color w:val="000000"/>
        </w:rPr>
        <w:lastRenderedPageBreak/>
        <w:t>17. A financial brokerage firm shall not apply paragraphs 8, 11 and 13 of this Article to persons whose annual variable remuneration does not exceed €50 thousand and accounts for less than a quarter of their annual remuneration.</w:t>
      </w:r>
    </w:p>
    <w:p w14:paraId="43F88909" w14:textId="77777777" w:rsidR="00371B85" w:rsidRDefault="00371B85" w:rsidP="00371B85">
      <w:pPr>
        <w:spacing w:line="360" w:lineRule="atLeast"/>
        <w:ind w:firstLine="720"/>
        <w:jc w:val="both"/>
        <w:rPr>
          <w:color w:val="000000"/>
        </w:rPr>
      </w:pPr>
      <w:bookmarkStart w:id="124" w:name="part_6faa77afa92d4542b17d40387a0cb605"/>
      <w:bookmarkEnd w:id="124"/>
      <w:r>
        <w:rPr>
          <w:color w:val="000000"/>
        </w:rPr>
        <w:t>18. The financial brokerage firm referred to in Article 13(8) of this Law shall comply with the requirements of this Article from the financial year following the financial year in which the assessment referred to in Article 13(8) of this Law was carried out.</w:t>
      </w:r>
    </w:p>
    <w:p w14:paraId="30AE05AC" w14:textId="77777777" w:rsidR="00371B85" w:rsidRDefault="00371B85" w:rsidP="00371B85">
      <w:pPr>
        <w:rPr>
          <w:color w:val="000000"/>
        </w:rPr>
      </w:pPr>
      <w:r>
        <w:rPr>
          <w:i/>
          <w:iCs/>
          <w:color w:val="000000"/>
          <w:sz w:val="20"/>
        </w:rPr>
        <w:t>Supplemented with an Article:</w:t>
      </w:r>
    </w:p>
    <w:p w14:paraId="1F1C6470" w14:textId="77777777" w:rsidR="00371B85" w:rsidRDefault="00371B85" w:rsidP="00371B85">
      <w:pPr>
        <w:jc w:val="both"/>
        <w:rPr>
          <w:color w:val="000000"/>
        </w:rPr>
      </w:pPr>
      <w:r>
        <w:rPr>
          <w:i/>
          <w:iCs/>
          <w:color w:val="000000"/>
          <w:sz w:val="20"/>
        </w:rPr>
        <w:t xml:space="preserve">No </w:t>
      </w:r>
      <w:hyperlink r:id="rId84" w:tgtFrame="_parent" w:history="1">
        <w:r>
          <w:rPr>
            <w:rStyle w:val="Hyperlink"/>
            <w:i/>
            <w:iCs/>
            <w:sz w:val="20"/>
          </w:rPr>
          <w:t>XIV-821</w:t>
        </w:r>
      </w:hyperlink>
      <w:r>
        <w:rPr>
          <w:i/>
          <w:iCs/>
          <w:color w:val="000000"/>
          <w:sz w:val="20"/>
        </w:rPr>
        <w:t>, 23/12/2021, published in the RLA, 30/12/2021, ID code 2021-27710</w:t>
      </w:r>
    </w:p>
    <w:p w14:paraId="2D052A7F" w14:textId="77777777" w:rsidR="00ED3A7E" w:rsidRPr="000550CF" w:rsidRDefault="00ED3A7E" w:rsidP="00F3494E">
      <w:pPr>
        <w:widowControl w:val="0"/>
        <w:ind w:firstLine="720"/>
        <w:jc w:val="both"/>
        <w:rPr>
          <w:szCs w:val="24"/>
          <w:lang w:eastAsia="lt-LT"/>
        </w:rPr>
      </w:pPr>
    </w:p>
    <w:p w14:paraId="3A3C1B36" w14:textId="77777777" w:rsidR="00ED3A7E" w:rsidRPr="000550CF" w:rsidRDefault="00ED3A7E" w:rsidP="00F3494E">
      <w:pPr>
        <w:widowControl w:val="0"/>
        <w:ind w:firstLine="720"/>
        <w:jc w:val="both"/>
        <w:rPr>
          <w:szCs w:val="24"/>
        </w:rPr>
      </w:pPr>
      <w:r>
        <w:rPr>
          <w:b/>
          <w:szCs w:val="24"/>
        </w:rPr>
        <w:t>Article 16. Organisational requirements</w:t>
      </w:r>
    </w:p>
    <w:p w14:paraId="2A68239D" w14:textId="19B4149E" w:rsidR="00676A23" w:rsidRPr="00676A23" w:rsidRDefault="00ED3A7E" w:rsidP="00676A23">
      <w:pPr>
        <w:spacing w:line="360" w:lineRule="atLeast"/>
        <w:ind w:firstLine="720"/>
        <w:jc w:val="both"/>
        <w:rPr>
          <w:color w:val="000000"/>
          <w:szCs w:val="24"/>
        </w:rPr>
      </w:pPr>
      <w:r>
        <w:t xml:space="preserve">1.  </w:t>
      </w:r>
      <w:r>
        <w:rPr>
          <w:color w:val="000000"/>
          <w:szCs w:val="24"/>
        </w:rPr>
        <w:t>A financial brokerage firm shall apply an adequate gender-neutral remuneration policy and procedures proportionate to the business model, scale and complexity of its activities, the business risks assumed and the organisation of its activities that ensure that the firm, its management, staff and tied agents comply with this Law and the requirements established in other legal acts regulating the activities of financial brokerage firms, as well as a document governing the procedure for concluding transactions on their own account by the financial brokerage firm’s management, staff and tied agents.</w:t>
      </w:r>
    </w:p>
    <w:p w14:paraId="782B0849" w14:textId="77777777" w:rsidR="00676A23" w:rsidRDefault="00676A23" w:rsidP="00676A23">
      <w:pPr>
        <w:rPr>
          <w:color w:val="000000"/>
          <w:sz w:val="27"/>
          <w:szCs w:val="27"/>
        </w:rPr>
      </w:pPr>
      <w:r>
        <w:rPr>
          <w:i/>
          <w:iCs/>
          <w:color w:val="000000"/>
          <w:sz w:val="20"/>
        </w:rPr>
        <w:t>Amendments to the paragraph of the Article:</w:t>
      </w:r>
    </w:p>
    <w:p w14:paraId="25E9D8F3" w14:textId="77777777" w:rsidR="00676A23" w:rsidRDefault="00676A23" w:rsidP="00676A23">
      <w:pPr>
        <w:jc w:val="both"/>
        <w:rPr>
          <w:color w:val="000000"/>
          <w:sz w:val="27"/>
          <w:szCs w:val="27"/>
        </w:rPr>
      </w:pPr>
      <w:r>
        <w:rPr>
          <w:i/>
          <w:iCs/>
          <w:color w:val="000000"/>
          <w:sz w:val="20"/>
        </w:rPr>
        <w:t xml:space="preserve">No </w:t>
      </w:r>
      <w:hyperlink r:id="rId85" w:tgtFrame="_parent" w:history="1">
        <w:r>
          <w:rPr>
            <w:rStyle w:val="Hyperlink"/>
            <w:i/>
            <w:iCs/>
            <w:sz w:val="20"/>
          </w:rPr>
          <w:t>XIV-821</w:t>
        </w:r>
      </w:hyperlink>
      <w:r>
        <w:rPr>
          <w:i/>
          <w:iCs/>
          <w:color w:val="000000"/>
          <w:sz w:val="20"/>
        </w:rPr>
        <w:t>, 23/12/2021, published in the RLA, 30/12/2021, ID code 2021-27710</w:t>
      </w:r>
    </w:p>
    <w:p w14:paraId="2EECAEA0" w14:textId="1734A2A5" w:rsidR="00ED3A7E" w:rsidRPr="000550CF" w:rsidRDefault="00ED3A7E" w:rsidP="00F3494E">
      <w:pPr>
        <w:widowControl w:val="0"/>
        <w:ind w:firstLine="720"/>
        <w:jc w:val="both"/>
        <w:rPr>
          <w:szCs w:val="24"/>
          <w:lang w:eastAsia="lt-LT"/>
        </w:rPr>
      </w:pPr>
    </w:p>
    <w:p w14:paraId="48F3F8F5" w14:textId="77777777" w:rsidR="00ED3A7E" w:rsidRPr="000550CF" w:rsidRDefault="00ED3A7E" w:rsidP="00F3494E">
      <w:pPr>
        <w:widowControl w:val="0"/>
        <w:ind w:firstLine="720"/>
        <w:jc w:val="both"/>
        <w:rPr>
          <w:szCs w:val="24"/>
        </w:rPr>
      </w:pPr>
      <w:r>
        <w:t>2. A financial brokerage firm must maintain and operate effective organisational and administrative arrangements with a view to taking all reasonable steps designed to prevent conflicts of interest from adversely affecting the interests of its clients.</w:t>
      </w:r>
    </w:p>
    <w:p w14:paraId="52A297C2" w14:textId="77777777" w:rsidR="00ED3A7E" w:rsidRPr="000550CF" w:rsidRDefault="00ED3A7E" w:rsidP="00F3494E">
      <w:pPr>
        <w:widowControl w:val="0"/>
        <w:ind w:firstLine="720"/>
        <w:jc w:val="both"/>
        <w:rPr>
          <w:szCs w:val="24"/>
        </w:rPr>
      </w:pPr>
      <w:r>
        <w:t>3. A financial brokerage firm which manufactures financial instruments for sale to clients must maintain and apply the procedures for the approval of each financial instrument and significant adaptations of existing financial instruments before it is marketed or distributed to clients.</w:t>
      </w:r>
    </w:p>
    <w:p w14:paraId="42A4D5A1" w14:textId="77777777" w:rsidR="00ED3A7E" w:rsidRPr="000550CF" w:rsidRDefault="00ED3A7E" w:rsidP="00F3494E">
      <w:pPr>
        <w:ind w:firstLine="720"/>
        <w:jc w:val="both"/>
      </w:pPr>
      <w:r>
        <w:t>4. When applying the product approval process, a financial brokerage firm shall specify an identified target market of end clients within the relevant category of clients for each financial instrument (hereinafter – the target market) and shall ensure that all relevant risks to such identified target market are assessed and that the intended distribution strategy is consistent with the identified target market.</w:t>
      </w:r>
    </w:p>
    <w:p w14:paraId="48A44765" w14:textId="77777777" w:rsidR="00ED3A7E" w:rsidRPr="000550CF" w:rsidRDefault="00ED3A7E" w:rsidP="00F3494E">
      <w:pPr>
        <w:widowControl w:val="0"/>
        <w:ind w:firstLine="720"/>
        <w:jc w:val="both"/>
        <w:rPr>
          <w:szCs w:val="24"/>
        </w:rPr>
      </w:pPr>
      <w:r>
        <w:t>5. A financial brokerage firm shall regularly review whether the financial instrument it offers or markets and its marketing strategy remains consistent with the needs of the target market taking into account any event that could materially affect the potential risk to the target market.</w:t>
      </w:r>
    </w:p>
    <w:p w14:paraId="6153D996" w14:textId="65E74896" w:rsidR="00ED3A7E" w:rsidRDefault="00ED3A7E" w:rsidP="00F3494E">
      <w:pPr>
        <w:ind w:firstLine="720"/>
        <w:jc w:val="both"/>
      </w:pPr>
      <w:r>
        <w:t>6. A financial brokerage firm which manufactures financial instruments must make available to any distributor of its issued financial instrument all appropriate information on the issued financial instrument and the product approval process, including the target market of the financial instrument.</w:t>
      </w:r>
    </w:p>
    <w:p w14:paraId="07E887DB" w14:textId="77777777" w:rsidR="00676A23" w:rsidRPr="00676A23" w:rsidRDefault="00676A23" w:rsidP="00676A23">
      <w:pPr>
        <w:spacing w:line="360" w:lineRule="atLeast"/>
        <w:ind w:firstLine="720"/>
        <w:jc w:val="both"/>
        <w:rPr>
          <w:color w:val="000000"/>
          <w:szCs w:val="24"/>
        </w:rPr>
      </w:pPr>
      <w:r>
        <w:rPr>
          <w:color w:val="000000"/>
          <w:szCs w:val="24"/>
        </w:rPr>
        <w:t>6</w:t>
      </w:r>
      <w:r>
        <w:rPr>
          <w:color w:val="000000"/>
          <w:szCs w:val="24"/>
          <w:vertAlign w:val="superscript"/>
        </w:rPr>
        <w:t>1</w:t>
      </w:r>
      <w:r>
        <w:rPr>
          <w:color w:val="000000"/>
          <w:szCs w:val="24"/>
        </w:rPr>
        <w:t>. The requirements set out in paragraphs 3 to 6 of this Article and Article 29(3) of this Law shall not apply to financial brokerage firms that provide investment services related to bonds without any other embedded financial derivatives, except for the full amount condition, or that distribute or sell financial instruments only to eligible counterparties.</w:t>
      </w:r>
    </w:p>
    <w:p w14:paraId="7EB09487" w14:textId="77777777" w:rsidR="00676A23" w:rsidRDefault="00676A23" w:rsidP="00676A23">
      <w:pPr>
        <w:rPr>
          <w:color w:val="000000"/>
          <w:sz w:val="27"/>
          <w:szCs w:val="27"/>
        </w:rPr>
      </w:pPr>
      <w:r>
        <w:rPr>
          <w:i/>
          <w:iCs/>
          <w:color w:val="000000"/>
          <w:sz w:val="20"/>
        </w:rPr>
        <w:t>Supplemented with the paragraph to the Article:</w:t>
      </w:r>
    </w:p>
    <w:p w14:paraId="25041A88" w14:textId="632CAF42" w:rsidR="00676A23" w:rsidRDefault="00676A23" w:rsidP="00676A23">
      <w:pPr>
        <w:jc w:val="both"/>
        <w:rPr>
          <w:color w:val="000000"/>
          <w:sz w:val="27"/>
          <w:szCs w:val="27"/>
        </w:rPr>
      </w:pPr>
      <w:r>
        <w:rPr>
          <w:i/>
          <w:iCs/>
          <w:color w:val="000000"/>
          <w:sz w:val="20"/>
        </w:rPr>
        <w:t xml:space="preserve">No </w:t>
      </w:r>
      <w:hyperlink r:id="rId86" w:tgtFrame="_parent" w:history="1">
        <w:r>
          <w:rPr>
            <w:rStyle w:val="Hyperlink"/>
            <w:i/>
            <w:iCs/>
            <w:sz w:val="20"/>
          </w:rPr>
          <w:t>XIV-821</w:t>
        </w:r>
      </w:hyperlink>
      <w:r>
        <w:rPr>
          <w:i/>
          <w:iCs/>
          <w:color w:val="000000"/>
          <w:sz w:val="20"/>
        </w:rPr>
        <w:t>, 23/12/2021, published in the RLA, 30/12/2021, ID code 2021-27710</w:t>
      </w:r>
    </w:p>
    <w:p w14:paraId="74D892A8" w14:textId="77777777" w:rsidR="00676A23" w:rsidRPr="000550CF" w:rsidRDefault="00676A23" w:rsidP="00F3494E">
      <w:pPr>
        <w:ind w:firstLine="720"/>
        <w:jc w:val="both"/>
        <w:rPr>
          <w:lang w:eastAsia="lt-LT"/>
        </w:rPr>
      </w:pPr>
    </w:p>
    <w:p w14:paraId="68CF3EE9" w14:textId="77777777" w:rsidR="00ED3A7E" w:rsidRPr="000550CF" w:rsidRDefault="00ED3A7E" w:rsidP="00F3494E">
      <w:pPr>
        <w:widowControl w:val="0"/>
        <w:ind w:firstLine="720"/>
        <w:jc w:val="both"/>
        <w:rPr>
          <w:szCs w:val="24"/>
        </w:rPr>
      </w:pPr>
      <w:r>
        <w:t>7. Where a financial brokerage firm offers or recommends financial instruments which it does not manufacture, it shall have in place adequate arrangements to obtain sufficient information to understand the characteristics and the target market of the financial instrument.</w:t>
      </w:r>
    </w:p>
    <w:p w14:paraId="71AD4E4D" w14:textId="77777777" w:rsidR="00ED3A7E" w:rsidRPr="000550CF" w:rsidRDefault="00ED3A7E" w:rsidP="00F3494E">
      <w:pPr>
        <w:widowControl w:val="0"/>
        <w:ind w:firstLine="720"/>
        <w:jc w:val="both"/>
        <w:rPr>
          <w:szCs w:val="24"/>
        </w:rPr>
      </w:pPr>
      <w:r>
        <w:t>8. Requirements established in paragraphs 3 to 7</w:t>
      </w:r>
      <w:r>
        <w:rPr>
          <w:szCs w:val="24"/>
          <w:vertAlign w:val="superscript"/>
        </w:rPr>
        <w:t xml:space="preserve"> </w:t>
      </w:r>
      <w:r>
        <w:t xml:space="preserve">of this Article shall be without prejudice to other obligations specified for the financial brokerage firm in this Law and Regulation (EU) </w:t>
      </w:r>
      <w:r>
        <w:lastRenderedPageBreak/>
        <w:t>No 600/2014 which must be fulfilled by the financial brokerage firm when providing investment services to clients.</w:t>
      </w:r>
    </w:p>
    <w:p w14:paraId="20A1E220" w14:textId="77777777" w:rsidR="00ED3A7E" w:rsidRPr="000550CF" w:rsidRDefault="00ED3A7E" w:rsidP="00F3494E">
      <w:pPr>
        <w:widowControl w:val="0"/>
        <w:ind w:firstLine="720"/>
        <w:jc w:val="both"/>
        <w:rPr>
          <w:szCs w:val="24"/>
        </w:rPr>
      </w:pPr>
      <w:r>
        <w:t xml:space="preserve">9. A financial brokerage firm shall have and employ appropriate systems, resources, administrative </w:t>
      </w:r>
      <w:proofErr w:type="gramStart"/>
      <w:r>
        <w:t>procedures</w:t>
      </w:r>
      <w:proofErr w:type="gramEnd"/>
      <w:r>
        <w:t xml:space="preserve"> and other arrangements to ensure continuity and regularity in the provision of investment services. </w:t>
      </w:r>
    </w:p>
    <w:p w14:paraId="7D6CACBB" w14:textId="77777777" w:rsidR="00ED3A7E" w:rsidRPr="000550CF" w:rsidRDefault="00ED3A7E" w:rsidP="00F3494E">
      <w:pPr>
        <w:widowControl w:val="0"/>
        <w:ind w:firstLine="720"/>
        <w:jc w:val="both"/>
        <w:rPr>
          <w:szCs w:val="24"/>
        </w:rPr>
      </w:pPr>
      <w:r>
        <w:t>10. A financial brokerage firm shall ensure, when relying on a third party for the performance of operational functions which are critical for the provision of continuous and satisfactory investment services, that it takes reasonable steps to avoid undue additional operational risk. Outsourcing of important operational functions may not be undertaken in such a way as to impair materially the quality of its internal control and the ability of the supervisor to monitor the financial brokerage firm’s compliance with all obligations.</w:t>
      </w:r>
    </w:p>
    <w:p w14:paraId="1974E5F2" w14:textId="77777777" w:rsidR="00676A23" w:rsidRPr="00676A23" w:rsidRDefault="00676A23" w:rsidP="00676A23">
      <w:pPr>
        <w:spacing w:line="360" w:lineRule="atLeast"/>
        <w:ind w:firstLine="720"/>
        <w:jc w:val="both"/>
        <w:rPr>
          <w:color w:val="000000"/>
          <w:sz w:val="22"/>
          <w:szCs w:val="22"/>
        </w:rPr>
      </w:pPr>
      <w:r>
        <w:rPr>
          <w:color w:val="000000"/>
          <w:sz w:val="22"/>
          <w:szCs w:val="22"/>
        </w:rPr>
        <w:t xml:space="preserve">11. A financial brokerage firm shall apply appropriate business risk, administrative and accounting procedures, internal control mechanisms, effective procedures for risk assessment and management, effective control and safeguard arrangements for information processing systems that are proportionate to the business model, </w:t>
      </w:r>
      <w:proofErr w:type="gramStart"/>
      <w:r>
        <w:rPr>
          <w:color w:val="000000"/>
          <w:sz w:val="22"/>
          <w:szCs w:val="22"/>
        </w:rPr>
        <w:t>scale</w:t>
      </w:r>
      <w:proofErr w:type="gramEnd"/>
      <w:r>
        <w:rPr>
          <w:color w:val="000000"/>
          <w:sz w:val="22"/>
          <w:szCs w:val="22"/>
        </w:rPr>
        <w:t xml:space="preserve"> and complexity of its operations.  A financial brokerage firm shall have sound information transfer security arrangements in place to guarantee the security confidentiality, reliability of the information transferred, minimise the risk of data corruption and unauthorised access, as well as ensure that the information is </w:t>
      </w:r>
      <w:proofErr w:type="gramStart"/>
      <w:r>
        <w:rPr>
          <w:color w:val="000000"/>
          <w:sz w:val="22"/>
          <w:szCs w:val="22"/>
        </w:rPr>
        <w:t>identifiable</w:t>
      </w:r>
      <w:proofErr w:type="gramEnd"/>
      <w:r>
        <w:rPr>
          <w:color w:val="000000"/>
          <w:sz w:val="22"/>
          <w:szCs w:val="22"/>
        </w:rPr>
        <w:t xml:space="preserve"> and the data is protected from leakage.</w:t>
      </w:r>
    </w:p>
    <w:p w14:paraId="34A63700" w14:textId="77777777" w:rsidR="00676A23" w:rsidRDefault="00676A23" w:rsidP="00676A23">
      <w:pPr>
        <w:rPr>
          <w:color w:val="000000"/>
          <w:sz w:val="27"/>
          <w:szCs w:val="27"/>
        </w:rPr>
      </w:pPr>
      <w:r>
        <w:rPr>
          <w:i/>
          <w:iCs/>
          <w:color w:val="000000"/>
          <w:sz w:val="20"/>
        </w:rPr>
        <w:t>Amendments to the paragraph of the Article:</w:t>
      </w:r>
    </w:p>
    <w:p w14:paraId="6798DCC8" w14:textId="77777777" w:rsidR="00676A23" w:rsidRDefault="00676A23" w:rsidP="00676A23">
      <w:pPr>
        <w:jc w:val="both"/>
        <w:rPr>
          <w:color w:val="000000"/>
          <w:sz w:val="27"/>
          <w:szCs w:val="27"/>
        </w:rPr>
      </w:pPr>
      <w:r>
        <w:rPr>
          <w:i/>
          <w:iCs/>
          <w:color w:val="000000"/>
          <w:sz w:val="20"/>
        </w:rPr>
        <w:t xml:space="preserve">No </w:t>
      </w:r>
      <w:hyperlink r:id="rId87" w:tgtFrame="_parent" w:history="1">
        <w:r>
          <w:rPr>
            <w:rStyle w:val="Hyperlink"/>
            <w:i/>
            <w:iCs/>
            <w:sz w:val="20"/>
          </w:rPr>
          <w:t>XIV-821</w:t>
        </w:r>
      </w:hyperlink>
      <w:r>
        <w:rPr>
          <w:i/>
          <w:iCs/>
          <w:color w:val="000000"/>
          <w:sz w:val="20"/>
        </w:rPr>
        <w:t>, 23/12/2021, published in the RLA, 30/12/2021, ID code 2021-27710</w:t>
      </w:r>
    </w:p>
    <w:p w14:paraId="2EF77FBA" w14:textId="77777777" w:rsidR="00676A23" w:rsidRPr="000550CF" w:rsidRDefault="00676A23" w:rsidP="00F3494E">
      <w:pPr>
        <w:widowControl w:val="0"/>
        <w:ind w:firstLine="720"/>
        <w:jc w:val="both"/>
        <w:rPr>
          <w:szCs w:val="24"/>
          <w:lang w:eastAsia="lt-LT"/>
        </w:rPr>
      </w:pPr>
    </w:p>
    <w:p w14:paraId="051CB889" w14:textId="77777777" w:rsidR="00676A23" w:rsidRPr="00676A23" w:rsidRDefault="00676A23" w:rsidP="00676A23">
      <w:pPr>
        <w:spacing w:line="360" w:lineRule="atLeast"/>
        <w:ind w:firstLine="720"/>
        <w:jc w:val="both"/>
        <w:rPr>
          <w:color w:val="000000"/>
          <w:szCs w:val="24"/>
        </w:rPr>
      </w:pPr>
      <w:r>
        <w:rPr>
          <w:color w:val="000000"/>
          <w:szCs w:val="24"/>
        </w:rPr>
        <w:t>12. A financial brokerage firm shall arrange for records to be kept of the services, activities and transactions undertaken by it which shall be sufficient to enable the supervisory authority to carry out effective supervision under this Law, Regulation (EU) No 600/2014, Regulation (EU) No 596/2014 and Regulation (EU) 2019/2033, and in particular to ascertain that the financial brokerage firm has complied with all obligations established under this Law including those with respect to clients or potential clients and to the integrity of the market.</w:t>
      </w:r>
    </w:p>
    <w:p w14:paraId="39E01784" w14:textId="77777777" w:rsidR="00676A23" w:rsidRDefault="00676A23" w:rsidP="00676A23">
      <w:pPr>
        <w:rPr>
          <w:color w:val="000000"/>
          <w:sz w:val="27"/>
          <w:szCs w:val="27"/>
        </w:rPr>
      </w:pPr>
      <w:r>
        <w:rPr>
          <w:i/>
          <w:iCs/>
          <w:color w:val="000000"/>
          <w:sz w:val="20"/>
        </w:rPr>
        <w:t>Amendments to the paragraph of the Article:</w:t>
      </w:r>
    </w:p>
    <w:p w14:paraId="64F3022F" w14:textId="77777777" w:rsidR="00676A23" w:rsidRDefault="00676A23" w:rsidP="00676A23">
      <w:pPr>
        <w:jc w:val="both"/>
        <w:rPr>
          <w:color w:val="000000"/>
          <w:sz w:val="27"/>
          <w:szCs w:val="27"/>
        </w:rPr>
      </w:pPr>
      <w:r>
        <w:rPr>
          <w:i/>
          <w:iCs/>
          <w:color w:val="000000"/>
          <w:sz w:val="20"/>
        </w:rPr>
        <w:t xml:space="preserve">No </w:t>
      </w:r>
      <w:hyperlink r:id="rId88" w:tgtFrame="_parent" w:history="1">
        <w:r>
          <w:rPr>
            <w:rStyle w:val="Hyperlink"/>
            <w:i/>
            <w:iCs/>
            <w:sz w:val="20"/>
          </w:rPr>
          <w:t>XIV-821</w:t>
        </w:r>
      </w:hyperlink>
      <w:r>
        <w:rPr>
          <w:i/>
          <w:iCs/>
          <w:color w:val="000000"/>
          <w:sz w:val="20"/>
        </w:rPr>
        <w:t>, 23/12/2021, published in the RLA, 30/12/2021, ID code 2021-27710</w:t>
      </w:r>
    </w:p>
    <w:p w14:paraId="1492A3F4" w14:textId="77777777" w:rsidR="00676A23" w:rsidRPr="000550CF" w:rsidRDefault="00676A23" w:rsidP="00F3494E">
      <w:pPr>
        <w:widowControl w:val="0"/>
        <w:ind w:firstLine="720"/>
        <w:jc w:val="both"/>
        <w:rPr>
          <w:szCs w:val="24"/>
          <w:lang w:eastAsia="lt-LT"/>
        </w:rPr>
      </w:pPr>
    </w:p>
    <w:p w14:paraId="69709E3B" w14:textId="77777777" w:rsidR="00ED3A7E" w:rsidRPr="000550CF" w:rsidRDefault="00ED3A7E" w:rsidP="00F3494E">
      <w:pPr>
        <w:widowControl w:val="0"/>
        <w:ind w:firstLine="720"/>
        <w:jc w:val="both"/>
        <w:rPr>
          <w:szCs w:val="24"/>
        </w:rPr>
      </w:pPr>
      <w:r>
        <w:t xml:space="preserve">13. A financial brokerage firm providing investment services which include transactions concluded when dealing on own account, execution of orders on behalf of clients and/or reception and transmission of client orders, for the purpose of fulfilling requirements referred to in paragraph 12 of this Article must keep records of telephone conversations and electronic communications. A financial brokerage firm shall also keep such telephone conversations and electronic communications that were intended to result in the provision of investment services specified in this paragraph, even if those services have not been provided. When receiving orders placed by clients through other channels a financial brokerage firm shall ensure that those orders are submitted using durable medium (such as mails, faxes, emails, </w:t>
      </w:r>
      <w:proofErr w:type="gramStart"/>
      <w:r>
        <w:t>minutes</w:t>
      </w:r>
      <w:proofErr w:type="gramEnd"/>
      <w:r>
        <w:t xml:space="preserve"> or notes of client meetings). A financial brokerage firm shall ensure that its employees or persons operating on its behalf use only such equipment (including privately-owned equipment of the financial brokerage firm’s employees or persons operating on its behalf) with the help of which telephone conversations and electronic communications may be stored and copied.</w:t>
      </w:r>
    </w:p>
    <w:p w14:paraId="20732D9A" w14:textId="77777777" w:rsidR="00ED3A7E" w:rsidRPr="000550CF" w:rsidRDefault="00ED3A7E" w:rsidP="00F3494E">
      <w:pPr>
        <w:widowControl w:val="0"/>
        <w:ind w:firstLine="720"/>
        <w:jc w:val="both"/>
        <w:rPr>
          <w:szCs w:val="24"/>
        </w:rPr>
      </w:pPr>
      <w:r>
        <w:t xml:space="preserve">14. A financial brokerage firm shall notify new and existing clients that telephone conversations with its clients that result or may result in transactions will be recorded and shall keep their electronic communications. Such a notification may be made </w:t>
      </w:r>
      <w:proofErr w:type="gramStart"/>
      <w:r>
        <w:t>once, before</w:t>
      </w:r>
      <w:proofErr w:type="gramEnd"/>
      <w:r>
        <w:t xml:space="preserve"> the provision by the financial brokerage firm of investment services to new and existing clients. A financial brokerage firm shall not provide, by telephone, investment services to clients who have not been notified in advance about the recording of their telephone conversations, where such investment services relate </w:t>
      </w:r>
      <w:r>
        <w:lastRenderedPageBreak/>
        <w:t>to the execution of client orders on their behalf and/or reception, and transmission of client orders.</w:t>
      </w:r>
    </w:p>
    <w:p w14:paraId="7DA9438F" w14:textId="77777777" w:rsidR="00ED3A7E" w:rsidRPr="000550CF" w:rsidRDefault="00ED3A7E" w:rsidP="00F3494E">
      <w:pPr>
        <w:widowControl w:val="0"/>
        <w:ind w:firstLine="720"/>
        <w:jc w:val="both"/>
        <w:rPr>
          <w:szCs w:val="24"/>
        </w:rPr>
      </w:pPr>
      <w:r>
        <w:t>15. The data referred to in paragraph 13 of this Article shall be kept by a financial brokerage firm for at least five years and, where requested by the supervisory authority – for seven years and must be provided to the client involved upon request.</w:t>
      </w:r>
    </w:p>
    <w:p w14:paraId="6191C440" w14:textId="77777777" w:rsidR="00ED3A7E" w:rsidRPr="000550CF" w:rsidRDefault="00ED3A7E" w:rsidP="00F3494E">
      <w:pPr>
        <w:widowControl w:val="0"/>
        <w:ind w:firstLine="720"/>
        <w:jc w:val="both"/>
        <w:rPr>
          <w:szCs w:val="24"/>
        </w:rPr>
      </w:pPr>
      <w:r>
        <w:t xml:space="preserve">16. A financial brokerage firm shall, when holding financial instruments belonging to clients, make adequate arrangements </w:t>
      </w:r>
      <w:proofErr w:type="gramStart"/>
      <w:r>
        <w:t>so as to</w:t>
      </w:r>
      <w:proofErr w:type="gramEnd"/>
      <w:r>
        <w:t xml:space="preserve"> safeguard the ownership rights of clients, especially in the event of the financial brokerage firm’s insolvency, and to prevent the use of a client’s financial instruments on own account except with the client’s express consent.</w:t>
      </w:r>
    </w:p>
    <w:p w14:paraId="3022BC78" w14:textId="77777777" w:rsidR="00ED3A7E" w:rsidRPr="000550CF" w:rsidRDefault="00ED3A7E" w:rsidP="00F3494E">
      <w:pPr>
        <w:ind w:firstLine="720"/>
        <w:jc w:val="both"/>
      </w:pPr>
      <w:r>
        <w:t>17. A financial brokerage firm shall, when holding funds belonging to clients, make adequate arrangements to safeguard the rights of clients and, except in the case of credit institutions, prevent the use of client funds for its own account. The prohibition to use client funds shall not apply to credit institutions. A financial brokerage firm shall keep client funds in a credit institution on fiduciary basis separately from its own funds. Client funds transferred to a financial brokerage firm for purchase of financial instruments and client funds received from sale of the client’s financial instruments shall be the ownership of the client and the recovery of the financial brokerage firm’s debts may not be levied on such funds.</w:t>
      </w:r>
    </w:p>
    <w:p w14:paraId="3FA50CAE" w14:textId="77777777" w:rsidR="00ED3A7E" w:rsidRPr="000550CF" w:rsidRDefault="00ED3A7E" w:rsidP="00F3494E">
      <w:pPr>
        <w:ind w:firstLine="720"/>
        <w:jc w:val="both"/>
      </w:pPr>
      <w:r>
        <w:t>18. A financial brokerage firm shall not conclude title transfer financial collateral arrangements with retail clients for the purpose of securing or covering present or future, actual or contingent or prospective obligations of clients.</w:t>
      </w:r>
    </w:p>
    <w:p w14:paraId="39E434D2" w14:textId="77777777" w:rsidR="00ED3A7E" w:rsidRPr="000550CF" w:rsidRDefault="00ED3A7E" w:rsidP="00F3494E">
      <w:pPr>
        <w:widowControl w:val="0"/>
        <w:ind w:firstLine="720"/>
        <w:jc w:val="both"/>
        <w:rPr>
          <w:szCs w:val="24"/>
        </w:rPr>
      </w:pPr>
      <w:r>
        <w:t>19. Where investment services are provided by a branch of a financial brokerage firm established in another Member State, the supervisory authority shall supervise how the branch complies with the obligations set out in paragraphs 12 to 15 of this Article without prejudice to the right of the supervisory authority of the home Member State of the financial brokerage firm to obtain the documents referred to in paragraphs 12 to 15 of this Article.</w:t>
      </w:r>
    </w:p>
    <w:p w14:paraId="02CB2C51" w14:textId="77777777" w:rsidR="00ED3A7E" w:rsidRPr="000550CF" w:rsidRDefault="00ED3A7E" w:rsidP="00F3494E">
      <w:pPr>
        <w:widowControl w:val="0"/>
        <w:ind w:firstLine="720"/>
        <w:jc w:val="both"/>
        <w:rPr>
          <w:szCs w:val="24"/>
        </w:rPr>
      </w:pPr>
      <w:r>
        <w:t xml:space="preserve">20. The supervisory authority shall establish the criteria according to which the data referred to in paragraph 13 of this Article must be retained for seven years in observance of paragraph 15 of this Article. </w:t>
      </w:r>
    </w:p>
    <w:p w14:paraId="476FD29A" w14:textId="77777777" w:rsidR="00ED3A7E" w:rsidRPr="000550CF" w:rsidRDefault="00ED3A7E" w:rsidP="00F3494E">
      <w:pPr>
        <w:widowControl w:val="0"/>
        <w:ind w:firstLine="720"/>
        <w:rPr>
          <w:b/>
          <w:szCs w:val="24"/>
          <w:lang w:eastAsia="lt-LT"/>
        </w:rPr>
      </w:pPr>
    </w:p>
    <w:p w14:paraId="27EF3A1C" w14:textId="77777777" w:rsidR="00ED3A7E" w:rsidRPr="000550CF" w:rsidRDefault="00ED3A7E" w:rsidP="00F3494E">
      <w:pPr>
        <w:widowControl w:val="0"/>
        <w:ind w:firstLine="720"/>
        <w:rPr>
          <w:b/>
          <w:szCs w:val="24"/>
        </w:rPr>
      </w:pPr>
      <w:r>
        <w:rPr>
          <w:b/>
          <w:szCs w:val="24"/>
        </w:rPr>
        <w:t xml:space="preserve">Article 17. Financial brokers </w:t>
      </w:r>
    </w:p>
    <w:p w14:paraId="1F951EB0" w14:textId="77777777" w:rsidR="00ED3A7E" w:rsidRPr="000550CF" w:rsidRDefault="00ED3A7E" w:rsidP="00F3494E">
      <w:pPr>
        <w:widowControl w:val="0"/>
        <w:ind w:firstLine="720"/>
        <w:jc w:val="both"/>
        <w:rPr>
          <w:szCs w:val="24"/>
        </w:rPr>
      </w:pPr>
      <w:r>
        <w:t>1. A financial brokerage firm must ensure and, where requested by the supervisory authority – prove that one or several financial broker operations provided for in paragraph 4 of this Article 4 are performed only by a natural person who is a certified financial broker or possesses the qualification which is recognised by a financial market participants’ association or by a third party involved by the latter and meets the requirements referred to in paragraph 2 of this Article. A certified financial broker must continuously upgrade his qualifications in compliance with requirements specified in paragraph 10 of this Article.</w:t>
      </w:r>
    </w:p>
    <w:p w14:paraId="36C70999" w14:textId="77777777" w:rsidR="00ED3A7E" w:rsidRPr="000550CF" w:rsidRDefault="00ED3A7E" w:rsidP="00F3494E">
      <w:pPr>
        <w:widowControl w:val="0"/>
        <w:ind w:firstLine="720"/>
        <w:jc w:val="both"/>
        <w:rPr>
          <w:szCs w:val="24"/>
        </w:rPr>
      </w:pPr>
      <w:r>
        <w:t xml:space="preserve">2. A financial broker shall </w:t>
      </w:r>
      <w:proofErr w:type="gramStart"/>
      <w:r>
        <w:t>be considered to be</w:t>
      </w:r>
      <w:proofErr w:type="gramEnd"/>
      <w:r>
        <w:t xml:space="preserve"> suitable for performing the operations referred to in paragraph 4 of this Article where:</w:t>
      </w:r>
    </w:p>
    <w:p w14:paraId="0CC80D40" w14:textId="77777777" w:rsidR="00ED3A7E" w:rsidRPr="000550CF" w:rsidRDefault="00ED3A7E" w:rsidP="00F3494E">
      <w:pPr>
        <w:widowControl w:val="0"/>
        <w:ind w:firstLine="720"/>
        <w:jc w:val="both"/>
        <w:rPr>
          <w:szCs w:val="24"/>
        </w:rPr>
      </w:pPr>
      <w:r>
        <w:t xml:space="preserve">1) during the last ten years has not been convicted for crimes or during the last five years – for criminal offences </w:t>
      </w:r>
      <w:r>
        <w:rPr>
          <w:color w:val="000000"/>
        </w:rPr>
        <w:t>against property, property rights and property interests, the economy, business practice, financial system</w:t>
      </w:r>
      <w:r>
        <w:t xml:space="preserve">, </w:t>
      </w:r>
      <w:r>
        <w:rPr>
          <w:color w:val="000000"/>
        </w:rPr>
        <w:t>civil service and public interests</w:t>
      </w:r>
      <w:r>
        <w:t xml:space="preserve">, administrative order or offences related to document </w:t>
      </w:r>
      <w:proofErr w:type="gramStart"/>
      <w:r>
        <w:t>forgery;</w:t>
      </w:r>
      <w:proofErr w:type="gramEnd"/>
      <w:r>
        <w:t xml:space="preserve"> </w:t>
      </w:r>
    </w:p>
    <w:p w14:paraId="71B0FB7B" w14:textId="77777777" w:rsidR="00ED3A7E" w:rsidRPr="000550CF" w:rsidRDefault="00ED3A7E" w:rsidP="00F3494E">
      <w:pPr>
        <w:widowControl w:val="0"/>
        <w:ind w:firstLine="720"/>
        <w:jc w:val="both"/>
        <w:rPr>
          <w:szCs w:val="24"/>
        </w:rPr>
      </w:pPr>
      <w:r>
        <w:t xml:space="preserve">2) more than one year has passed after the imposition of an administrative penalty or other statutory sanction for infringements related to </w:t>
      </w:r>
      <w:r>
        <w:rPr>
          <w:color w:val="000000"/>
        </w:rPr>
        <w:t>property, property rights and property interests, the economy, business practice</w:t>
      </w:r>
      <w:r>
        <w:t xml:space="preserve">, trade, financial system and </w:t>
      </w:r>
      <w:proofErr w:type="gramStart"/>
      <w:r>
        <w:t>statistics;</w:t>
      </w:r>
      <w:proofErr w:type="gramEnd"/>
    </w:p>
    <w:p w14:paraId="2DAC9678" w14:textId="77777777" w:rsidR="00ED3A7E" w:rsidRPr="000550CF" w:rsidRDefault="00ED3A7E" w:rsidP="00F3494E">
      <w:pPr>
        <w:widowControl w:val="0"/>
        <w:ind w:firstLine="720"/>
        <w:jc w:val="both"/>
        <w:rPr>
          <w:szCs w:val="24"/>
        </w:rPr>
      </w:pPr>
      <w:r>
        <w:t xml:space="preserve">3) during the last ten years has not been the subject of a natural person’s bankruptcy proceedings. </w:t>
      </w:r>
    </w:p>
    <w:p w14:paraId="51154BF0" w14:textId="77777777" w:rsidR="00ED3A7E" w:rsidRPr="000550CF" w:rsidRDefault="00ED3A7E" w:rsidP="00F3494E">
      <w:pPr>
        <w:widowControl w:val="0"/>
        <w:ind w:firstLine="720"/>
        <w:jc w:val="both"/>
        <w:rPr>
          <w:szCs w:val="24"/>
        </w:rPr>
      </w:pPr>
      <w:r>
        <w:t xml:space="preserve">3. A financial brokerage firm shall control the compliance of the financial broker who works for the financial brokerage firm with the established requirements. For the purposes of determining the suitability of the financial broker the financial brokerage firm shall have the right to obtain personal data of the financial broker from registers or information systems set up in the Republic of Lithuania and other Member States. The financial brokerage firm shall process personal data in </w:t>
      </w:r>
      <w:r>
        <w:lastRenderedPageBreak/>
        <w:t xml:space="preserve">accordance with the procedure established by legal acts regulating personal data protection. </w:t>
      </w:r>
    </w:p>
    <w:p w14:paraId="390F27EE" w14:textId="77777777" w:rsidR="00ED3A7E" w:rsidRPr="000550CF" w:rsidRDefault="00ED3A7E" w:rsidP="00F3494E">
      <w:pPr>
        <w:widowControl w:val="0"/>
        <w:ind w:firstLine="720"/>
        <w:jc w:val="both"/>
        <w:rPr>
          <w:szCs w:val="24"/>
        </w:rPr>
      </w:pPr>
      <w:r>
        <w:t xml:space="preserve">4. A financial broker shall have the right to perform the following operations: </w:t>
      </w:r>
    </w:p>
    <w:p w14:paraId="157BA4F6" w14:textId="77777777" w:rsidR="00ED3A7E" w:rsidRPr="000550CF" w:rsidRDefault="00ED3A7E" w:rsidP="00F3494E">
      <w:pPr>
        <w:widowControl w:val="0"/>
        <w:ind w:firstLine="720"/>
        <w:jc w:val="both"/>
        <w:rPr>
          <w:szCs w:val="24"/>
        </w:rPr>
      </w:pPr>
      <w:r>
        <w:t>1) provide investment advice and investment recommendations;</w:t>
      </w:r>
    </w:p>
    <w:p w14:paraId="4374407E" w14:textId="77777777" w:rsidR="00ED3A7E" w:rsidRPr="000550CF" w:rsidRDefault="00ED3A7E" w:rsidP="00F3494E">
      <w:pPr>
        <w:widowControl w:val="0"/>
        <w:ind w:firstLine="720"/>
        <w:jc w:val="both"/>
        <w:rPr>
          <w:szCs w:val="24"/>
        </w:rPr>
      </w:pPr>
      <w:r>
        <w:t>2) manage financial instrument portfolios of clients.</w:t>
      </w:r>
    </w:p>
    <w:p w14:paraId="5DDAF46B" w14:textId="77777777" w:rsidR="00ED3A7E" w:rsidRPr="000550CF" w:rsidRDefault="00ED3A7E" w:rsidP="00F3494E">
      <w:pPr>
        <w:widowControl w:val="0"/>
        <w:ind w:firstLine="720"/>
        <w:jc w:val="both"/>
        <w:rPr>
          <w:szCs w:val="24"/>
        </w:rPr>
      </w:pPr>
      <w:r>
        <w:t xml:space="preserve">5. Certification of financial brokers shall be carried out by the association of financial market participants or a third party involved thereby. The association of financial market participants shall be responsible for violations of legal acts regulating certification of financial brokers even where the certification is outsourced to a third party. </w:t>
      </w:r>
    </w:p>
    <w:p w14:paraId="33DF9420" w14:textId="77777777" w:rsidR="00ED3A7E" w:rsidRPr="000550CF" w:rsidRDefault="00ED3A7E" w:rsidP="00F3494E">
      <w:pPr>
        <w:widowControl w:val="0"/>
        <w:ind w:firstLine="720"/>
        <w:jc w:val="both"/>
        <w:rPr>
          <w:szCs w:val="24"/>
        </w:rPr>
      </w:pPr>
      <w:r>
        <w:t>6. A financial broker shall be certified by way of examination. The association of financial market participants shall issue a certificate attesting that the person has passed the qualification examination. Examinations shall be organised according to the need, but not less than once in four months. The financial broker certification procedure shall be set out by this Law, legal acts of the supervisory authority and of the association of financial market participants or a third party involved thereby.</w:t>
      </w:r>
    </w:p>
    <w:p w14:paraId="23424EA4" w14:textId="77777777" w:rsidR="00ED3A7E" w:rsidRPr="000550CF" w:rsidRDefault="00ED3A7E" w:rsidP="00F3494E">
      <w:pPr>
        <w:widowControl w:val="0"/>
        <w:ind w:firstLine="720"/>
        <w:jc w:val="both"/>
        <w:rPr>
          <w:szCs w:val="24"/>
        </w:rPr>
      </w:pPr>
      <w:r>
        <w:t xml:space="preserve">7. In carrying out the certification of financial brokers, the association of financial market participants or a third party involved thereby must ensure the quality and continuity of their activities and be impartial and objective towards certified persons. To this end, the association of financial market participants must have in place the internal quality assurance system, provide for the </w:t>
      </w:r>
      <w:proofErr w:type="gramStart"/>
      <w:r>
        <w:t>methods</w:t>
      </w:r>
      <w:proofErr w:type="gramEnd"/>
      <w:r>
        <w:t xml:space="preserve"> and means of operation ensuring the quality, continuity and impartiality of certification of financial brokers. Once a year, the association of financial market participants shall provide to the supervisory authority the information on the compliance with the financial broker examination quality assurance requirements. At the request of the supervisory authority, this information may also be provided more frequently.</w:t>
      </w:r>
    </w:p>
    <w:p w14:paraId="41CFBA34" w14:textId="77777777" w:rsidR="00ED3A7E" w:rsidRPr="000550CF" w:rsidRDefault="00ED3A7E" w:rsidP="00F3494E">
      <w:pPr>
        <w:widowControl w:val="0"/>
        <w:ind w:firstLine="720"/>
        <w:jc w:val="both"/>
        <w:rPr>
          <w:szCs w:val="24"/>
        </w:rPr>
      </w:pPr>
      <w:r>
        <w:t>8. At least once a year, the association of financial market participants shall publish on its internet website the number of financial broker examinations conducted during the year, the number of participants in the examinations, the number of certified financial brokers, received complaints concerning the examination and the conclusions regarding validity of such complaints, the results of internal assessment of the quality of activities, the identified infringements, the opinion of interested parties about the quality of such activities and other relevant data. The data and information specified in this paragraph shall be published only after they are aggregated and depersonalised.</w:t>
      </w:r>
    </w:p>
    <w:p w14:paraId="59272173" w14:textId="77777777" w:rsidR="00ED3A7E" w:rsidRPr="000550CF" w:rsidRDefault="00ED3A7E" w:rsidP="00F3494E">
      <w:pPr>
        <w:widowControl w:val="0"/>
        <w:ind w:firstLine="720"/>
        <w:jc w:val="both"/>
        <w:rPr>
          <w:szCs w:val="24"/>
        </w:rPr>
      </w:pPr>
      <w:r>
        <w:t>9. The list of persons who have passed the financial broker examination with specified names and surnames shall be published on the internet website of the association of financial market participants.</w:t>
      </w:r>
    </w:p>
    <w:p w14:paraId="4D3B1A55" w14:textId="77777777" w:rsidR="00ED3A7E" w:rsidRPr="000550CF" w:rsidRDefault="00ED3A7E" w:rsidP="00F3494E">
      <w:pPr>
        <w:ind w:firstLine="720"/>
        <w:jc w:val="both"/>
      </w:pPr>
      <w:r>
        <w:t xml:space="preserve">10. A certified financial broker must undergo training and upgrade his qualification for not less than fifteen hours per year. A financial brokerage firm must ensure and, at the request of the supervisory authority, be able to demonstrate that natural persons providing information to clients on behalf of the firm about financial instruments, investment and ancillary services provided by the firm are properly qualified for ensuring the requirements set out by this Law and continuously upgrade their qualification. </w:t>
      </w:r>
    </w:p>
    <w:p w14:paraId="6F6E1BBF" w14:textId="77777777" w:rsidR="00ED3A7E" w:rsidRPr="000550CF" w:rsidRDefault="00ED3A7E" w:rsidP="00F3494E">
      <w:pPr>
        <w:widowControl w:val="0"/>
        <w:ind w:firstLine="720"/>
        <w:jc w:val="both"/>
        <w:rPr>
          <w:b/>
          <w:szCs w:val="24"/>
          <w:lang w:eastAsia="lt-LT"/>
        </w:rPr>
      </w:pPr>
    </w:p>
    <w:p w14:paraId="6E2B6BAA" w14:textId="77777777" w:rsidR="00ED3A7E" w:rsidRPr="000550CF" w:rsidRDefault="00ED3A7E" w:rsidP="00F3494E">
      <w:pPr>
        <w:widowControl w:val="0"/>
        <w:ind w:firstLine="720"/>
        <w:jc w:val="both"/>
        <w:rPr>
          <w:szCs w:val="24"/>
        </w:rPr>
      </w:pPr>
      <w:r>
        <w:rPr>
          <w:b/>
          <w:szCs w:val="24"/>
        </w:rPr>
        <w:t xml:space="preserve">Article 18. </w:t>
      </w:r>
      <w:r>
        <w:rPr>
          <w:b/>
          <w:bCs/>
          <w:color w:val="000000"/>
          <w:szCs w:val="24"/>
        </w:rPr>
        <w:t>Accounting, audit and distribution of profit of financial brokerage firms</w:t>
      </w:r>
      <w:r>
        <w:rPr>
          <w:b/>
          <w:szCs w:val="24"/>
        </w:rPr>
        <w:t xml:space="preserve"> </w:t>
      </w:r>
    </w:p>
    <w:p w14:paraId="12CE4D93" w14:textId="77777777" w:rsidR="00ED3A7E" w:rsidRPr="000550CF" w:rsidRDefault="00ED3A7E" w:rsidP="00F3494E">
      <w:pPr>
        <w:ind w:firstLine="720"/>
        <w:jc w:val="both"/>
      </w:pPr>
      <w:r>
        <w:t>1. A financial brokerage firm must handle the accounting and prepare financial statements in accordance with legal acts of the Republic of Lithuania regulating financial reporting and the international accounting standards.</w:t>
      </w:r>
    </w:p>
    <w:p w14:paraId="0F82BAC6" w14:textId="77777777" w:rsidR="00ED3A7E" w:rsidRPr="000550CF" w:rsidRDefault="00ED3A7E" w:rsidP="00F3494E">
      <w:pPr>
        <w:widowControl w:val="0"/>
        <w:ind w:firstLine="720"/>
        <w:jc w:val="both"/>
        <w:rPr>
          <w:szCs w:val="24"/>
        </w:rPr>
      </w:pPr>
      <w:r>
        <w:t>2. The audit procedure of financial brokerage firms, the requirements for an auditor and an audit firm, the obligations and responsibility of an auditor and an audit firms shall be regulated by the Law of the Republic of Lithuania on Audit and the Law on Financial Institutions and Article 100 of this Law.</w:t>
      </w:r>
    </w:p>
    <w:p w14:paraId="25440484" w14:textId="77777777" w:rsidR="00ED3A7E" w:rsidRPr="000550CF" w:rsidRDefault="00ED3A7E" w:rsidP="00F3494E">
      <w:pPr>
        <w:widowControl w:val="0"/>
        <w:ind w:firstLine="720"/>
        <w:jc w:val="both"/>
        <w:rPr>
          <w:szCs w:val="24"/>
        </w:rPr>
      </w:pPr>
      <w:r>
        <w:t>3. Paragraph 1 of this Article shall apply mutatis mutandis to a market operator and a central depositary.</w:t>
      </w:r>
    </w:p>
    <w:p w14:paraId="3D6DF37A" w14:textId="77777777" w:rsidR="00ED3A7E" w:rsidRPr="000550CF" w:rsidRDefault="00ED3A7E" w:rsidP="00F3494E">
      <w:pPr>
        <w:widowControl w:val="0"/>
        <w:ind w:firstLine="720"/>
        <w:jc w:val="both"/>
        <w:rPr>
          <w:szCs w:val="24"/>
        </w:rPr>
      </w:pPr>
      <w:r>
        <w:t>4. The procedure of profit distribution of a financial brokerage firm shall be regulated by the Law on Financial Institutions.</w:t>
      </w:r>
    </w:p>
    <w:p w14:paraId="3E2259A6" w14:textId="77777777" w:rsidR="00ED3A7E" w:rsidRPr="000550CF" w:rsidRDefault="00ED3A7E" w:rsidP="00F3494E">
      <w:pPr>
        <w:widowControl w:val="0"/>
        <w:ind w:firstLine="720"/>
        <w:jc w:val="both"/>
        <w:rPr>
          <w:b/>
          <w:szCs w:val="24"/>
          <w:lang w:eastAsia="lt-LT"/>
        </w:rPr>
      </w:pPr>
    </w:p>
    <w:p w14:paraId="46D61656" w14:textId="77777777" w:rsidR="00ED3A7E" w:rsidRPr="000550CF" w:rsidRDefault="00ED3A7E" w:rsidP="00F3494E">
      <w:pPr>
        <w:widowControl w:val="0"/>
        <w:ind w:left="2127" w:hanging="1407"/>
        <w:jc w:val="both"/>
        <w:rPr>
          <w:szCs w:val="24"/>
        </w:rPr>
      </w:pPr>
      <w:r>
        <w:rPr>
          <w:b/>
          <w:szCs w:val="24"/>
        </w:rPr>
        <w:t xml:space="preserve">Article 19. </w:t>
      </w:r>
      <w:r>
        <w:rPr>
          <w:b/>
          <w:szCs w:val="24"/>
        </w:rPr>
        <w:tab/>
        <w:t>Consultation of supervisory authorities with each other prior to issuing a financial brokerage firm licence</w:t>
      </w:r>
    </w:p>
    <w:p w14:paraId="1E23C3B3" w14:textId="77777777" w:rsidR="00ED3A7E" w:rsidRPr="000550CF" w:rsidRDefault="00ED3A7E" w:rsidP="00F3494E">
      <w:pPr>
        <w:widowControl w:val="0"/>
        <w:ind w:firstLine="720"/>
        <w:jc w:val="both"/>
        <w:rPr>
          <w:szCs w:val="24"/>
        </w:rPr>
      </w:pPr>
      <w:r>
        <w:t>1. Prior to issuing a financial brokerage firm license, the supervisory authority shall obtain the opinion of the supervisory authority of another Member State, where an applicant for a financial brokerage firm licence is:</w:t>
      </w:r>
    </w:p>
    <w:p w14:paraId="5D17776D" w14:textId="77777777" w:rsidR="00ED3A7E" w:rsidRPr="000550CF" w:rsidRDefault="00ED3A7E" w:rsidP="00F3494E">
      <w:pPr>
        <w:widowControl w:val="0"/>
        <w:ind w:firstLine="720"/>
        <w:jc w:val="both"/>
        <w:rPr>
          <w:szCs w:val="24"/>
        </w:rPr>
      </w:pPr>
      <w:r>
        <w:t xml:space="preserve">1) a subsidiary of a financial brokerage firm or of a credit institution licensed in another Member </w:t>
      </w:r>
      <w:proofErr w:type="gramStart"/>
      <w:r>
        <w:t>State;</w:t>
      </w:r>
      <w:proofErr w:type="gramEnd"/>
    </w:p>
    <w:p w14:paraId="684D82C9" w14:textId="77777777" w:rsidR="00ED3A7E" w:rsidRPr="000550CF" w:rsidRDefault="00ED3A7E" w:rsidP="00F3494E">
      <w:pPr>
        <w:widowControl w:val="0"/>
        <w:ind w:firstLine="720"/>
        <w:jc w:val="both"/>
        <w:rPr>
          <w:szCs w:val="24"/>
        </w:rPr>
      </w:pPr>
      <w:r>
        <w:t xml:space="preserve">2) a subsidiary of a parent undertaking of a financial brokerage firm or of a credit institution licensed in another Member </w:t>
      </w:r>
      <w:proofErr w:type="gramStart"/>
      <w:r>
        <w:t>State;</w:t>
      </w:r>
      <w:proofErr w:type="gramEnd"/>
    </w:p>
    <w:p w14:paraId="009F5255" w14:textId="77777777" w:rsidR="00ED3A7E" w:rsidRPr="000550CF" w:rsidRDefault="00ED3A7E" w:rsidP="00F3494E">
      <w:pPr>
        <w:widowControl w:val="0"/>
        <w:ind w:firstLine="720"/>
        <w:jc w:val="both"/>
        <w:rPr>
          <w:szCs w:val="24"/>
        </w:rPr>
      </w:pPr>
      <w:r>
        <w:t xml:space="preserve">3) controlled by the same natural or legal persons who control a financial brokerage </w:t>
      </w:r>
      <w:proofErr w:type="gramStart"/>
      <w:r>
        <w:t>firm</w:t>
      </w:r>
      <w:proofErr w:type="gramEnd"/>
      <w:r>
        <w:t xml:space="preserve"> or a credit institution licensed in another Member State.</w:t>
      </w:r>
    </w:p>
    <w:p w14:paraId="7B263D46" w14:textId="77777777" w:rsidR="00ED3A7E" w:rsidRPr="000550CF" w:rsidRDefault="00ED3A7E" w:rsidP="00F3494E">
      <w:pPr>
        <w:widowControl w:val="0"/>
        <w:ind w:firstLine="720"/>
        <w:jc w:val="both"/>
        <w:rPr>
          <w:szCs w:val="24"/>
        </w:rPr>
      </w:pPr>
      <w:r>
        <w:t>2. Prior to issuing a financial brokerage firm license, the supervisory authority shall obtain the opinion of the supervisory authority of credit institutions or insurance undertakings of another Member State, where an applicant for a financial brokerage firm licence is:</w:t>
      </w:r>
    </w:p>
    <w:p w14:paraId="0509A1B1" w14:textId="77777777" w:rsidR="00ED3A7E" w:rsidRPr="000550CF" w:rsidRDefault="00ED3A7E" w:rsidP="00F3494E">
      <w:pPr>
        <w:ind w:firstLine="720"/>
        <w:jc w:val="both"/>
      </w:pPr>
      <w:r>
        <w:t xml:space="preserve">) a subsidiary of a Credit or of a credit institution licensed in another Member </w:t>
      </w:r>
      <w:proofErr w:type="gramStart"/>
      <w:r>
        <w:t>State;</w:t>
      </w:r>
      <w:proofErr w:type="gramEnd"/>
    </w:p>
    <w:p w14:paraId="5D8CBAAC" w14:textId="77777777" w:rsidR="00ED3A7E" w:rsidRPr="000550CF" w:rsidRDefault="00ED3A7E" w:rsidP="00F3494E">
      <w:pPr>
        <w:widowControl w:val="0"/>
        <w:ind w:firstLine="720"/>
        <w:jc w:val="both"/>
        <w:rPr>
          <w:szCs w:val="24"/>
        </w:rPr>
      </w:pPr>
      <w:r>
        <w:t xml:space="preserve">2) a subsidiary of a parent undertaking of a credit institution or of an insurance undertaking licensed in a Member </w:t>
      </w:r>
      <w:proofErr w:type="gramStart"/>
      <w:r>
        <w:t>State;</w:t>
      </w:r>
      <w:proofErr w:type="gramEnd"/>
    </w:p>
    <w:p w14:paraId="7AE23B3D" w14:textId="77777777" w:rsidR="00ED3A7E" w:rsidRPr="000550CF" w:rsidRDefault="00ED3A7E" w:rsidP="00F3494E">
      <w:pPr>
        <w:widowControl w:val="0"/>
        <w:ind w:firstLine="720"/>
        <w:jc w:val="both"/>
        <w:rPr>
          <w:szCs w:val="24"/>
        </w:rPr>
      </w:pPr>
      <w:r>
        <w:t xml:space="preserve">3) controlled by the same natural or legal persons who control a credit </w:t>
      </w:r>
      <w:proofErr w:type="gramStart"/>
      <w:r>
        <w:t>institution</w:t>
      </w:r>
      <w:proofErr w:type="gramEnd"/>
      <w:r>
        <w:t xml:space="preserve"> or an insurance undertaking licensed in the European Union.</w:t>
      </w:r>
    </w:p>
    <w:p w14:paraId="54077C6F" w14:textId="77777777" w:rsidR="00ED3A7E" w:rsidRPr="000550CF" w:rsidRDefault="00ED3A7E" w:rsidP="00F3494E">
      <w:pPr>
        <w:widowControl w:val="0"/>
        <w:ind w:firstLine="720"/>
        <w:jc w:val="both"/>
        <w:rPr>
          <w:szCs w:val="24"/>
        </w:rPr>
      </w:pPr>
      <w:r>
        <w:t>3. The Supervisory Authority shall obtain the opinion of the supervisory authorities referred to in paragraphs 1 and 2 of this Article when assessing the suitability of the holders of the qualifying holding of the capital and/or of the voting rights of the applicant and the reputation and experience of managers of undertakings of the same group. The supervisory authority shall exchange with a supervisory authority of another Member State the information necessary for assessing the suitability of shareholders and the reputation and experience of managers of undertakings of the same group both prior to the issue of the financial brokerage firm licence and later when carrying out supervision over compliance with requirements for activities of the financial brokerage firm.</w:t>
      </w:r>
    </w:p>
    <w:p w14:paraId="3E3D901B" w14:textId="77777777" w:rsidR="00ED3A7E" w:rsidRPr="000550CF" w:rsidRDefault="00ED3A7E" w:rsidP="00F3494E">
      <w:pPr>
        <w:widowControl w:val="0"/>
        <w:ind w:firstLine="720"/>
        <w:jc w:val="both"/>
        <w:rPr>
          <w:szCs w:val="24"/>
          <w:lang w:eastAsia="lt-LT"/>
        </w:rPr>
      </w:pPr>
    </w:p>
    <w:p w14:paraId="5ACE3738" w14:textId="77777777" w:rsidR="00ED3A7E" w:rsidRPr="000550CF" w:rsidRDefault="00ED3A7E" w:rsidP="002528C6">
      <w:pPr>
        <w:suppressAutoHyphens/>
        <w:ind w:left="2160" w:hanging="1451"/>
        <w:jc w:val="both"/>
        <w:textAlignment w:val="baseline"/>
        <w:rPr>
          <w:szCs w:val="24"/>
        </w:rPr>
      </w:pPr>
      <w:r>
        <w:rPr>
          <w:b/>
          <w:szCs w:val="24"/>
        </w:rPr>
        <w:t xml:space="preserve">Article 20. Powers of the supervisory authority in specifying the procedure for licensing and the requirements for obtaining a licence of financial brokerage firms and financial advisor firms </w:t>
      </w:r>
    </w:p>
    <w:p w14:paraId="34295043" w14:textId="77777777" w:rsidR="00ED3A7E" w:rsidRPr="000550CF" w:rsidRDefault="00ED3A7E" w:rsidP="00F3494E">
      <w:pPr>
        <w:widowControl w:val="0"/>
        <w:ind w:firstLine="720"/>
        <w:jc w:val="both"/>
        <w:rPr>
          <w:szCs w:val="24"/>
        </w:rPr>
      </w:pPr>
      <w:proofErr w:type="gramStart"/>
      <w:r>
        <w:t>For the purpose of</w:t>
      </w:r>
      <w:proofErr w:type="gramEnd"/>
      <w:r>
        <w:t xml:space="preserve"> specifying the provisions of this Section, the Supervisory Authority shall:</w:t>
      </w:r>
    </w:p>
    <w:p w14:paraId="2FF8E9EA" w14:textId="77777777" w:rsidR="00ED3A7E" w:rsidRPr="000550CF" w:rsidRDefault="00ED3A7E" w:rsidP="00F3494E">
      <w:pPr>
        <w:widowControl w:val="0"/>
        <w:ind w:firstLine="720"/>
        <w:jc w:val="both"/>
        <w:rPr>
          <w:szCs w:val="24"/>
        </w:rPr>
      </w:pPr>
      <w:r>
        <w:t xml:space="preserve">1) establish the procedure for the issue and withdrawal of licenses of financial brokerage </w:t>
      </w:r>
      <w:proofErr w:type="gramStart"/>
      <w:r>
        <w:t>firms;</w:t>
      </w:r>
      <w:proofErr w:type="gramEnd"/>
    </w:p>
    <w:p w14:paraId="7B328C19" w14:textId="77777777" w:rsidR="00ED3A7E" w:rsidRPr="000550CF" w:rsidRDefault="00ED3A7E" w:rsidP="00F3494E">
      <w:pPr>
        <w:widowControl w:val="0"/>
        <w:ind w:firstLine="720"/>
        <w:jc w:val="both"/>
        <w:rPr>
          <w:szCs w:val="24"/>
        </w:rPr>
      </w:pPr>
      <w:r>
        <w:t xml:space="preserve">2) establish the procedure for submission of the notifications on the acquisition and the disposal of a qualifying holding of the capital and/or of the voting rights of a financial brokerage firm and of the notifications on the crossing of the thresholds of voting rights conferred by shares established by this </w:t>
      </w:r>
      <w:proofErr w:type="gramStart"/>
      <w:r>
        <w:t>Law;</w:t>
      </w:r>
      <w:proofErr w:type="gramEnd"/>
    </w:p>
    <w:p w14:paraId="5D358FF8" w14:textId="77777777" w:rsidR="00ED3A7E" w:rsidRPr="000550CF" w:rsidRDefault="00ED3A7E" w:rsidP="00F3494E">
      <w:pPr>
        <w:widowControl w:val="0"/>
        <w:ind w:firstLine="720"/>
        <w:jc w:val="both"/>
        <w:rPr>
          <w:szCs w:val="24"/>
        </w:rPr>
      </w:pPr>
      <w:r>
        <w:t xml:space="preserve">3) approve the description of capital requirements and other prudential circumstances for financial brokerage </w:t>
      </w:r>
      <w:proofErr w:type="gramStart"/>
      <w:r>
        <w:t>firms;</w:t>
      </w:r>
      <w:proofErr w:type="gramEnd"/>
    </w:p>
    <w:p w14:paraId="6AE104B8" w14:textId="77777777" w:rsidR="00ED3A7E" w:rsidRPr="000550CF" w:rsidRDefault="00ED3A7E" w:rsidP="00F3494E">
      <w:pPr>
        <w:widowControl w:val="0"/>
        <w:ind w:firstLine="720"/>
        <w:jc w:val="both"/>
        <w:rPr>
          <w:szCs w:val="24"/>
        </w:rPr>
      </w:pPr>
      <w:r>
        <w:t xml:space="preserve">4) establish the procedure for the organization of activities of financial brokerage firms specifying the organisational requirements set forth in Article 16 of this </w:t>
      </w:r>
      <w:proofErr w:type="gramStart"/>
      <w:r>
        <w:t>Law;</w:t>
      </w:r>
      <w:proofErr w:type="gramEnd"/>
    </w:p>
    <w:p w14:paraId="557EE8B3" w14:textId="77777777" w:rsidR="00ED3A7E" w:rsidRPr="000550CF" w:rsidRDefault="00ED3A7E" w:rsidP="00F3494E">
      <w:pPr>
        <w:widowControl w:val="0"/>
        <w:ind w:firstLine="720"/>
        <w:jc w:val="both"/>
        <w:rPr>
          <w:szCs w:val="24"/>
        </w:rPr>
      </w:pPr>
      <w:r>
        <w:t xml:space="preserve">5) establish the procedure for the issue and withdrawal of the financial advisor firm licences as well as the procedure for the organization and performance of their </w:t>
      </w:r>
      <w:proofErr w:type="gramStart"/>
      <w:r>
        <w:t>activities;</w:t>
      </w:r>
      <w:proofErr w:type="gramEnd"/>
    </w:p>
    <w:p w14:paraId="00B1FD90" w14:textId="77777777" w:rsidR="00ED3A7E" w:rsidRPr="000550CF" w:rsidRDefault="00ED3A7E" w:rsidP="00F3494E">
      <w:pPr>
        <w:widowControl w:val="0"/>
        <w:ind w:firstLine="720"/>
        <w:jc w:val="both"/>
        <w:rPr>
          <w:szCs w:val="24"/>
        </w:rPr>
      </w:pPr>
      <w:r>
        <w:t>6) approve the description of requirements applicable to the financial brokerage firm’s managers and internal governance.</w:t>
      </w:r>
    </w:p>
    <w:p w14:paraId="47592B51" w14:textId="77777777" w:rsidR="00ED3A7E" w:rsidRPr="000550CF" w:rsidRDefault="00ED3A7E" w:rsidP="00F3494E">
      <w:pPr>
        <w:widowControl w:val="0"/>
        <w:ind w:firstLine="720"/>
        <w:jc w:val="both"/>
        <w:rPr>
          <w:szCs w:val="24"/>
          <w:lang w:eastAsia="lt-LT"/>
        </w:rPr>
      </w:pPr>
    </w:p>
    <w:p w14:paraId="42DFB07F" w14:textId="77777777" w:rsidR="00ED3A7E" w:rsidRPr="000550CF" w:rsidRDefault="00ED3A7E" w:rsidP="00F3494E">
      <w:pPr>
        <w:widowControl w:val="0"/>
        <w:ind w:firstLine="720"/>
        <w:jc w:val="both"/>
        <w:rPr>
          <w:szCs w:val="24"/>
        </w:rPr>
      </w:pPr>
      <w:r>
        <w:rPr>
          <w:b/>
          <w:szCs w:val="24"/>
        </w:rPr>
        <w:t>Article 21. Algorithmic trading</w:t>
      </w:r>
    </w:p>
    <w:p w14:paraId="1A82D6EC" w14:textId="77777777" w:rsidR="00ED3A7E" w:rsidRPr="000550CF" w:rsidRDefault="00ED3A7E" w:rsidP="000D7838">
      <w:pPr>
        <w:widowControl w:val="0"/>
        <w:ind w:firstLine="720"/>
        <w:jc w:val="both"/>
        <w:rPr>
          <w:szCs w:val="24"/>
        </w:rPr>
      </w:pPr>
      <w:r>
        <w:t xml:space="preserve">1. A financial brokerage firm that engages in algorithmic trading shall have in place effective systems and risk controls to ensure that its trading systems are resilient and have sufficient capacity, are subject to appropriate trading thresholds and limits and prevent the sending of erroneous orders </w:t>
      </w:r>
      <w:r>
        <w:lastRenderedPageBreak/>
        <w:t>or the system otherwise functioning in a way that may create or contribute to a disorderly market</w:t>
      </w:r>
    </w:p>
    <w:p w14:paraId="287BECF5" w14:textId="77777777" w:rsidR="00ED3A7E" w:rsidRPr="000550CF" w:rsidRDefault="00ED3A7E" w:rsidP="00F3494E">
      <w:pPr>
        <w:widowControl w:val="0"/>
        <w:ind w:firstLine="720"/>
        <w:jc w:val="both"/>
        <w:rPr>
          <w:szCs w:val="24"/>
        </w:rPr>
      </w:pPr>
      <w:r>
        <w:t>2. A financial brokerage firm shall have in place effective systems and risk controls to ensure the trading systems cannot be used for any purpose that is contrary to Regulation (EU) No 596/2014 or to the rules of a trading venue to which it is connected.</w:t>
      </w:r>
    </w:p>
    <w:p w14:paraId="353E48F3" w14:textId="77777777" w:rsidR="00ED3A7E" w:rsidRPr="000550CF" w:rsidRDefault="00ED3A7E" w:rsidP="00F3494E">
      <w:pPr>
        <w:ind w:firstLine="720"/>
        <w:jc w:val="both"/>
      </w:pPr>
      <w:r>
        <w:t>3. A financial brokerage firm shall have in place effective business continuity arrangements to deal with any failure of its trading systems and shall ensure its systems are fully tested and properly monitored.</w:t>
      </w:r>
    </w:p>
    <w:p w14:paraId="318152DE" w14:textId="77777777" w:rsidR="00ED3A7E" w:rsidRPr="000550CF" w:rsidRDefault="00ED3A7E" w:rsidP="00F3494E">
      <w:pPr>
        <w:widowControl w:val="0"/>
        <w:ind w:firstLine="720"/>
        <w:jc w:val="both"/>
        <w:rPr>
          <w:szCs w:val="24"/>
        </w:rPr>
      </w:pPr>
      <w:r>
        <w:t>4. A financial brokerage firm that engages in algorithmic trading in the Republic of Lithuania shall notify this to the supervisory authority and of the trading venue at which the financial brokerage firm engages in algorithmic trading as a member or participant of the trading venue.</w:t>
      </w:r>
    </w:p>
    <w:p w14:paraId="4954D827" w14:textId="77777777" w:rsidR="00ED3A7E" w:rsidRPr="000550CF" w:rsidRDefault="00ED3A7E" w:rsidP="00F3494E">
      <w:pPr>
        <w:widowControl w:val="0"/>
        <w:ind w:firstLine="720"/>
        <w:jc w:val="both"/>
        <w:rPr>
          <w:szCs w:val="24"/>
        </w:rPr>
      </w:pPr>
      <w:r>
        <w:t>5. The supervisory authority shall have the right to require a financial brokerage firm to provide, on a regular or ad-hoc basis, a description of the nature of its algorithmic trading strategies, details of the trading parameters or limits to which the system is subject, the key compliance and risk controls that it has in place to ensure the conditions laid down in paragraphs 1, 2 and 3 of this Article are satisfied and details of the testing of its systems. The supervisory authority may, at any time, request further information from a financial brokerage firm about its algorithmic trading and the systems used for that trading.</w:t>
      </w:r>
    </w:p>
    <w:p w14:paraId="56F53146" w14:textId="77777777" w:rsidR="00ED3A7E" w:rsidRPr="000550CF" w:rsidRDefault="00ED3A7E" w:rsidP="00F3494E">
      <w:pPr>
        <w:widowControl w:val="0"/>
        <w:ind w:firstLine="720"/>
        <w:jc w:val="both"/>
        <w:rPr>
          <w:szCs w:val="24"/>
        </w:rPr>
      </w:pPr>
      <w:r>
        <w:t>6. The supervisory authority shall, on the request of a supervisory authority of a trading venue at which a financial brokerage firm as a member or participant of the trading venue is engaged in algorithmic trading and without undue delay, communicate the information referred to in paragraph 5 of this Article received from the financial brokerage firm that engages in algorithmic trading.</w:t>
      </w:r>
    </w:p>
    <w:p w14:paraId="177033DB" w14:textId="77777777" w:rsidR="00ED3A7E" w:rsidRPr="000550CF" w:rsidRDefault="00ED3A7E" w:rsidP="00F3494E">
      <w:pPr>
        <w:widowControl w:val="0"/>
        <w:ind w:firstLine="720"/>
        <w:jc w:val="both"/>
        <w:rPr>
          <w:color w:val="000000"/>
          <w:szCs w:val="24"/>
        </w:rPr>
      </w:pPr>
      <w:r>
        <w:t>7. A financial brokerage firm shall arrange for records to be kept in relation to the matters referred to in paragraphs 4 and 5 of this Article and shall ensure that those records be sufficient to enable its competent authority to monitor compliance with the requirements of this</w:t>
      </w:r>
      <w:r>
        <w:rPr>
          <w:color w:val="000000"/>
          <w:szCs w:val="24"/>
        </w:rPr>
        <w:t xml:space="preserve"> of this Law. </w:t>
      </w:r>
    </w:p>
    <w:p w14:paraId="468221D7" w14:textId="77777777" w:rsidR="00ED3A7E" w:rsidRPr="000550CF" w:rsidRDefault="00ED3A7E" w:rsidP="00F3494E">
      <w:pPr>
        <w:widowControl w:val="0"/>
        <w:ind w:firstLine="720"/>
        <w:jc w:val="both"/>
        <w:rPr>
          <w:szCs w:val="24"/>
        </w:rPr>
      </w:pPr>
      <w:r>
        <w:t>8. A financial brokerage firm that engages in a high-frequency algorithmic trading technique shall store in an approved form accurate and time sequenced records of all its placed orders, including cancellations of orders, executed orders and quotations on trading venues and shall make them available to the supervisory authority upon request.</w:t>
      </w:r>
    </w:p>
    <w:p w14:paraId="09590150" w14:textId="77777777" w:rsidR="00ED3A7E" w:rsidRPr="000550CF" w:rsidRDefault="00ED3A7E" w:rsidP="00F3494E">
      <w:pPr>
        <w:ind w:firstLine="720"/>
        <w:jc w:val="both"/>
      </w:pPr>
      <w:r>
        <w:t xml:space="preserve">9. A financial brokerage firm that engages in algorithmic trading and pursues a market making strategy, </w:t>
      </w:r>
      <w:proofErr w:type="gramStart"/>
      <w:r>
        <w:t>taking into account</w:t>
      </w:r>
      <w:proofErr w:type="gramEnd"/>
      <w:r>
        <w:t xml:space="preserve"> the liquidity, scale and nature of the specific market and the characteristics of the instrument traded, must:</w:t>
      </w:r>
    </w:p>
    <w:p w14:paraId="36940320" w14:textId="77777777" w:rsidR="00ED3A7E" w:rsidRPr="000550CF" w:rsidRDefault="00ED3A7E" w:rsidP="00F3494E">
      <w:pPr>
        <w:widowControl w:val="0"/>
        <w:ind w:firstLine="720"/>
        <w:jc w:val="both"/>
        <w:rPr>
          <w:szCs w:val="24"/>
        </w:rPr>
      </w:pPr>
      <w:r>
        <w:t xml:space="preserve">1) carry out this market making continuously during a specified proportion of the trading venue’s trading hours (except under exceptional circumstances) with the result of providing liquidity on a regular and predictable basis to the trading </w:t>
      </w:r>
      <w:proofErr w:type="gramStart"/>
      <w:r>
        <w:t>venue;</w:t>
      </w:r>
      <w:proofErr w:type="gramEnd"/>
    </w:p>
    <w:p w14:paraId="6748AAC7" w14:textId="77777777" w:rsidR="00ED3A7E" w:rsidRPr="000550CF" w:rsidRDefault="00ED3A7E" w:rsidP="00F3494E">
      <w:pPr>
        <w:widowControl w:val="0"/>
        <w:ind w:firstLine="720"/>
        <w:jc w:val="both"/>
        <w:rPr>
          <w:szCs w:val="24"/>
        </w:rPr>
      </w:pPr>
      <w:r>
        <w:t>2) enter into a binding written agreement with the trading venue which shall at least specify the obligations of the financial brokerage firm in accordance with the obligations referred to in point 1 of this paragraph;</w:t>
      </w:r>
    </w:p>
    <w:p w14:paraId="69CC916C" w14:textId="77777777" w:rsidR="00ED3A7E" w:rsidRPr="000550CF" w:rsidRDefault="00ED3A7E" w:rsidP="00F3494E">
      <w:pPr>
        <w:widowControl w:val="0"/>
        <w:ind w:firstLine="720"/>
        <w:jc w:val="both"/>
        <w:rPr>
          <w:szCs w:val="24"/>
        </w:rPr>
      </w:pPr>
      <w:r>
        <w:t>3) have in place effective systems and controls to ensure that it fulfils its obligations under the agreement referred to in point 2 of this paragraph at all times.</w:t>
      </w:r>
    </w:p>
    <w:p w14:paraId="67F3C31C" w14:textId="77777777" w:rsidR="00ED3A7E" w:rsidRPr="000550CF" w:rsidRDefault="00ED3A7E" w:rsidP="00F3494E">
      <w:pPr>
        <w:widowControl w:val="0"/>
        <w:ind w:firstLine="720"/>
        <w:jc w:val="both"/>
        <w:rPr>
          <w:szCs w:val="24"/>
        </w:rPr>
      </w:pPr>
      <w:r>
        <w:t>10. For the purposes of this Article and of Article 70 of this Law, a financial brokerage firm that engages in algorithmic trading shall be considered to be pursuing a market making strategy when, as a member or participant of one or more trading venues, its strategy, when dealing on own account, involves posting firm, simultaneous two-way quotes of comparable size and at competitive prices relating to one or more financial instruments on a single trading venue or across different trading venues, with the result of providing liquidity on a regular and frequent basis to the overall market.</w:t>
      </w:r>
    </w:p>
    <w:p w14:paraId="0D90F213" w14:textId="77777777" w:rsidR="00ED3A7E" w:rsidRPr="000550CF" w:rsidRDefault="00ED3A7E" w:rsidP="00F3494E">
      <w:pPr>
        <w:widowControl w:val="0"/>
        <w:ind w:firstLine="720"/>
        <w:jc w:val="both"/>
        <w:rPr>
          <w:szCs w:val="24"/>
        </w:rPr>
      </w:pPr>
      <w:r>
        <w:t>11. A financial brokerage firm that provides direct electronic access to a trading venue shall have in place effective systems and controls which ensure:</w:t>
      </w:r>
    </w:p>
    <w:p w14:paraId="0CA381C5" w14:textId="77777777" w:rsidR="00ED3A7E" w:rsidRPr="000550CF" w:rsidRDefault="00ED3A7E" w:rsidP="00F3494E">
      <w:pPr>
        <w:widowControl w:val="0"/>
        <w:ind w:firstLine="720"/>
        <w:jc w:val="both"/>
        <w:rPr>
          <w:szCs w:val="24"/>
        </w:rPr>
      </w:pPr>
      <w:r>
        <w:t>1) a proper assessment and review of the suitability of clients using the service;</w:t>
      </w:r>
    </w:p>
    <w:p w14:paraId="77B62540" w14:textId="77777777" w:rsidR="00ED3A7E" w:rsidRPr="000550CF" w:rsidRDefault="00ED3A7E" w:rsidP="00F3494E">
      <w:pPr>
        <w:widowControl w:val="0"/>
        <w:ind w:firstLine="720"/>
        <w:jc w:val="both"/>
        <w:rPr>
          <w:szCs w:val="24"/>
        </w:rPr>
      </w:pPr>
      <w:r>
        <w:t>2) that clients using the service are prevented from exceeding appropriate pre-set trading and credit thresholds;</w:t>
      </w:r>
    </w:p>
    <w:p w14:paraId="21BFFB6B" w14:textId="77777777" w:rsidR="00ED3A7E" w:rsidRPr="000550CF" w:rsidRDefault="00ED3A7E" w:rsidP="00F3494E">
      <w:pPr>
        <w:widowControl w:val="0"/>
        <w:ind w:firstLine="720"/>
        <w:jc w:val="both"/>
        <w:rPr>
          <w:szCs w:val="24"/>
        </w:rPr>
      </w:pPr>
      <w:r>
        <w:t>3) that trading by clients using the service is properly monitored;</w:t>
      </w:r>
    </w:p>
    <w:p w14:paraId="5D1CF263" w14:textId="77777777" w:rsidR="00ED3A7E" w:rsidRPr="000550CF" w:rsidRDefault="00ED3A7E" w:rsidP="00F3494E">
      <w:pPr>
        <w:widowControl w:val="0"/>
        <w:ind w:firstLine="720"/>
        <w:jc w:val="both"/>
        <w:rPr>
          <w:szCs w:val="24"/>
        </w:rPr>
      </w:pPr>
      <w:r>
        <w:t xml:space="preserve">4) that appropriate risk controls prevent trading that may create risks to the investment firm </w:t>
      </w:r>
      <w:r>
        <w:lastRenderedPageBreak/>
        <w:t>itself or that could create or contribute to a disorderly market or could be contrary to Regulation (EU) No 596/2014 or the rules of the trading venue.</w:t>
      </w:r>
    </w:p>
    <w:p w14:paraId="3A8BBAD9" w14:textId="77777777" w:rsidR="00ED3A7E" w:rsidRPr="000550CF" w:rsidRDefault="00ED3A7E" w:rsidP="00F3494E">
      <w:pPr>
        <w:widowControl w:val="0"/>
        <w:ind w:firstLine="720"/>
        <w:jc w:val="both"/>
        <w:rPr>
          <w:szCs w:val="24"/>
        </w:rPr>
      </w:pPr>
      <w:r>
        <w:t>12. Direct electronic access to a trading venue without the systems and controls referred to in paragraph 11 of this Article shall be prohibited.</w:t>
      </w:r>
    </w:p>
    <w:p w14:paraId="1D8BEC7A" w14:textId="77777777" w:rsidR="00ED3A7E" w:rsidRPr="000550CF" w:rsidRDefault="00ED3A7E" w:rsidP="00F3494E">
      <w:pPr>
        <w:widowControl w:val="0"/>
        <w:ind w:firstLine="720"/>
        <w:jc w:val="both"/>
        <w:rPr>
          <w:szCs w:val="24"/>
        </w:rPr>
      </w:pPr>
      <w:r>
        <w:t>13. A financial brokerage firm that provides direct electronic access to a trading venue shall be responsible for ensuring that clients using that service comply with the requirements of this Law and the rules of the trading venue. The financial brokerage firm shall monitor the transactions in order to identify infringements of those rules, disorderly trading conditions or conduct that may involve market abuse within the meaning of Regulation (EU) No 596/2014 and that is to be reported to the supervisory authority. The financial brokerage firm shall ensure that there is a binding written agreement between the financial brokerage firm and the client using the service regarding the essential rights and obligations arising from the provision of the service and that under the agreement the financial brokerage firm retains responsibility under this Directive.</w:t>
      </w:r>
    </w:p>
    <w:p w14:paraId="1BFBCF67" w14:textId="77777777" w:rsidR="00ED3A7E" w:rsidRPr="000550CF" w:rsidRDefault="00ED3A7E" w:rsidP="00F3494E">
      <w:pPr>
        <w:widowControl w:val="0"/>
        <w:ind w:firstLine="720"/>
        <w:jc w:val="both"/>
        <w:rPr>
          <w:szCs w:val="24"/>
        </w:rPr>
      </w:pPr>
      <w:r>
        <w:t>14. A financial brokerage firm that provides direct electronic access to a trading venue shall notify the supervisory authority and a supervisory authority of the trading venue at which the financial brokerage firm provides direct electronic access accordingly.</w:t>
      </w:r>
    </w:p>
    <w:p w14:paraId="2650560C" w14:textId="77777777" w:rsidR="00ED3A7E" w:rsidRPr="000550CF" w:rsidRDefault="00ED3A7E" w:rsidP="00F3494E">
      <w:pPr>
        <w:widowControl w:val="0"/>
        <w:ind w:firstLine="720"/>
        <w:jc w:val="both"/>
        <w:rPr>
          <w:szCs w:val="24"/>
        </w:rPr>
      </w:pPr>
      <w:r>
        <w:t>15. The supervisory authority may require the financial brokerage firm to provide, on a regular or ad-hoc basis, a description of the systems and controls referred to in paragraph 11 of this Article and evidence of their application.</w:t>
      </w:r>
    </w:p>
    <w:p w14:paraId="7301C39A" w14:textId="77777777" w:rsidR="00ED3A7E" w:rsidRPr="000550CF" w:rsidRDefault="00ED3A7E" w:rsidP="00F3494E">
      <w:pPr>
        <w:widowControl w:val="0"/>
        <w:ind w:firstLine="720"/>
        <w:jc w:val="both"/>
        <w:rPr>
          <w:szCs w:val="24"/>
        </w:rPr>
      </w:pPr>
      <w:r>
        <w:t>16. The supervisory authority, on the request of a supervisory authority of a trading venue in relation to which the financial brokerage firm provides direct electronic access, shall communicate without undue delay the information referred to in paragraph 15 of this Article that it receives from the financial brokerage firm.</w:t>
      </w:r>
    </w:p>
    <w:p w14:paraId="25B9E275" w14:textId="77777777" w:rsidR="00ED3A7E" w:rsidRPr="000550CF" w:rsidRDefault="00ED3A7E" w:rsidP="00F3494E">
      <w:pPr>
        <w:widowControl w:val="0"/>
        <w:ind w:firstLine="720"/>
        <w:jc w:val="both"/>
        <w:rPr>
          <w:szCs w:val="24"/>
        </w:rPr>
      </w:pPr>
      <w:r>
        <w:t>17. A financial brokerage firm shall arrange for records to be kept in relation to the matters referred to in paragraphs 11–16 of this Article and shall ensure that those records be sufficient to enable the supervisory authority to monitor compliance with the requirements of this of this Law.</w:t>
      </w:r>
    </w:p>
    <w:p w14:paraId="6731718D" w14:textId="77777777" w:rsidR="00ED3A7E" w:rsidRPr="000550CF" w:rsidRDefault="00ED3A7E" w:rsidP="00F3494E">
      <w:pPr>
        <w:widowControl w:val="0"/>
        <w:ind w:firstLine="720"/>
        <w:jc w:val="both"/>
        <w:rPr>
          <w:szCs w:val="24"/>
        </w:rPr>
      </w:pPr>
      <w:r>
        <w:t>18. A financial brokerage firm that acts as a general clearing member for other persons shall have in place effective systems and controls to ensure clearing services are only applied to persons who are suitable and meet clear criteria and that appropriate requirements are imposed on those persons to reduce risks to the financial brokerage firm and to the market. The financial brokerage firm shall ensure that there is a binding written agreement between the financial brokerage firm and the person regarding the essential rights and obligations arising from the provision of that service.</w:t>
      </w:r>
    </w:p>
    <w:p w14:paraId="6EDE2043" w14:textId="77777777" w:rsidR="00ED3A7E" w:rsidRPr="000550CF" w:rsidRDefault="00ED3A7E" w:rsidP="00F3494E">
      <w:pPr>
        <w:widowControl w:val="0"/>
        <w:ind w:firstLine="720"/>
        <w:jc w:val="both"/>
        <w:rPr>
          <w:szCs w:val="24"/>
          <w:lang w:eastAsia="lt-LT"/>
        </w:rPr>
      </w:pPr>
    </w:p>
    <w:p w14:paraId="5A8895B6" w14:textId="77777777" w:rsidR="00ED3A7E" w:rsidRPr="000550CF" w:rsidRDefault="00ED3A7E" w:rsidP="00F3494E">
      <w:pPr>
        <w:widowControl w:val="0"/>
        <w:ind w:left="2127" w:hanging="1407"/>
        <w:jc w:val="both"/>
        <w:rPr>
          <w:b/>
          <w:szCs w:val="24"/>
        </w:rPr>
      </w:pPr>
      <w:r>
        <w:rPr>
          <w:b/>
          <w:szCs w:val="24"/>
        </w:rPr>
        <w:t>Article 22. T</w:t>
      </w:r>
      <w:r>
        <w:rPr>
          <w:b/>
        </w:rPr>
        <w:t>rading process and finalisation of transactions in an MTF and an OTF</w:t>
      </w:r>
    </w:p>
    <w:p w14:paraId="44E44C32" w14:textId="77777777" w:rsidR="00ED3A7E" w:rsidRPr="000550CF" w:rsidRDefault="00ED3A7E" w:rsidP="00F3494E">
      <w:pPr>
        <w:widowControl w:val="0"/>
        <w:ind w:firstLine="720"/>
        <w:jc w:val="both"/>
        <w:rPr>
          <w:szCs w:val="24"/>
        </w:rPr>
      </w:pPr>
      <w:r>
        <w:t>1. Financial brokerage firms and market operators operating an MTF or an OTF, in addition to meeting the requirements laid down in Article 16 of this Law, shall have transparent and non-discretionary rules and procedures that provide for fair and orderly trading, and establish objective criteria for the efficient execution of orders. They shall have arrangements for the sound management of the technical operations of the facility, including the establishment of effective contingency arrangements to cope with risks of systems disruption.</w:t>
      </w:r>
    </w:p>
    <w:p w14:paraId="054BF548" w14:textId="77777777" w:rsidR="00ED3A7E" w:rsidRPr="000550CF" w:rsidRDefault="00ED3A7E" w:rsidP="00F3494E">
      <w:pPr>
        <w:widowControl w:val="0"/>
        <w:ind w:firstLine="720"/>
        <w:jc w:val="both"/>
        <w:rPr>
          <w:szCs w:val="24"/>
        </w:rPr>
      </w:pPr>
      <w:r>
        <w:t>2. Financial brokerage firms and market operators operating an MTF or an OTF must establish transparent rules regarding the criteria for determining the financial instruments that can be traded under such facilities.</w:t>
      </w:r>
    </w:p>
    <w:p w14:paraId="4E0D79D6" w14:textId="77777777" w:rsidR="00ED3A7E" w:rsidRPr="000550CF" w:rsidRDefault="00ED3A7E" w:rsidP="00F3494E">
      <w:pPr>
        <w:widowControl w:val="0"/>
        <w:ind w:firstLine="720"/>
        <w:jc w:val="both"/>
        <w:rPr>
          <w:szCs w:val="24"/>
        </w:rPr>
      </w:pPr>
      <w:r>
        <w:t xml:space="preserve">3. Financial brokerage firms and market operators operating an MTF or an OTF shall provide or ensure that there is access to, sufficient publicly available information to enable its users to form an investment judgement, </w:t>
      </w:r>
      <w:proofErr w:type="gramStart"/>
      <w:r>
        <w:t>taking into account</w:t>
      </w:r>
      <w:proofErr w:type="gramEnd"/>
      <w:r>
        <w:t xml:space="preserve"> both the nature of the users and the types of instruments traded.</w:t>
      </w:r>
    </w:p>
    <w:p w14:paraId="7607E6CC" w14:textId="77777777" w:rsidR="00ED3A7E" w:rsidRPr="000550CF" w:rsidRDefault="00ED3A7E" w:rsidP="00F3494E">
      <w:pPr>
        <w:widowControl w:val="0"/>
        <w:ind w:firstLine="720"/>
        <w:jc w:val="both"/>
        <w:rPr>
          <w:szCs w:val="24"/>
        </w:rPr>
      </w:pPr>
      <w:r>
        <w:t>4. Financial brokerage firms and market operators operating an MTF or an OTF shall have in place the description regulating access to the infrastructure of the facility and establishing requirements for market participants seeking to become members of the facility. That description shall meet the requirements of Article 66(3) of this Law.</w:t>
      </w:r>
    </w:p>
    <w:p w14:paraId="282E1B12" w14:textId="77777777" w:rsidR="00ED3A7E" w:rsidRPr="000550CF" w:rsidRDefault="00ED3A7E" w:rsidP="00F3494E">
      <w:pPr>
        <w:widowControl w:val="0"/>
        <w:ind w:firstLine="720"/>
        <w:jc w:val="both"/>
        <w:rPr>
          <w:szCs w:val="24"/>
        </w:rPr>
      </w:pPr>
      <w:r>
        <w:t xml:space="preserve">5. Financial brokerage firms and market operators operating an MTF or an OTF shall have </w:t>
      </w:r>
      <w:r>
        <w:lastRenderedPageBreak/>
        <w:t>arrangements to identify clearly and manage the potential adverse consequences for the operation of the MTF or OTF, or for the members or participants and users, of any conflict of interest between the interest of the MTF, the OTF, their owners or the financial brokerage firm or market operator operating the MTF or OTF and the sound functioning of the MTF or OTF.</w:t>
      </w:r>
    </w:p>
    <w:p w14:paraId="0BD137DE" w14:textId="77777777" w:rsidR="00ED3A7E" w:rsidRPr="000550CF" w:rsidRDefault="00ED3A7E" w:rsidP="00F3494E">
      <w:pPr>
        <w:widowControl w:val="0"/>
        <w:ind w:firstLine="720"/>
        <w:jc w:val="both"/>
        <w:rPr>
          <w:szCs w:val="24"/>
        </w:rPr>
      </w:pPr>
      <w:r>
        <w:t xml:space="preserve">6. Financial brokerage firms and market operators operating an MTF or an OTF shall comply with Article 67(3) and (4) and Article 70 of this Law and shall put in place all the necessary effective systems, procedures and arrangements to do so. </w:t>
      </w:r>
    </w:p>
    <w:p w14:paraId="7458E735" w14:textId="77777777" w:rsidR="00ED3A7E" w:rsidRPr="000550CF" w:rsidRDefault="00ED3A7E" w:rsidP="00F3494E">
      <w:pPr>
        <w:widowControl w:val="0"/>
        <w:ind w:firstLine="720"/>
        <w:jc w:val="both"/>
        <w:rPr>
          <w:szCs w:val="24"/>
        </w:rPr>
      </w:pPr>
      <w:r>
        <w:t>7. Financial brokerage firms and market operators operating an MTF or an OTF shall clearly inform its members or participants of their respective responsibilities for the settlement of the transactions executed in that facility. Financial brokerage firms and market operators operating an MTF or an OTF must make all the necessary arrangements to facilitate the efficient settlement of the transactions concluded under the systems of that MTF or OTF.</w:t>
      </w:r>
    </w:p>
    <w:p w14:paraId="11AAD8DD" w14:textId="77777777" w:rsidR="00ED3A7E" w:rsidRPr="000550CF" w:rsidRDefault="00ED3A7E" w:rsidP="00F3494E">
      <w:pPr>
        <w:widowControl w:val="0"/>
        <w:ind w:firstLine="720"/>
        <w:jc w:val="both"/>
        <w:rPr>
          <w:szCs w:val="24"/>
        </w:rPr>
      </w:pPr>
      <w:r>
        <w:t>8. An MTF and an OTF shall have at least three materially active members or users, each having the opportunity to interact with all the others in respect to price formation.</w:t>
      </w:r>
    </w:p>
    <w:p w14:paraId="624E4C75" w14:textId="77777777" w:rsidR="00ED3A7E" w:rsidRPr="000550CF" w:rsidRDefault="00ED3A7E" w:rsidP="00F3494E">
      <w:pPr>
        <w:ind w:firstLine="720"/>
        <w:jc w:val="both"/>
      </w:pPr>
      <w:r>
        <w:t>9. Where transferable securities that have been admitted to trading on a regulated market are also traded on an MTF or an OTF without the consent of the issuer, the issuer shall not be subject to any obligation relating to initial, ongoing or ad hoc financial disclosure with regard to that MTF or an OTF.</w:t>
      </w:r>
    </w:p>
    <w:p w14:paraId="70D80ADA" w14:textId="77777777" w:rsidR="00ED3A7E" w:rsidRPr="000550CF" w:rsidRDefault="00ED3A7E" w:rsidP="00F3494E">
      <w:pPr>
        <w:widowControl w:val="0"/>
        <w:ind w:firstLine="720"/>
        <w:jc w:val="both"/>
        <w:rPr>
          <w:szCs w:val="24"/>
        </w:rPr>
      </w:pPr>
      <w:r>
        <w:t>10. Financial brokerage firms and market operators operating an MTF or an OTF must comply immediately with any mandatory instructions from the supervisory authority to suspend or remove a financial instrument from trading.</w:t>
      </w:r>
    </w:p>
    <w:p w14:paraId="2B25520B" w14:textId="77777777" w:rsidR="00ED3A7E" w:rsidRPr="000550CF" w:rsidRDefault="00ED3A7E" w:rsidP="00F3494E">
      <w:pPr>
        <w:widowControl w:val="0"/>
        <w:ind w:firstLine="720"/>
        <w:jc w:val="both"/>
        <w:rPr>
          <w:szCs w:val="24"/>
        </w:rPr>
      </w:pPr>
      <w:r>
        <w:t xml:space="preserve">11. Financial brokerage firms and market operators operating an MTF or an OTF must provide the supervisory authority with a detailed description of the functioning of the MTF or OTF, including any links to or participation by a regulated market, an MTF, an OTF or a systematic </w:t>
      </w:r>
      <w:proofErr w:type="spellStart"/>
      <w:r>
        <w:t>internaliser</w:t>
      </w:r>
      <w:proofErr w:type="spellEnd"/>
      <w:r>
        <w:t xml:space="preserve"> owned by the same financial brokerage firm or market operator, and a list of their members, participants and/or users. The supervisory authority shall make that information available to ESMA on request. The supervisory authority shall notify to ESMA every issue, replacement or withdrawal of a financial brokerage firm licence or every granting or withdrawal of an authorisation to engage in a market operator’s activity. ESMA shall establish and publish a list of all MTFs and </w:t>
      </w:r>
      <w:proofErr w:type="spellStart"/>
      <w:r>
        <w:t>OTFs</w:t>
      </w:r>
      <w:proofErr w:type="spellEnd"/>
      <w:r>
        <w:t xml:space="preserve"> operating in the European Union, the information on the services an MTF or an OTF provides and the unique code identifying each MTF and OTF.</w:t>
      </w:r>
    </w:p>
    <w:p w14:paraId="51C94BC8" w14:textId="77777777" w:rsidR="00ED3A7E" w:rsidRPr="000550CF" w:rsidRDefault="00ED3A7E" w:rsidP="00F3494E">
      <w:pPr>
        <w:widowControl w:val="0"/>
        <w:ind w:firstLine="720"/>
        <w:jc w:val="both"/>
        <w:rPr>
          <w:szCs w:val="24"/>
        </w:rPr>
      </w:pPr>
      <w:r>
        <w:t xml:space="preserve">12. A financial brokerage firm operating a systemic </w:t>
      </w:r>
      <w:proofErr w:type="spellStart"/>
      <w:r>
        <w:t>internaliser</w:t>
      </w:r>
      <w:proofErr w:type="spellEnd"/>
      <w:r>
        <w:t xml:space="preserve"> must notify that to the supervisory authority. The supervisory authority shall transmit such information to the ESMA that maintains the list of financial brokerage firms operating in all Member States and engaged in systemic trading. </w:t>
      </w:r>
    </w:p>
    <w:p w14:paraId="326D250D" w14:textId="77777777" w:rsidR="00ED3A7E" w:rsidRPr="000550CF" w:rsidRDefault="00ED3A7E" w:rsidP="00F3494E">
      <w:pPr>
        <w:widowControl w:val="0"/>
        <w:ind w:firstLine="720"/>
        <w:jc w:val="both"/>
        <w:rPr>
          <w:szCs w:val="24"/>
          <w:lang w:eastAsia="lt-LT"/>
        </w:rPr>
      </w:pPr>
    </w:p>
    <w:p w14:paraId="2033450F" w14:textId="77777777" w:rsidR="00ED3A7E" w:rsidRPr="000550CF" w:rsidRDefault="00ED3A7E" w:rsidP="00F3494E">
      <w:pPr>
        <w:widowControl w:val="0"/>
        <w:ind w:firstLine="720"/>
        <w:jc w:val="both"/>
        <w:rPr>
          <w:szCs w:val="24"/>
        </w:rPr>
      </w:pPr>
      <w:r>
        <w:rPr>
          <w:b/>
          <w:szCs w:val="24"/>
        </w:rPr>
        <w:t xml:space="preserve">Article 23. </w:t>
      </w:r>
      <w:r>
        <w:rPr>
          <w:b/>
        </w:rPr>
        <w:t>Specific requirements for an MTF</w:t>
      </w:r>
    </w:p>
    <w:p w14:paraId="69ED020D" w14:textId="77777777" w:rsidR="00ED3A7E" w:rsidRPr="000550CF" w:rsidRDefault="00ED3A7E" w:rsidP="00F3494E">
      <w:pPr>
        <w:widowControl w:val="0"/>
        <w:ind w:firstLine="720"/>
        <w:jc w:val="both"/>
        <w:rPr>
          <w:szCs w:val="24"/>
        </w:rPr>
      </w:pPr>
      <w:r>
        <w:t>1. Financial brokerage firms and market operators operating an MTF, in addition to meeting the requirements laid down in Articles 16 and 22 of this Law, shall establish and implement non-discretionary rules for the execution of orders in the system.</w:t>
      </w:r>
    </w:p>
    <w:p w14:paraId="44749001" w14:textId="77777777" w:rsidR="00ED3A7E" w:rsidRPr="000550CF" w:rsidRDefault="00ED3A7E" w:rsidP="00F3494E">
      <w:pPr>
        <w:widowControl w:val="0"/>
        <w:ind w:firstLine="720"/>
        <w:jc w:val="both"/>
        <w:rPr>
          <w:szCs w:val="24"/>
        </w:rPr>
      </w:pPr>
      <w:r>
        <w:t>2. Financial brokerage firms and market operators operating an MTF shall:</w:t>
      </w:r>
    </w:p>
    <w:p w14:paraId="46C543B0" w14:textId="77777777" w:rsidR="00ED3A7E" w:rsidRPr="000550CF" w:rsidRDefault="00ED3A7E" w:rsidP="00F3494E">
      <w:pPr>
        <w:widowControl w:val="0"/>
        <w:ind w:firstLine="720"/>
        <w:jc w:val="both"/>
        <w:rPr>
          <w:szCs w:val="24"/>
        </w:rPr>
      </w:pPr>
      <w:r>
        <w:t xml:space="preserve">1) be adequately equipped to manage the risks to which it is exposed, to implement appropriate arrangements and systems to identify all significant risks to its operation, and to put in place effective measures to mitigate those </w:t>
      </w:r>
      <w:proofErr w:type="gramStart"/>
      <w:r>
        <w:t>risks;</w:t>
      </w:r>
      <w:proofErr w:type="gramEnd"/>
    </w:p>
    <w:p w14:paraId="18C2A22A" w14:textId="77777777" w:rsidR="00ED3A7E" w:rsidRPr="000550CF" w:rsidRDefault="00ED3A7E" w:rsidP="00F3494E">
      <w:pPr>
        <w:ind w:firstLine="720"/>
        <w:jc w:val="both"/>
      </w:pPr>
      <w:r>
        <w:t xml:space="preserve">2) have effective arrangements to facilitate the efficient and timely finalisation of the transactions executed under its </w:t>
      </w:r>
      <w:proofErr w:type="gramStart"/>
      <w:r>
        <w:t>systems;</w:t>
      </w:r>
      <w:proofErr w:type="gramEnd"/>
    </w:p>
    <w:p w14:paraId="7DD3D5F5" w14:textId="77777777" w:rsidR="00ED3A7E" w:rsidRPr="000550CF" w:rsidRDefault="00ED3A7E" w:rsidP="00F3494E">
      <w:pPr>
        <w:widowControl w:val="0"/>
        <w:ind w:firstLine="720"/>
        <w:jc w:val="both"/>
        <w:rPr>
          <w:szCs w:val="24"/>
        </w:rPr>
      </w:pPr>
      <w:r>
        <w:t>3) have available, at the time of authorisation and on an ongoing basis, sufficient financial resources to facilitate its orderly functioning, having regard to the nature and extent of the transactions concluded on the market and the range and degree of the risks to which it is exposed.</w:t>
      </w:r>
    </w:p>
    <w:p w14:paraId="09BAEEFF" w14:textId="77777777" w:rsidR="00F91F7F" w:rsidRPr="00F91F7F" w:rsidRDefault="00F91F7F" w:rsidP="00F91F7F">
      <w:pPr>
        <w:spacing w:line="360" w:lineRule="atLeast"/>
        <w:ind w:firstLine="720"/>
        <w:jc w:val="both"/>
        <w:rPr>
          <w:color w:val="000000"/>
          <w:szCs w:val="24"/>
        </w:rPr>
      </w:pPr>
      <w:r>
        <w:rPr>
          <w:color w:val="000000"/>
          <w:szCs w:val="24"/>
        </w:rPr>
        <w:t xml:space="preserve">3. The requirements established in Articles 29, 30, 31, 33 and 34 of this Law shall not apply to transactions concluded under the rules governing MTF activities where only members or </w:t>
      </w:r>
      <w:r>
        <w:rPr>
          <w:color w:val="000000"/>
          <w:szCs w:val="24"/>
        </w:rPr>
        <w:lastRenderedPageBreak/>
        <w:t xml:space="preserve">participants of that facility or only the facility itself and its members or participants participate in the transaction.  However, members or participants of an MTF shall comply with the requirements set forth in Articles 29, 30, 31, 33 and 34 of this Law </w:t>
      </w:r>
      <w:proofErr w:type="gramStart"/>
      <w:r>
        <w:rPr>
          <w:color w:val="000000"/>
          <w:szCs w:val="24"/>
        </w:rPr>
        <w:t>with regard to</w:t>
      </w:r>
      <w:proofErr w:type="gramEnd"/>
      <w:r>
        <w:rPr>
          <w:color w:val="000000"/>
          <w:szCs w:val="24"/>
        </w:rPr>
        <w:t xml:space="preserve"> their clients when, acting on behalf of the client, they execute their orders in the MTF.</w:t>
      </w:r>
    </w:p>
    <w:p w14:paraId="636F515A" w14:textId="77777777" w:rsidR="00F91F7F" w:rsidRDefault="00F91F7F" w:rsidP="00F91F7F">
      <w:pPr>
        <w:rPr>
          <w:color w:val="000000"/>
          <w:sz w:val="27"/>
          <w:szCs w:val="27"/>
        </w:rPr>
      </w:pPr>
      <w:r>
        <w:rPr>
          <w:i/>
          <w:iCs/>
          <w:color w:val="000000"/>
          <w:sz w:val="20"/>
        </w:rPr>
        <w:t>Amendments to the paragraph of the Article:</w:t>
      </w:r>
    </w:p>
    <w:p w14:paraId="4090C3AF" w14:textId="77777777" w:rsidR="00F91F7F" w:rsidRDefault="00F91F7F" w:rsidP="00F91F7F">
      <w:pPr>
        <w:jc w:val="both"/>
        <w:rPr>
          <w:color w:val="000000"/>
          <w:sz w:val="27"/>
          <w:szCs w:val="27"/>
        </w:rPr>
      </w:pPr>
      <w:r>
        <w:rPr>
          <w:i/>
          <w:iCs/>
          <w:color w:val="000000"/>
          <w:sz w:val="20"/>
        </w:rPr>
        <w:t xml:space="preserve">No </w:t>
      </w:r>
      <w:hyperlink r:id="rId89" w:tgtFrame="_parent" w:history="1">
        <w:r>
          <w:rPr>
            <w:rStyle w:val="Hyperlink"/>
            <w:i/>
            <w:iCs/>
            <w:sz w:val="20"/>
          </w:rPr>
          <w:t>XIV-821</w:t>
        </w:r>
      </w:hyperlink>
      <w:r>
        <w:rPr>
          <w:i/>
          <w:iCs/>
          <w:color w:val="000000"/>
          <w:sz w:val="20"/>
        </w:rPr>
        <w:t>, 23/12/2021, published in the RLA, 30/12/2021, ID code 2021-27710</w:t>
      </w:r>
    </w:p>
    <w:p w14:paraId="4FDA5BF1" w14:textId="77777777" w:rsidR="00F91F7F" w:rsidRPr="000550CF" w:rsidRDefault="00F91F7F" w:rsidP="00F3494E">
      <w:pPr>
        <w:ind w:firstLine="720"/>
        <w:jc w:val="both"/>
        <w:rPr>
          <w:lang w:eastAsia="lt-LT"/>
        </w:rPr>
      </w:pPr>
    </w:p>
    <w:p w14:paraId="7843369A" w14:textId="77777777" w:rsidR="00ED3A7E" w:rsidRPr="000550CF" w:rsidRDefault="00ED3A7E" w:rsidP="00F3494E">
      <w:pPr>
        <w:widowControl w:val="0"/>
        <w:ind w:firstLine="720"/>
        <w:jc w:val="both"/>
        <w:rPr>
          <w:szCs w:val="24"/>
        </w:rPr>
      </w:pPr>
      <w:r>
        <w:t>4. Financial brokerage firms and market operators operating an MTF shall not be allowed to execute client orders against proprietary capital, or to engage in matched principal trading.</w:t>
      </w:r>
    </w:p>
    <w:p w14:paraId="45929FA4" w14:textId="77777777" w:rsidR="00ED3A7E" w:rsidRPr="000550CF" w:rsidRDefault="00ED3A7E" w:rsidP="00F3494E">
      <w:pPr>
        <w:widowControl w:val="0"/>
        <w:ind w:firstLine="720"/>
        <w:jc w:val="both"/>
        <w:rPr>
          <w:szCs w:val="24"/>
          <w:lang w:eastAsia="lt-LT"/>
        </w:rPr>
      </w:pPr>
    </w:p>
    <w:p w14:paraId="25032D6C" w14:textId="77777777" w:rsidR="00ED3A7E" w:rsidRPr="000550CF" w:rsidRDefault="00ED3A7E" w:rsidP="00F3494E">
      <w:pPr>
        <w:widowControl w:val="0"/>
        <w:ind w:firstLine="720"/>
        <w:jc w:val="both"/>
        <w:rPr>
          <w:szCs w:val="24"/>
        </w:rPr>
      </w:pPr>
      <w:r>
        <w:rPr>
          <w:b/>
          <w:szCs w:val="24"/>
        </w:rPr>
        <w:t xml:space="preserve">Article 24. </w:t>
      </w:r>
      <w:r>
        <w:rPr>
          <w:b/>
        </w:rPr>
        <w:t xml:space="preserve">Specific requirements for </w:t>
      </w:r>
      <w:proofErr w:type="spellStart"/>
      <w:r>
        <w:rPr>
          <w:b/>
        </w:rPr>
        <w:t>OTFs</w:t>
      </w:r>
      <w:proofErr w:type="spellEnd"/>
    </w:p>
    <w:p w14:paraId="05F24FB8" w14:textId="77777777" w:rsidR="00ED3A7E" w:rsidRPr="000550CF" w:rsidRDefault="00ED3A7E" w:rsidP="00F3494E">
      <w:pPr>
        <w:widowControl w:val="0"/>
        <w:ind w:firstLine="720"/>
        <w:jc w:val="both"/>
        <w:rPr>
          <w:szCs w:val="24"/>
        </w:rPr>
      </w:pPr>
      <w:r>
        <w:t>1. A financial brokerage firm or market operator operating an OTF shall establish arrangements preventing the execution of client orders in the OTF against the proprietary capital of the financial brokerage firm or market operator operating the OTF or from any entity that is part of the same group as the financial brokerage firm or market operator.</w:t>
      </w:r>
    </w:p>
    <w:p w14:paraId="3BE90442" w14:textId="77777777" w:rsidR="00ED3A7E" w:rsidRPr="000550CF" w:rsidRDefault="00ED3A7E" w:rsidP="00F3494E">
      <w:pPr>
        <w:widowControl w:val="0"/>
        <w:ind w:firstLine="720"/>
        <w:jc w:val="both"/>
        <w:rPr>
          <w:szCs w:val="24"/>
        </w:rPr>
      </w:pPr>
      <w:r>
        <w:t xml:space="preserve">2. A financial brokerage firm or market operator operating an OTF may engage in matched principal trading in bonds, structured finance products, emission allowances and certain derivatives only where the client has consented to the process. </w:t>
      </w:r>
    </w:p>
    <w:p w14:paraId="75553D94" w14:textId="77777777" w:rsidR="00ED3A7E" w:rsidRPr="000550CF" w:rsidRDefault="00ED3A7E" w:rsidP="00F3494E">
      <w:pPr>
        <w:widowControl w:val="0"/>
        <w:ind w:firstLine="720"/>
        <w:jc w:val="both"/>
        <w:rPr>
          <w:szCs w:val="24"/>
        </w:rPr>
      </w:pPr>
      <w:r>
        <w:t>3. A financial brokerage firm or market operator operating an OTF shall not use matched principal trading to execute client orders in the OTF in derivatives pertaining to a class of derivatives that has been declared subject to the clearing obligation in accordance with Article 5 of Regulation (EU) No 648/2012.</w:t>
      </w:r>
    </w:p>
    <w:p w14:paraId="62283C4B" w14:textId="77777777" w:rsidR="00ED3A7E" w:rsidRPr="000550CF" w:rsidRDefault="00ED3A7E" w:rsidP="00F3494E">
      <w:pPr>
        <w:widowControl w:val="0"/>
        <w:ind w:firstLine="720"/>
        <w:jc w:val="both"/>
        <w:rPr>
          <w:szCs w:val="24"/>
        </w:rPr>
      </w:pPr>
      <w:r>
        <w:t>4. A financial brokerage firm or market operator operating an OTF shall establish arrangements ensuring compliance with the conditions established by this Law applicable to matched principal trading.</w:t>
      </w:r>
    </w:p>
    <w:p w14:paraId="3C9DE7E2" w14:textId="77777777" w:rsidR="00ED3A7E" w:rsidRPr="000550CF" w:rsidRDefault="00ED3A7E" w:rsidP="00F3494E">
      <w:pPr>
        <w:widowControl w:val="0"/>
        <w:ind w:firstLine="720"/>
        <w:jc w:val="both"/>
        <w:rPr>
          <w:szCs w:val="24"/>
        </w:rPr>
      </w:pPr>
      <w:r>
        <w:t xml:space="preserve">5. A financial brokerage firm or market operator operating an OTF may engage in dealing on own account other than matched principal trading only </w:t>
      </w:r>
      <w:proofErr w:type="gramStart"/>
      <w:r>
        <w:t>with regard to</w:t>
      </w:r>
      <w:proofErr w:type="gramEnd"/>
      <w:r>
        <w:t xml:space="preserve"> sovereign debt instruments for which there is not a liquid market.</w:t>
      </w:r>
    </w:p>
    <w:p w14:paraId="10D58C64" w14:textId="77777777" w:rsidR="00ED3A7E" w:rsidRPr="000550CF" w:rsidRDefault="00ED3A7E" w:rsidP="00F3494E">
      <w:pPr>
        <w:widowControl w:val="0"/>
        <w:ind w:firstLine="720"/>
        <w:jc w:val="both"/>
        <w:rPr>
          <w:szCs w:val="24"/>
        </w:rPr>
      </w:pPr>
      <w:r>
        <w:t xml:space="preserve">6. A financial brokerage firm operating a systematic </w:t>
      </w:r>
      <w:proofErr w:type="spellStart"/>
      <w:r>
        <w:t>internaliser</w:t>
      </w:r>
      <w:proofErr w:type="spellEnd"/>
      <w:r>
        <w:t xml:space="preserve"> shall not be allowed to operate an OTF. An OTF shall not </w:t>
      </w:r>
      <w:proofErr w:type="gramStart"/>
      <w:r>
        <w:t>be connected with</w:t>
      </w:r>
      <w:proofErr w:type="gramEnd"/>
      <w:r>
        <w:t xml:space="preserve"> a systematic </w:t>
      </w:r>
      <w:proofErr w:type="spellStart"/>
      <w:r>
        <w:t>internaliser</w:t>
      </w:r>
      <w:proofErr w:type="spellEnd"/>
      <w:r>
        <w:t xml:space="preserve"> in a way which enables orders in the OTF and orders or quotes in a systematic </w:t>
      </w:r>
      <w:proofErr w:type="spellStart"/>
      <w:r>
        <w:t>internaliser</w:t>
      </w:r>
      <w:proofErr w:type="spellEnd"/>
      <w:r>
        <w:t xml:space="preserve"> to interact. An OTF shall not connect with another OTF in a way which enables orders in different </w:t>
      </w:r>
      <w:proofErr w:type="spellStart"/>
      <w:r>
        <w:t>OTFs</w:t>
      </w:r>
      <w:proofErr w:type="spellEnd"/>
      <w:r>
        <w:t xml:space="preserve"> to interact.</w:t>
      </w:r>
    </w:p>
    <w:p w14:paraId="6B779026" w14:textId="77777777" w:rsidR="00ED3A7E" w:rsidRPr="000550CF" w:rsidRDefault="00ED3A7E" w:rsidP="00F3494E">
      <w:pPr>
        <w:widowControl w:val="0"/>
        <w:ind w:firstLine="720"/>
        <w:jc w:val="both"/>
        <w:rPr>
          <w:szCs w:val="24"/>
        </w:rPr>
      </w:pPr>
      <w:r>
        <w:t xml:space="preserve">7. A financial brokerage firm or market operator operating an OTF may engage another financial brokerage firm to carry out market making on that OTF on an independent basis. </w:t>
      </w:r>
    </w:p>
    <w:p w14:paraId="64E1E801" w14:textId="77777777" w:rsidR="00ED3A7E" w:rsidRPr="000550CF" w:rsidRDefault="00ED3A7E" w:rsidP="00F3494E">
      <w:pPr>
        <w:widowControl w:val="0"/>
        <w:ind w:firstLine="720"/>
        <w:jc w:val="both"/>
        <w:rPr>
          <w:szCs w:val="24"/>
        </w:rPr>
      </w:pPr>
      <w:r>
        <w:t>8. A financial brokerage firm shall not be deemed to be carrying out market making on an OTF on an independent basis if it has close links with the financial brokerage firm or market operator operating the OTF.</w:t>
      </w:r>
    </w:p>
    <w:p w14:paraId="498E6546" w14:textId="77777777" w:rsidR="00ED3A7E" w:rsidRPr="000550CF" w:rsidRDefault="00ED3A7E" w:rsidP="00F3494E">
      <w:pPr>
        <w:widowControl w:val="0"/>
        <w:ind w:firstLine="720"/>
        <w:jc w:val="both"/>
        <w:rPr>
          <w:szCs w:val="24"/>
        </w:rPr>
      </w:pPr>
      <w:r>
        <w:t>9. The execution of orders on an OTF shall be carried out on a discretionary basis. A financial brokerage firm or market operator operating an OTF shall exercise discretion in either of the following two cases:</w:t>
      </w:r>
    </w:p>
    <w:p w14:paraId="76D01262" w14:textId="77777777" w:rsidR="00ED3A7E" w:rsidRPr="000550CF" w:rsidRDefault="00ED3A7E" w:rsidP="00F3494E">
      <w:pPr>
        <w:widowControl w:val="0"/>
        <w:ind w:firstLine="720"/>
        <w:jc w:val="both"/>
        <w:rPr>
          <w:szCs w:val="24"/>
        </w:rPr>
      </w:pPr>
      <w:r>
        <w:t xml:space="preserve">1) when deciding to place or retract an order on the OTF they </w:t>
      </w:r>
      <w:proofErr w:type="gramStart"/>
      <w:r>
        <w:t>operate;</w:t>
      </w:r>
      <w:proofErr w:type="gramEnd"/>
    </w:p>
    <w:p w14:paraId="275E1F48" w14:textId="77777777" w:rsidR="00ED3A7E" w:rsidRPr="000550CF" w:rsidRDefault="00ED3A7E" w:rsidP="00F3494E">
      <w:pPr>
        <w:widowControl w:val="0"/>
        <w:ind w:firstLine="720"/>
        <w:jc w:val="both"/>
        <w:rPr>
          <w:szCs w:val="24"/>
        </w:rPr>
      </w:pPr>
      <w:r>
        <w:t xml:space="preserve">2) when deciding not to match a specific client order with other orders available in the systems at a given time, provided it </w:t>
      </w:r>
      <w:proofErr w:type="gramStart"/>
      <w:r>
        <w:t>is in compliance with</w:t>
      </w:r>
      <w:proofErr w:type="gramEnd"/>
      <w:r>
        <w:t xml:space="preserve"> specific instructions received from a client and with the requirements established in Article 33 of this Law.</w:t>
      </w:r>
    </w:p>
    <w:p w14:paraId="60E2D35D" w14:textId="77777777" w:rsidR="00ED3A7E" w:rsidRPr="000550CF" w:rsidRDefault="00ED3A7E" w:rsidP="00F3494E">
      <w:pPr>
        <w:widowControl w:val="0"/>
        <w:ind w:firstLine="720"/>
        <w:jc w:val="both"/>
        <w:rPr>
          <w:szCs w:val="24"/>
        </w:rPr>
      </w:pPr>
      <w:r>
        <w:t xml:space="preserve">10. A financial brokerage firm or market operator operating an OTF that crosses client orders may decide if, when and how much of two or more orders it wants to match within the system. </w:t>
      </w:r>
      <w:proofErr w:type="gramStart"/>
      <w:r>
        <w:t>With regard to</w:t>
      </w:r>
      <w:proofErr w:type="gramEnd"/>
      <w:r>
        <w:t xml:space="preserve"> a system that arranges transactions in non-equities, a financial brokerage firm or market operator operating the OTF may facilitate negotiation between clients so as to bring together two or more potentially compatible trading interest in a transaction.</w:t>
      </w:r>
    </w:p>
    <w:p w14:paraId="78D37830" w14:textId="77777777" w:rsidR="00ED3A7E" w:rsidRPr="000550CF" w:rsidRDefault="00ED3A7E" w:rsidP="00F3494E">
      <w:pPr>
        <w:widowControl w:val="0"/>
        <w:ind w:firstLine="720"/>
        <w:jc w:val="both"/>
        <w:rPr>
          <w:szCs w:val="24"/>
        </w:rPr>
      </w:pPr>
      <w:r>
        <w:t xml:space="preserve">11. Where a financial brokerage or market operator applies for issuing or extending a licence authorised to operate an MTF or on ad-hoc basis the supervisory authority may require </w:t>
      </w:r>
      <w:proofErr w:type="gramStart"/>
      <w:r>
        <w:t>to provide</w:t>
      </w:r>
      <w:proofErr w:type="gramEnd"/>
      <w:r>
        <w:t>:</w:t>
      </w:r>
    </w:p>
    <w:p w14:paraId="63B6CEBC" w14:textId="77777777" w:rsidR="00ED3A7E" w:rsidRPr="000550CF" w:rsidRDefault="00ED3A7E" w:rsidP="00F3494E">
      <w:pPr>
        <w:widowControl w:val="0"/>
        <w:ind w:firstLine="720"/>
        <w:jc w:val="both"/>
        <w:rPr>
          <w:szCs w:val="24"/>
        </w:rPr>
      </w:pPr>
      <w:r>
        <w:lastRenderedPageBreak/>
        <w:t xml:space="preserve">1) a detailed explanation why the system does not intend to operate as a regulated market, an MTF, or a systematic </w:t>
      </w:r>
      <w:proofErr w:type="spellStart"/>
      <w:proofErr w:type="gramStart"/>
      <w:r>
        <w:t>internaliser</w:t>
      </w:r>
      <w:proofErr w:type="spellEnd"/>
      <w:r>
        <w:t>;</w:t>
      </w:r>
      <w:proofErr w:type="gramEnd"/>
    </w:p>
    <w:p w14:paraId="7725E187" w14:textId="77777777" w:rsidR="00ED3A7E" w:rsidRPr="000550CF" w:rsidRDefault="00ED3A7E" w:rsidP="00F3494E">
      <w:pPr>
        <w:widowControl w:val="0"/>
        <w:ind w:firstLine="720"/>
        <w:jc w:val="both"/>
        <w:rPr>
          <w:szCs w:val="24"/>
        </w:rPr>
      </w:pPr>
      <w:r>
        <w:t xml:space="preserve">2) a detailed description as to how discretion will be exercised, in particular when an order to the OTF may be retracted and when and how two or more client orders will be matched within the </w:t>
      </w:r>
      <w:proofErr w:type="gramStart"/>
      <w:r>
        <w:t>OTF;</w:t>
      </w:r>
      <w:proofErr w:type="gramEnd"/>
    </w:p>
    <w:p w14:paraId="0349F314" w14:textId="77777777" w:rsidR="00ED3A7E" w:rsidRPr="000550CF" w:rsidRDefault="00ED3A7E" w:rsidP="00F3494E">
      <w:pPr>
        <w:widowControl w:val="0"/>
        <w:ind w:firstLine="720"/>
        <w:jc w:val="both"/>
        <w:rPr>
          <w:szCs w:val="24"/>
        </w:rPr>
      </w:pPr>
      <w:r>
        <w:t xml:space="preserve">3) information explaining its use of matched principal trading. </w:t>
      </w:r>
    </w:p>
    <w:p w14:paraId="46FF03A2" w14:textId="77777777" w:rsidR="00ED3A7E" w:rsidRPr="000550CF" w:rsidRDefault="00ED3A7E" w:rsidP="00F3494E">
      <w:pPr>
        <w:widowControl w:val="0"/>
        <w:ind w:firstLine="720"/>
        <w:jc w:val="both"/>
        <w:rPr>
          <w:szCs w:val="24"/>
        </w:rPr>
      </w:pPr>
      <w:r>
        <w:t>12. The supervisory authority shall monitor a financial brokerage firm’s or market operator’s engagement in matched principal trading to ensure that it continues to fall within the definition of such trading and that its engagement in matched principal trading does not give rise to conflicts of interest between the investment firm or market operator and its clients.</w:t>
      </w:r>
    </w:p>
    <w:p w14:paraId="403B2EA0" w14:textId="77777777" w:rsidR="00ED3A7E" w:rsidRPr="000550CF" w:rsidRDefault="00ED3A7E" w:rsidP="00F3494E">
      <w:pPr>
        <w:widowControl w:val="0"/>
        <w:ind w:firstLine="720"/>
        <w:jc w:val="both"/>
        <w:rPr>
          <w:szCs w:val="24"/>
        </w:rPr>
      </w:pPr>
      <w:r>
        <w:t>13. The requirements of Articles 29, 30, 31, 33 and 34 of this Law shall be applicable to the transactions concluded on an OTF.</w:t>
      </w:r>
    </w:p>
    <w:p w14:paraId="397899A0" w14:textId="77777777" w:rsidR="00ED3A7E" w:rsidRPr="000550CF" w:rsidRDefault="00ED3A7E" w:rsidP="00F3494E">
      <w:pPr>
        <w:widowControl w:val="0"/>
        <w:ind w:firstLine="720"/>
        <w:jc w:val="both"/>
        <w:rPr>
          <w:szCs w:val="24"/>
          <w:lang w:eastAsia="lt-LT"/>
        </w:rPr>
      </w:pPr>
    </w:p>
    <w:p w14:paraId="62AA5F5F" w14:textId="77777777" w:rsidR="00ED3A7E" w:rsidRPr="000550CF" w:rsidRDefault="00ED3A7E" w:rsidP="00F3494E">
      <w:pPr>
        <w:widowControl w:val="0"/>
        <w:ind w:firstLine="720"/>
        <w:jc w:val="both"/>
        <w:rPr>
          <w:szCs w:val="24"/>
        </w:rPr>
      </w:pPr>
      <w:r>
        <w:rPr>
          <w:b/>
          <w:szCs w:val="24"/>
        </w:rPr>
        <w:t>Article 25. SME growth markets</w:t>
      </w:r>
    </w:p>
    <w:p w14:paraId="3D19ADF5" w14:textId="77777777" w:rsidR="00ED3A7E" w:rsidRPr="000550CF" w:rsidRDefault="00ED3A7E" w:rsidP="00F3494E">
      <w:pPr>
        <w:widowControl w:val="0"/>
        <w:ind w:firstLine="720"/>
        <w:jc w:val="both"/>
        <w:rPr>
          <w:szCs w:val="24"/>
        </w:rPr>
      </w:pPr>
      <w:r>
        <w:t>1. A financial brokerage firm or a market operator operating an MTF may apply to its supervisory authority to have the MTF registered as an SME growth market.</w:t>
      </w:r>
    </w:p>
    <w:p w14:paraId="1D335FCE" w14:textId="77777777" w:rsidR="00ED3A7E" w:rsidRPr="000550CF" w:rsidRDefault="00ED3A7E" w:rsidP="00F3494E">
      <w:pPr>
        <w:widowControl w:val="0"/>
        <w:ind w:firstLine="720"/>
        <w:jc w:val="both"/>
        <w:rPr>
          <w:szCs w:val="24"/>
        </w:rPr>
      </w:pPr>
      <w:r>
        <w:t>2. The supervisory authority may register an MTF as an SME growth market if the supervisory authority receives an application referred to in paragraph 1 of this Article and is satisfied that the requirements in paragraph 3 of this Article are met in relation to the MTF.</w:t>
      </w:r>
    </w:p>
    <w:p w14:paraId="56EF2678" w14:textId="77777777" w:rsidR="00ED3A7E" w:rsidRPr="000550CF" w:rsidRDefault="00ED3A7E" w:rsidP="00F3494E">
      <w:pPr>
        <w:widowControl w:val="0"/>
        <w:ind w:firstLine="720"/>
        <w:jc w:val="both"/>
        <w:rPr>
          <w:szCs w:val="24"/>
        </w:rPr>
      </w:pPr>
      <w:r>
        <w:t>3. An MTF shall be subject to effective rules, systems and procedures which ensure that the following is complied with:</w:t>
      </w:r>
    </w:p>
    <w:p w14:paraId="2FA3B21F" w14:textId="77777777" w:rsidR="00ED3A7E" w:rsidRPr="000550CF" w:rsidRDefault="00ED3A7E" w:rsidP="00F3494E">
      <w:pPr>
        <w:widowControl w:val="0"/>
        <w:ind w:firstLine="720"/>
        <w:jc w:val="both"/>
        <w:rPr>
          <w:szCs w:val="24"/>
        </w:rPr>
      </w:pPr>
      <w:r>
        <w:t xml:space="preserve">1) at least 50 % of the issuers whose financial instruments are admitted to trading on the MTF are SMEs at the time when the MTF is registered as the SME growth market and in any calendar year </w:t>
      </w:r>
      <w:proofErr w:type="gramStart"/>
      <w:r>
        <w:t>thereafter;</w:t>
      </w:r>
      <w:proofErr w:type="gramEnd"/>
    </w:p>
    <w:p w14:paraId="35F511A6" w14:textId="77777777" w:rsidR="00ED3A7E" w:rsidRPr="000550CF" w:rsidRDefault="00ED3A7E" w:rsidP="00F3494E">
      <w:pPr>
        <w:widowControl w:val="0"/>
        <w:ind w:firstLine="720"/>
        <w:jc w:val="both"/>
        <w:rPr>
          <w:szCs w:val="24"/>
        </w:rPr>
      </w:pPr>
      <w:r>
        <w:t xml:space="preserve">2) the appropriate criteria are set for initial and ongoing admission to trading of financial instruments of issuers on the </w:t>
      </w:r>
      <w:proofErr w:type="gramStart"/>
      <w:r>
        <w:t>market;</w:t>
      </w:r>
      <w:proofErr w:type="gramEnd"/>
    </w:p>
    <w:p w14:paraId="1B0106DB" w14:textId="2C2EEE68" w:rsidR="00F91F7F" w:rsidRPr="00F91F7F" w:rsidRDefault="00F91F7F" w:rsidP="00F91F7F">
      <w:pPr>
        <w:spacing w:line="360" w:lineRule="atLeast"/>
        <w:ind w:firstLine="720"/>
        <w:jc w:val="both"/>
        <w:rPr>
          <w:color w:val="000000"/>
          <w:szCs w:val="24"/>
        </w:rPr>
      </w:pPr>
      <w:r>
        <w:t xml:space="preserve"> </w:t>
      </w:r>
      <w:r>
        <w:rPr>
          <w:color w:val="000000"/>
        </w:rPr>
        <w:t>3) in the initial admission of financial instruments in market trading, sufficient information is published about such financial instruments so that investors can make a reasonable investment decision regarding investing in financial instruments – the relevant trading authorisation document or prospectus must be published if the requirements set out in the Law on Securities and/or Regulation (EU) 2017/1129 for public offering are applied where a financial instrument is first admitted to trading in an MTF;</w:t>
      </w:r>
    </w:p>
    <w:p w14:paraId="1170BD4D" w14:textId="77777777" w:rsidR="00F91F7F" w:rsidRDefault="00F91F7F" w:rsidP="00F91F7F">
      <w:pPr>
        <w:rPr>
          <w:color w:val="000000"/>
          <w:sz w:val="27"/>
          <w:szCs w:val="27"/>
        </w:rPr>
      </w:pPr>
      <w:r>
        <w:rPr>
          <w:i/>
          <w:iCs/>
          <w:color w:val="000000"/>
          <w:sz w:val="20"/>
        </w:rPr>
        <w:t>Amendments to the paragraph of the Article:</w:t>
      </w:r>
    </w:p>
    <w:p w14:paraId="2D1B003A" w14:textId="77777777" w:rsidR="00F91F7F" w:rsidRDefault="00F91F7F" w:rsidP="00F91F7F">
      <w:pPr>
        <w:jc w:val="both"/>
        <w:rPr>
          <w:color w:val="000000"/>
          <w:sz w:val="27"/>
          <w:szCs w:val="27"/>
        </w:rPr>
      </w:pPr>
      <w:r>
        <w:rPr>
          <w:i/>
          <w:iCs/>
          <w:color w:val="000000"/>
          <w:sz w:val="20"/>
        </w:rPr>
        <w:t xml:space="preserve">No </w:t>
      </w:r>
      <w:hyperlink r:id="rId90" w:tgtFrame="_parent" w:history="1">
        <w:r>
          <w:rPr>
            <w:rStyle w:val="Hyperlink"/>
            <w:i/>
            <w:iCs/>
            <w:sz w:val="20"/>
          </w:rPr>
          <w:t>XIII-2358</w:t>
        </w:r>
      </w:hyperlink>
      <w:r>
        <w:rPr>
          <w:i/>
          <w:iCs/>
          <w:color w:val="000000"/>
          <w:sz w:val="20"/>
        </w:rPr>
        <w:t>, 16/07/2019, published in the RLA, 19/07/2019, ID code 2019-11980</w:t>
      </w:r>
    </w:p>
    <w:p w14:paraId="0AF88C84" w14:textId="77777777" w:rsidR="00ED3A7E" w:rsidRPr="000550CF" w:rsidRDefault="00ED3A7E" w:rsidP="00F3494E">
      <w:pPr>
        <w:ind w:firstLine="720"/>
        <w:jc w:val="both"/>
      </w:pPr>
      <w:r>
        <w:t xml:space="preserve">4) there is an appropriate ongoing periodic financial reporting by or on behalf of an issuer on the market, for example audited annual report and other information to be made public under this </w:t>
      </w:r>
      <w:proofErr w:type="gramStart"/>
      <w:r>
        <w:t>Law;</w:t>
      </w:r>
      <w:proofErr w:type="gramEnd"/>
      <w:r>
        <w:t xml:space="preserve"> </w:t>
      </w:r>
    </w:p>
    <w:p w14:paraId="7C3349A4" w14:textId="77777777" w:rsidR="00ED3A7E" w:rsidRPr="000550CF" w:rsidRDefault="00ED3A7E" w:rsidP="00F3494E">
      <w:pPr>
        <w:widowControl w:val="0"/>
        <w:ind w:firstLine="720"/>
        <w:jc w:val="both"/>
        <w:rPr>
          <w:szCs w:val="24"/>
        </w:rPr>
      </w:pPr>
      <w:r>
        <w:t xml:space="preserve">5) issuers on the market as defined in Article 3(1)(21) of Regulation (EU) No 596/2014, persons discharging managerial responsibilities as defined in Article 3(1)(25) of Regulation (EU) No 596/2014 and persons closely associated with them as defined in Article 3(1)(26) of Regulation (EU) No 596/2014 comply with relevant requirements applicable to them under Regulation (EU) No </w:t>
      </w:r>
      <w:proofErr w:type="gramStart"/>
      <w:r>
        <w:t>596/2014;</w:t>
      </w:r>
      <w:proofErr w:type="gramEnd"/>
      <w:r>
        <w:t xml:space="preserve"> </w:t>
      </w:r>
    </w:p>
    <w:p w14:paraId="569D006D" w14:textId="77777777" w:rsidR="00ED3A7E" w:rsidRPr="000550CF" w:rsidRDefault="00ED3A7E" w:rsidP="00F3494E">
      <w:pPr>
        <w:widowControl w:val="0"/>
        <w:ind w:firstLine="720"/>
        <w:jc w:val="both"/>
        <w:rPr>
          <w:szCs w:val="24"/>
        </w:rPr>
      </w:pPr>
      <w:r>
        <w:t xml:space="preserve">6) regulatory information concerning the issuers operating in the market is stored and disseminated to the </w:t>
      </w:r>
      <w:proofErr w:type="gramStart"/>
      <w:r>
        <w:t>public;</w:t>
      </w:r>
      <w:proofErr w:type="gramEnd"/>
    </w:p>
    <w:p w14:paraId="60264C82" w14:textId="77777777" w:rsidR="00ED3A7E" w:rsidRPr="000550CF" w:rsidRDefault="00ED3A7E" w:rsidP="00F3494E">
      <w:pPr>
        <w:ind w:firstLine="720"/>
        <w:jc w:val="both"/>
      </w:pPr>
      <w:r>
        <w:t>7) there are effective systems and controls aiming to prevent and detect market abuse on that market as required under the Regulation (EU) No 596/2014.</w:t>
      </w:r>
    </w:p>
    <w:p w14:paraId="3851FB2F" w14:textId="77777777" w:rsidR="00ED3A7E" w:rsidRPr="000550CF" w:rsidRDefault="00ED3A7E" w:rsidP="00F3494E">
      <w:pPr>
        <w:widowControl w:val="0"/>
        <w:ind w:firstLine="720"/>
        <w:jc w:val="both"/>
        <w:rPr>
          <w:szCs w:val="24"/>
        </w:rPr>
      </w:pPr>
      <w:r>
        <w:t>4. The requirements of paragraph 3 of this Article shall be without prejudice to the compliance by a financial brokerage firm or market operator operating an MTF with other obligations under this Law relevant to the operation of the MTF. They shall not prevent the financial brokerage firm or market operator operating the MTF from imposing additional requirements to those specified in paragraph 3 of this Article.</w:t>
      </w:r>
    </w:p>
    <w:p w14:paraId="3C1DF964" w14:textId="77777777" w:rsidR="00ED3A7E" w:rsidRPr="000550CF" w:rsidRDefault="00ED3A7E" w:rsidP="00F3494E">
      <w:pPr>
        <w:widowControl w:val="0"/>
        <w:ind w:firstLine="720"/>
        <w:jc w:val="both"/>
        <w:rPr>
          <w:szCs w:val="24"/>
        </w:rPr>
      </w:pPr>
      <w:r>
        <w:lastRenderedPageBreak/>
        <w:t xml:space="preserve">5. The supervisory authority may deregister an MTF as an SME growth market in any of the following cases: </w:t>
      </w:r>
    </w:p>
    <w:p w14:paraId="64F53776" w14:textId="77777777" w:rsidR="00ED3A7E" w:rsidRPr="000550CF" w:rsidRDefault="00ED3A7E" w:rsidP="00F3494E">
      <w:pPr>
        <w:widowControl w:val="0"/>
        <w:ind w:firstLine="720"/>
        <w:jc w:val="both"/>
        <w:rPr>
          <w:szCs w:val="24"/>
        </w:rPr>
      </w:pPr>
      <w:r>
        <w:t xml:space="preserve">1) the financial brokerage firm or market operator operating the SME growth market applies for its </w:t>
      </w:r>
      <w:proofErr w:type="gramStart"/>
      <w:r>
        <w:t>deregistration;</w:t>
      </w:r>
      <w:proofErr w:type="gramEnd"/>
      <w:r>
        <w:t xml:space="preserve"> </w:t>
      </w:r>
    </w:p>
    <w:p w14:paraId="2E5D844F" w14:textId="77777777" w:rsidR="00ED3A7E" w:rsidRPr="000550CF" w:rsidRDefault="00ED3A7E" w:rsidP="00F3494E">
      <w:pPr>
        <w:widowControl w:val="0"/>
        <w:ind w:firstLine="720"/>
        <w:jc w:val="both"/>
        <w:rPr>
          <w:szCs w:val="24"/>
        </w:rPr>
      </w:pPr>
      <w:r>
        <w:t>2) the requirements of paragraph 3 of this Article are no longer complied with in relation to the MTF.</w:t>
      </w:r>
    </w:p>
    <w:p w14:paraId="54A98764" w14:textId="77777777" w:rsidR="00ED3A7E" w:rsidRPr="000550CF" w:rsidRDefault="00ED3A7E" w:rsidP="00F3494E">
      <w:pPr>
        <w:widowControl w:val="0"/>
        <w:ind w:firstLine="720"/>
        <w:jc w:val="both"/>
        <w:rPr>
          <w:szCs w:val="24"/>
        </w:rPr>
      </w:pPr>
      <w:r>
        <w:t>6. If the supervisory authority registers or deregisters an MTF as the SME growth market under this Article it shall as soon as possible notify ESMA of that registration or deregistration.</w:t>
      </w:r>
    </w:p>
    <w:p w14:paraId="06BBE61E" w14:textId="77777777" w:rsidR="00ED3A7E" w:rsidRPr="000550CF" w:rsidRDefault="00ED3A7E" w:rsidP="00F3494E">
      <w:pPr>
        <w:widowControl w:val="0"/>
        <w:ind w:firstLine="720"/>
        <w:jc w:val="both"/>
        <w:rPr>
          <w:szCs w:val="24"/>
        </w:rPr>
      </w:pPr>
      <w:r>
        <w:t xml:space="preserve">7. Where a financial instrument of an issuer is admitted to trading on one SME growth market, the financial instrument may also be traded on another SME growth market only where the issuer has been informed and has not objected. In such a case, however, the issuer shall not be subject to any obligation relating to corporate governance or initial, </w:t>
      </w:r>
      <w:proofErr w:type="gramStart"/>
      <w:r>
        <w:t>ongoing</w:t>
      </w:r>
      <w:proofErr w:type="gramEnd"/>
      <w:r>
        <w:t xml:space="preserve"> or ad hoc disclosure with regard to the latter SME growth market.</w:t>
      </w:r>
    </w:p>
    <w:p w14:paraId="7177B7C1" w14:textId="77777777" w:rsidR="00ED3A7E" w:rsidRPr="000550CF" w:rsidRDefault="00ED3A7E" w:rsidP="00F3494E">
      <w:pPr>
        <w:widowControl w:val="0"/>
        <w:ind w:firstLine="720"/>
        <w:jc w:val="center"/>
        <w:rPr>
          <w:b/>
          <w:szCs w:val="24"/>
          <w:lang w:eastAsia="lt-LT"/>
        </w:rPr>
      </w:pPr>
    </w:p>
    <w:p w14:paraId="18D1636C" w14:textId="77777777" w:rsidR="00ED3A7E" w:rsidRPr="000550CF" w:rsidRDefault="00ED3A7E" w:rsidP="00F3494E">
      <w:pPr>
        <w:widowControl w:val="0"/>
        <w:jc w:val="center"/>
        <w:rPr>
          <w:szCs w:val="24"/>
        </w:rPr>
      </w:pPr>
      <w:r>
        <w:rPr>
          <w:b/>
          <w:szCs w:val="24"/>
        </w:rPr>
        <w:t>SECTION THREE</w:t>
      </w:r>
    </w:p>
    <w:p w14:paraId="33DFE6E6" w14:textId="77777777" w:rsidR="00ED3A7E" w:rsidRPr="000550CF" w:rsidRDefault="00ED3A7E" w:rsidP="00F3494E">
      <w:pPr>
        <w:widowControl w:val="0"/>
        <w:jc w:val="center"/>
        <w:rPr>
          <w:szCs w:val="24"/>
        </w:rPr>
      </w:pPr>
      <w:r>
        <w:rPr>
          <w:b/>
          <w:szCs w:val="24"/>
        </w:rPr>
        <w:t xml:space="preserve">REQUIREMENTS FOR ACTIVITIES OF FINANCIAL BROKERAGE FIRMS </w:t>
      </w:r>
    </w:p>
    <w:p w14:paraId="2FA9D607" w14:textId="77777777" w:rsidR="00ED3A7E" w:rsidRPr="000550CF" w:rsidRDefault="00ED3A7E" w:rsidP="00F3494E">
      <w:pPr>
        <w:widowControl w:val="0"/>
        <w:ind w:firstLine="720"/>
        <w:jc w:val="both"/>
        <w:rPr>
          <w:szCs w:val="24"/>
          <w:lang w:eastAsia="lt-LT"/>
        </w:rPr>
      </w:pPr>
    </w:p>
    <w:p w14:paraId="2184A788" w14:textId="77777777" w:rsidR="00ED3A7E" w:rsidRPr="000550CF" w:rsidRDefault="00ED3A7E" w:rsidP="00F3494E">
      <w:pPr>
        <w:widowControl w:val="0"/>
        <w:ind w:firstLine="720"/>
        <w:jc w:val="both"/>
        <w:rPr>
          <w:szCs w:val="24"/>
        </w:rPr>
      </w:pPr>
      <w:r>
        <w:rPr>
          <w:b/>
          <w:szCs w:val="24"/>
        </w:rPr>
        <w:t>Article 26. Obligation to co</w:t>
      </w:r>
      <w:r>
        <w:rPr>
          <w:b/>
        </w:rPr>
        <w:t xml:space="preserve">mply on a continuous basis with </w:t>
      </w:r>
      <w:r>
        <w:rPr>
          <w:b/>
          <w:szCs w:val="24"/>
        </w:rPr>
        <w:t xml:space="preserve">licensing </w:t>
      </w:r>
      <w:proofErr w:type="gramStart"/>
      <w:r>
        <w:rPr>
          <w:b/>
          <w:szCs w:val="24"/>
        </w:rPr>
        <w:t>requirements</w:t>
      </w:r>
      <w:proofErr w:type="gramEnd"/>
    </w:p>
    <w:p w14:paraId="791BCFD7" w14:textId="77777777" w:rsidR="00ED3A7E" w:rsidRPr="000550CF" w:rsidRDefault="00ED3A7E" w:rsidP="00F3494E">
      <w:pPr>
        <w:widowControl w:val="0"/>
        <w:ind w:firstLine="720"/>
        <w:jc w:val="both"/>
        <w:rPr>
          <w:szCs w:val="24"/>
        </w:rPr>
      </w:pPr>
      <w:r>
        <w:t>1. Financial brokerage firms licensed in the Republic of Lithuania must comply on a continuous basis with the requirements established by this Law for obtaining a financial brokerage firm licence.</w:t>
      </w:r>
    </w:p>
    <w:p w14:paraId="3B01573A" w14:textId="77777777" w:rsidR="00ED3A7E" w:rsidRPr="000550CF" w:rsidRDefault="00ED3A7E" w:rsidP="00F3494E">
      <w:pPr>
        <w:widowControl w:val="0"/>
        <w:ind w:firstLine="720"/>
        <w:jc w:val="both"/>
        <w:rPr>
          <w:szCs w:val="24"/>
        </w:rPr>
      </w:pPr>
      <w:r>
        <w:t>2. The compliance with the obligation specified in paragraph 1 of this Article shall be monitored by the supervisory authority. Financial brokerage firm shall notify the supervisory authority of any material changes to the conditions applicable at the time of issuing the licence.</w:t>
      </w:r>
    </w:p>
    <w:p w14:paraId="3D7C2A1B" w14:textId="77777777" w:rsidR="00ED3A7E" w:rsidRPr="000550CF" w:rsidRDefault="00ED3A7E" w:rsidP="00F3494E">
      <w:pPr>
        <w:widowControl w:val="0"/>
        <w:ind w:firstLine="720"/>
        <w:jc w:val="both"/>
        <w:rPr>
          <w:szCs w:val="24"/>
          <w:lang w:eastAsia="lt-LT"/>
        </w:rPr>
      </w:pPr>
    </w:p>
    <w:p w14:paraId="5F682613" w14:textId="77777777" w:rsidR="00ED3A7E" w:rsidRPr="000550CF" w:rsidRDefault="00ED3A7E" w:rsidP="00F3494E">
      <w:pPr>
        <w:widowControl w:val="0"/>
        <w:ind w:left="2127" w:hanging="1407"/>
        <w:jc w:val="both"/>
        <w:rPr>
          <w:szCs w:val="24"/>
        </w:rPr>
      </w:pPr>
      <w:r>
        <w:rPr>
          <w:b/>
          <w:szCs w:val="24"/>
        </w:rPr>
        <w:t xml:space="preserve">Article 27. </w:t>
      </w:r>
      <w:r>
        <w:rPr>
          <w:b/>
          <w:szCs w:val="24"/>
        </w:rPr>
        <w:tab/>
        <w:t>Obligation to co</w:t>
      </w:r>
      <w:r>
        <w:rPr>
          <w:b/>
        </w:rPr>
        <w:t xml:space="preserve">mply on a continuous basis with requirements for activities of a </w:t>
      </w:r>
      <w:r>
        <w:rPr>
          <w:b/>
          <w:szCs w:val="24"/>
        </w:rPr>
        <w:t xml:space="preserve">financial brokerage firm and to provide periodic </w:t>
      </w:r>
      <w:proofErr w:type="gramStart"/>
      <w:r>
        <w:rPr>
          <w:b/>
          <w:szCs w:val="24"/>
        </w:rPr>
        <w:t>information</w:t>
      </w:r>
      <w:proofErr w:type="gramEnd"/>
    </w:p>
    <w:p w14:paraId="39897FB1" w14:textId="77777777" w:rsidR="00ED3A7E" w:rsidRPr="000550CF" w:rsidRDefault="00ED3A7E" w:rsidP="00F3494E">
      <w:pPr>
        <w:widowControl w:val="0"/>
        <w:ind w:firstLine="720"/>
        <w:jc w:val="both"/>
        <w:rPr>
          <w:szCs w:val="24"/>
        </w:rPr>
      </w:pPr>
      <w:r>
        <w:t>1. Financial brokerage firms licensed in the Republic of Lithuania that provide investment services in the Republic of Lithuania, also branches of financial brokerage firms licensed in another Member State that provide investment services in the Republic of Lithuania must comply on a continuous basis with the requirements established for activities of a financial brokerage firm laid down in this Section.</w:t>
      </w:r>
    </w:p>
    <w:p w14:paraId="6AF48C81" w14:textId="77777777" w:rsidR="00ED3A7E" w:rsidRPr="000550CF" w:rsidRDefault="00ED3A7E" w:rsidP="00F3494E">
      <w:pPr>
        <w:widowControl w:val="0"/>
        <w:ind w:firstLine="720"/>
        <w:jc w:val="both"/>
        <w:rPr>
          <w:szCs w:val="24"/>
        </w:rPr>
      </w:pPr>
      <w:r>
        <w:t>2. The compliance with the obligation specified in paragraph 1 of this Article shall be monitored by the supervisory authority. In performing the supervisory functions, the supervisory authority shall exercise the rights granted under Articles 93 and 102 of this Law.</w:t>
      </w:r>
    </w:p>
    <w:p w14:paraId="42BF1D96" w14:textId="77777777" w:rsidR="00ED3A7E" w:rsidRPr="000550CF" w:rsidRDefault="00ED3A7E" w:rsidP="00F3494E">
      <w:pPr>
        <w:widowControl w:val="0"/>
        <w:ind w:firstLine="720"/>
        <w:jc w:val="both"/>
        <w:rPr>
          <w:szCs w:val="24"/>
        </w:rPr>
      </w:pPr>
      <w:r>
        <w:t>3. In accordance with the procedure and in the cases established by the supervisory authority financial brokerage firms must provide the requested documents.</w:t>
      </w:r>
    </w:p>
    <w:p w14:paraId="38DECC8C" w14:textId="77777777" w:rsidR="00ED3A7E" w:rsidRPr="000550CF" w:rsidRDefault="00ED3A7E" w:rsidP="00F3494E">
      <w:pPr>
        <w:widowControl w:val="0"/>
        <w:ind w:firstLine="720"/>
        <w:jc w:val="both"/>
        <w:rPr>
          <w:szCs w:val="24"/>
        </w:rPr>
      </w:pPr>
      <w:r>
        <w:t>4. In accordance with the procedure and in the cases established by the supervisory authority financial brokerage firms must publish the information about their activities.</w:t>
      </w:r>
    </w:p>
    <w:p w14:paraId="5659F485" w14:textId="77777777" w:rsidR="00ED3A7E" w:rsidRPr="000550CF" w:rsidRDefault="00ED3A7E" w:rsidP="00F3494E">
      <w:pPr>
        <w:widowControl w:val="0"/>
        <w:ind w:firstLine="720"/>
        <w:jc w:val="both"/>
        <w:rPr>
          <w:szCs w:val="24"/>
          <w:lang w:eastAsia="lt-LT"/>
        </w:rPr>
      </w:pPr>
    </w:p>
    <w:p w14:paraId="54066E1A" w14:textId="77777777" w:rsidR="00ED3A7E" w:rsidRPr="000550CF" w:rsidRDefault="00ED3A7E" w:rsidP="00F3494E">
      <w:pPr>
        <w:widowControl w:val="0"/>
        <w:ind w:firstLine="720"/>
        <w:jc w:val="both"/>
        <w:rPr>
          <w:szCs w:val="24"/>
        </w:rPr>
      </w:pPr>
      <w:r>
        <w:rPr>
          <w:b/>
          <w:szCs w:val="24"/>
        </w:rPr>
        <w:t xml:space="preserve">Article 28. Obligation to avoid conflicts of </w:t>
      </w:r>
      <w:proofErr w:type="gramStart"/>
      <w:r>
        <w:rPr>
          <w:b/>
          <w:szCs w:val="24"/>
        </w:rPr>
        <w:t>interest</w:t>
      </w:r>
      <w:proofErr w:type="gramEnd"/>
    </w:p>
    <w:p w14:paraId="15BAC8D8" w14:textId="77777777" w:rsidR="00ED3A7E" w:rsidRPr="000550CF" w:rsidRDefault="00ED3A7E" w:rsidP="00F3494E">
      <w:pPr>
        <w:widowControl w:val="0"/>
        <w:ind w:firstLine="720"/>
        <w:jc w:val="both"/>
        <w:rPr>
          <w:szCs w:val="24"/>
        </w:rPr>
      </w:pPr>
      <w:r>
        <w:t>1. A financial brokerage firm must avoid conflicts of interest and take all appropriate steps to identify and to prevent or manage conflicts of interest between themselves, including their managers, employees and tied agents, or any person directly or indirectly linked to them by control and their clients or between one client and another that arise in the course of providing any investment and ancillary services, or combinations thereof, including those caused by the receipt of inducements from third parties or by the financial brokerage firm’s own remuneration and other incentive structures.</w:t>
      </w:r>
    </w:p>
    <w:p w14:paraId="39B7C170" w14:textId="77777777" w:rsidR="00ED3A7E" w:rsidRPr="000550CF" w:rsidRDefault="00ED3A7E" w:rsidP="00F3494E">
      <w:pPr>
        <w:widowControl w:val="0"/>
        <w:ind w:firstLine="720"/>
        <w:jc w:val="both"/>
        <w:rPr>
          <w:szCs w:val="24"/>
        </w:rPr>
      </w:pPr>
      <w:r>
        <w:t xml:space="preserve">2.  Where arrangements made by the financial brokerage firm in accordance with Article 16(2) to (7) of this Law to prevent conflicts of interest from adversely affecting the interest of its client are not sufficient to ensure, with reasonable confidence, that risks of damage to client interests will be prevented, the financial brokerage firm shall clearly disclose to the client the general nature and/or </w:t>
      </w:r>
      <w:r>
        <w:lastRenderedPageBreak/>
        <w:t xml:space="preserve">sources of conflicts of interest and the steps taken to mitigate those risks before undertaking business on its behalf. </w:t>
      </w:r>
    </w:p>
    <w:p w14:paraId="5984BDA7" w14:textId="77777777" w:rsidR="00ED3A7E" w:rsidRPr="000550CF" w:rsidRDefault="00ED3A7E" w:rsidP="00F3494E">
      <w:pPr>
        <w:widowControl w:val="0"/>
        <w:ind w:firstLine="720"/>
        <w:jc w:val="both"/>
        <w:rPr>
          <w:szCs w:val="24"/>
        </w:rPr>
      </w:pPr>
      <w:r>
        <w:t>3. A financial brokerage firm must ensure that the disclosure under paragraph 2 of this Article shall:</w:t>
      </w:r>
    </w:p>
    <w:p w14:paraId="546C92F2" w14:textId="77777777" w:rsidR="00ED3A7E" w:rsidRPr="000550CF" w:rsidRDefault="00ED3A7E" w:rsidP="00F3494E">
      <w:pPr>
        <w:widowControl w:val="0"/>
        <w:ind w:firstLine="720"/>
        <w:jc w:val="both"/>
        <w:rPr>
          <w:szCs w:val="24"/>
        </w:rPr>
      </w:pPr>
      <w:r>
        <w:t xml:space="preserve">1) be made in a durable </w:t>
      </w:r>
      <w:proofErr w:type="gramStart"/>
      <w:r>
        <w:t>medium;</w:t>
      </w:r>
      <w:proofErr w:type="gramEnd"/>
    </w:p>
    <w:p w14:paraId="644E419A" w14:textId="77777777" w:rsidR="00ED3A7E" w:rsidRPr="000550CF" w:rsidRDefault="00ED3A7E" w:rsidP="00F3494E">
      <w:pPr>
        <w:widowControl w:val="0"/>
        <w:ind w:firstLine="720"/>
        <w:jc w:val="both"/>
        <w:rPr>
          <w:szCs w:val="24"/>
        </w:rPr>
      </w:pPr>
      <w:r>
        <w:t xml:space="preserve">2) include sufficient detail, </w:t>
      </w:r>
      <w:proofErr w:type="gramStart"/>
      <w:r>
        <w:t>taking into account</w:t>
      </w:r>
      <w:proofErr w:type="gramEnd"/>
      <w:r>
        <w:t xml:space="preserve"> the nature of the client, to enable that client to take an informed decision with respect to the service in the context of which the conflict of interest arises.</w:t>
      </w:r>
    </w:p>
    <w:p w14:paraId="29379C2B" w14:textId="77777777" w:rsidR="00ED3A7E" w:rsidRPr="000550CF" w:rsidRDefault="00ED3A7E" w:rsidP="00F3494E">
      <w:pPr>
        <w:widowControl w:val="0"/>
        <w:ind w:firstLine="720"/>
        <w:jc w:val="both"/>
        <w:rPr>
          <w:szCs w:val="24"/>
          <w:lang w:eastAsia="lt-LT"/>
        </w:rPr>
      </w:pPr>
    </w:p>
    <w:p w14:paraId="556EF4B0" w14:textId="77777777" w:rsidR="00ED3A7E" w:rsidRPr="000550CF" w:rsidRDefault="00ED3A7E" w:rsidP="00F3494E">
      <w:pPr>
        <w:widowControl w:val="0"/>
        <w:ind w:left="2410" w:hanging="1690"/>
        <w:jc w:val="both"/>
        <w:rPr>
          <w:szCs w:val="24"/>
        </w:rPr>
      </w:pPr>
      <w:r>
        <w:rPr>
          <w:b/>
          <w:szCs w:val="24"/>
        </w:rPr>
        <w:t>Article 29. Obligations of a financial brokerage firm when providing investment services to a client</w:t>
      </w:r>
    </w:p>
    <w:p w14:paraId="1CADE054" w14:textId="77777777" w:rsidR="00ED3A7E" w:rsidRPr="000550CF" w:rsidRDefault="00ED3A7E" w:rsidP="00F3494E">
      <w:pPr>
        <w:widowControl w:val="0"/>
        <w:ind w:firstLine="720"/>
        <w:jc w:val="both"/>
        <w:rPr>
          <w:szCs w:val="24"/>
        </w:rPr>
      </w:pPr>
      <w:r>
        <w:t xml:space="preserve">1. A financial brokerage firm, when providing investment services and/or ancillary services to a client, shall act honestly, </w:t>
      </w:r>
      <w:proofErr w:type="gramStart"/>
      <w:r>
        <w:t>fairly</w:t>
      </w:r>
      <w:proofErr w:type="gramEnd"/>
      <w:r>
        <w:t xml:space="preserve"> and professionally on terms most favourable to and in accordance with the best interests of its clients and comply with the requirements set out in this Section.</w:t>
      </w:r>
    </w:p>
    <w:p w14:paraId="5583A891" w14:textId="77777777" w:rsidR="00ED3A7E" w:rsidRPr="000550CF" w:rsidRDefault="00ED3A7E" w:rsidP="00F3494E">
      <w:pPr>
        <w:widowControl w:val="0"/>
        <w:ind w:firstLine="720"/>
        <w:jc w:val="both"/>
        <w:rPr>
          <w:szCs w:val="24"/>
        </w:rPr>
      </w:pPr>
      <w:r>
        <w:t>2. Financial brokerage firms which manufacture financial instruments for sale to clients shall ensure that those financial instruments are designed to meet the needs of an identified target market of end clients within the relevant category of clients, the strategy for distribution of the financial instruments is compatible with the identified target market, and the financial brokerage firm takes reasonable steps to ensure that the financial instrument is distributed to the identified target market.</w:t>
      </w:r>
    </w:p>
    <w:p w14:paraId="09B903D6" w14:textId="5E354A65" w:rsidR="00F91F7F" w:rsidRPr="00F91F7F" w:rsidRDefault="00ED3A7E" w:rsidP="00F91F7F">
      <w:pPr>
        <w:spacing w:line="360" w:lineRule="atLeast"/>
        <w:ind w:firstLine="720"/>
        <w:jc w:val="both"/>
        <w:rPr>
          <w:color w:val="000000"/>
          <w:szCs w:val="24"/>
        </w:rPr>
      </w:pPr>
      <w:r>
        <w:t xml:space="preserve">3.  </w:t>
      </w:r>
      <w:r>
        <w:rPr>
          <w:color w:val="000000"/>
          <w:szCs w:val="24"/>
        </w:rPr>
        <w:t>A financial brokerage firm shall understand the financial instruments they offer or recommend, assess the compatibility of the financial instruments with the needs of the clients to whom it provides investment services, also taking account of the identified target market of end clients as referred to in Articles 16(6) and (7) of this Law and ensure that financial instruments are offered or recommended only when this is in the interest of the client.</w:t>
      </w:r>
    </w:p>
    <w:p w14:paraId="19D4F060" w14:textId="77777777" w:rsidR="00F91F7F" w:rsidRDefault="00F91F7F" w:rsidP="00F91F7F">
      <w:pPr>
        <w:rPr>
          <w:color w:val="000000"/>
          <w:sz w:val="27"/>
          <w:szCs w:val="27"/>
        </w:rPr>
      </w:pPr>
      <w:r>
        <w:rPr>
          <w:i/>
          <w:iCs/>
          <w:color w:val="000000"/>
          <w:sz w:val="20"/>
        </w:rPr>
        <w:t>Amendments to the paragraph of the Article:</w:t>
      </w:r>
    </w:p>
    <w:p w14:paraId="19165F3B" w14:textId="77777777" w:rsidR="00F91F7F" w:rsidRDefault="00F91F7F" w:rsidP="00F91F7F">
      <w:pPr>
        <w:jc w:val="both"/>
        <w:rPr>
          <w:color w:val="000000"/>
          <w:sz w:val="27"/>
          <w:szCs w:val="27"/>
        </w:rPr>
      </w:pPr>
      <w:r>
        <w:rPr>
          <w:i/>
          <w:iCs/>
          <w:color w:val="000000"/>
          <w:sz w:val="20"/>
        </w:rPr>
        <w:t xml:space="preserve">No </w:t>
      </w:r>
      <w:hyperlink r:id="rId91" w:tgtFrame="_parent" w:history="1">
        <w:r>
          <w:rPr>
            <w:rStyle w:val="Hyperlink"/>
            <w:i/>
            <w:iCs/>
            <w:sz w:val="20"/>
          </w:rPr>
          <w:t>XIV-821</w:t>
        </w:r>
      </w:hyperlink>
      <w:r>
        <w:rPr>
          <w:i/>
          <w:iCs/>
          <w:color w:val="000000"/>
          <w:sz w:val="20"/>
        </w:rPr>
        <w:t>, 23/12/2021, published in the RLA, 30/12/2021, ID code 2021-27710</w:t>
      </w:r>
    </w:p>
    <w:p w14:paraId="36E6A967" w14:textId="0A50116F" w:rsidR="00ED3A7E" w:rsidRPr="000550CF" w:rsidRDefault="00ED3A7E" w:rsidP="00F3494E">
      <w:pPr>
        <w:widowControl w:val="0"/>
        <w:ind w:firstLine="720"/>
        <w:jc w:val="both"/>
        <w:rPr>
          <w:szCs w:val="24"/>
          <w:lang w:eastAsia="lt-LT"/>
        </w:rPr>
      </w:pPr>
    </w:p>
    <w:p w14:paraId="49FDAF61" w14:textId="77777777" w:rsidR="00ED3A7E" w:rsidRPr="000550CF" w:rsidRDefault="00ED3A7E" w:rsidP="00F3494E">
      <w:pPr>
        <w:widowControl w:val="0"/>
        <w:ind w:firstLine="720"/>
        <w:jc w:val="both"/>
        <w:rPr>
          <w:szCs w:val="24"/>
        </w:rPr>
      </w:pPr>
      <w:r>
        <w:t xml:space="preserve">4. All information, including marketing communications, addressed by the financial brokerage firm to clients or potential clients shall be fair, </w:t>
      </w:r>
      <w:proofErr w:type="gramStart"/>
      <w:r>
        <w:t>clear</w:t>
      </w:r>
      <w:proofErr w:type="gramEnd"/>
      <w:r>
        <w:t xml:space="preserve"> and not misleading. Marketing communications shall be clearly identifiable as such.</w:t>
      </w:r>
    </w:p>
    <w:p w14:paraId="243E09B6" w14:textId="77777777" w:rsidR="00ED3A7E" w:rsidRPr="000550CF" w:rsidRDefault="00ED3A7E" w:rsidP="00F3494E">
      <w:pPr>
        <w:widowControl w:val="0"/>
        <w:ind w:firstLine="720"/>
        <w:jc w:val="both"/>
        <w:rPr>
          <w:szCs w:val="24"/>
        </w:rPr>
      </w:pPr>
      <w:r>
        <w:t xml:space="preserve">5. Appropriate information shall be provided in good time to clients and potential clients </w:t>
      </w:r>
      <w:proofErr w:type="gramStart"/>
      <w:r>
        <w:t>with regard to</w:t>
      </w:r>
      <w:proofErr w:type="gramEnd"/>
      <w:r>
        <w:t xml:space="preserve"> the financial brokerage firm and its services, the financial instruments and proposed investment strategies, execution venues and all costs and related charges.</w:t>
      </w:r>
    </w:p>
    <w:p w14:paraId="7B074D0D" w14:textId="77777777" w:rsidR="00ED3A7E" w:rsidRPr="000550CF" w:rsidRDefault="00ED3A7E" w:rsidP="00F3494E">
      <w:pPr>
        <w:widowControl w:val="0"/>
        <w:ind w:firstLine="720"/>
        <w:jc w:val="both"/>
        <w:rPr>
          <w:szCs w:val="24"/>
        </w:rPr>
      </w:pPr>
      <w:r>
        <w:t>6. In implementing the requirements established in paragraph 5 of this Article, the financial brokerage firm must provide to its clients and potential clients the following information:</w:t>
      </w:r>
    </w:p>
    <w:p w14:paraId="6223E5EE" w14:textId="77777777" w:rsidR="00ED3A7E" w:rsidRPr="000550CF" w:rsidRDefault="00ED3A7E" w:rsidP="00F3494E">
      <w:pPr>
        <w:widowControl w:val="0"/>
        <w:ind w:firstLine="720"/>
        <w:jc w:val="both"/>
        <w:rPr>
          <w:szCs w:val="24"/>
        </w:rPr>
      </w:pPr>
      <w:r>
        <w:t>1) when investment advice is provided, the investment firm must, in good time before it provides investment advice, inform the client:</w:t>
      </w:r>
    </w:p>
    <w:p w14:paraId="1638BF32" w14:textId="77777777" w:rsidR="00ED3A7E" w:rsidRPr="000550CF" w:rsidRDefault="00ED3A7E" w:rsidP="00F3494E">
      <w:pPr>
        <w:widowControl w:val="0"/>
        <w:ind w:firstLine="720"/>
        <w:jc w:val="both"/>
        <w:rPr>
          <w:szCs w:val="24"/>
        </w:rPr>
      </w:pPr>
      <w:r>
        <w:t xml:space="preserve">a) whether or not the advice is provided on an independent </w:t>
      </w:r>
      <w:proofErr w:type="gramStart"/>
      <w:r>
        <w:t>basis;</w:t>
      </w:r>
      <w:proofErr w:type="gramEnd"/>
      <w:r>
        <w:t xml:space="preserve"> </w:t>
      </w:r>
    </w:p>
    <w:p w14:paraId="1A0B8B93" w14:textId="77777777" w:rsidR="00ED3A7E" w:rsidRPr="000550CF" w:rsidRDefault="00ED3A7E" w:rsidP="00F3494E">
      <w:pPr>
        <w:widowControl w:val="0"/>
        <w:ind w:firstLine="720"/>
        <w:jc w:val="both"/>
        <w:rPr>
          <w:szCs w:val="24"/>
        </w:rPr>
      </w:pPr>
      <w:r>
        <w:t xml:space="preserve">b) whether the advice is based on a broad or on a more restricted analysis of different types of financial </w:t>
      </w:r>
      <w:proofErr w:type="gramStart"/>
      <w:r>
        <w:t>instruments;</w:t>
      </w:r>
      <w:proofErr w:type="gramEnd"/>
    </w:p>
    <w:p w14:paraId="47F658E6" w14:textId="77777777" w:rsidR="00ED3A7E" w:rsidRPr="000550CF" w:rsidRDefault="00ED3A7E" w:rsidP="00F3494E">
      <w:pPr>
        <w:widowControl w:val="0"/>
        <w:ind w:firstLine="720"/>
        <w:jc w:val="both"/>
        <w:rPr>
          <w:szCs w:val="24"/>
        </w:rPr>
      </w:pPr>
      <w:r>
        <w:t xml:space="preserve">c) whether the range of financial instruments assessed by the financial brokerage firm is limited to financial instruments issued or provided by entities having close links with the financial brokerage firm or any other legal or economic relationships, such as contractual relationships, so close as to pose a risk of impairing the independent basis of the advice </w:t>
      </w:r>
      <w:proofErr w:type="gramStart"/>
      <w:r>
        <w:t>provided;</w:t>
      </w:r>
      <w:proofErr w:type="gramEnd"/>
      <w:r>
        <w:t xml:space="preserve"> </w:t>
      </w:r>
    </w:p>
    <w:p w14:paraId="50BD48DE" w14:textId="77777777" w:rsidR="00ED3A7E" w:rsidRPr="000550CF" w:rsidRDefault="00ED3A7E" w:rsidP="00F3494E">
      <w:pPr>
        <w:widowControl w:val="0"/>
        <w:ind w:firstLine="720"/>
        <w:jc w:val="both"/>
        <w:rPr>
          <w:szCs w:val="24"/>
        </w:rPr>
      </w:pPr>
      <w:r>
        <w:t xml:space="preserve">d) whether the financial brokerage firm will provide the client with a periodic assessment of the suitability of the financial instruments recommended to that </w:t>
      </w:r>
      <w:proofErr w:type="gramStart"/>
      <w:r>
        <w:t>client;</w:t>
      </w:r>
      <w:proofErr w:type="gramEnd"/>
    </w:p>
    <w:p w14:paraId="08A15A46" w14:textId="77777777" w:rsidR="00ED3A7E" w:rsidRPr="000550CF" w:rsidRDefault="00ED3A7E" w:rsidP="00F3494E">
      <w:pPr>
        <w:widowControl w:val="0"/>
        <w:ind w:firstLine="720"/>
        <w:jc w:val="both"/>
        <w:rPr>
          <w:szCs w:val="24"/>
        </w:rPr>
      </w:pPr>
      <w:r>
        <w:t xml:space="preserve">2) the information on financial instruments and proposed investment strategies must include appropriate guidance on and warnings of the risks associated with investments in those instruments or in respect of particular investment strategies and whether the financial instrument is intended for retail or professional clients, taking account of the identified target market in accordance with paragraph 2 of this </w:t>
      </w:r>
      <w:proofErr w:type="gramStart"/>
      <w:r>
        <w:t>Article;</w:t>
      </w:r>
      <w:proofErr w:type="gramEnd"/>
      <w:r>
        <w:t xml:space="preserve"> </w:t>
      </w:r>
    </w:p>
    <w:p w14:paraId="3110D8F1" w14:textId="534A1065" w:rsidR="00ED3A7E" w:rsidRDefault="00ED3A7E" w:rsidP="00F3494E">
      <w:pPr>
        <w:widowControl w:val="0"/>
        <w:ind w:firstLine="720"/>
        <w:jc w:val="both"/>
        <w:rPr>
          <w:szCs w:val="24"/>
        </w:rPr>
      </w:pPr>
      <w:r>
        <w:lastRenderedPageBreak/>
        <w:t xml:space="preserve">3) the information on all costs and associated charges must include information relating to both investment and ancillary services, including the cost of advice, where relevant, the cost of the financial instrument recommended or marketed to the client and how the client may pay for it, also encompassing any third-party payments. </w:t>
      </w:r>
    </w:p>
    <w:p w14:paraId="62C6F61B" w14:textId="77777777" w:rsidR="00F91F7F" w:rsidRPr="00F91F7F" w:rsidRDefault="00F91F7F" w:rsidP="00F91F7F">
      <w:pPr>
        <w:spacing w:line="360" w:lineRule="atLeast"/>
        <w:ind w:firstLine="720"/>
        <w:jc w:val="both"/>
        <w:rPr>
          <w:color w:val="000000"/>
          <w:szCs w:val="24"/>
        </w:rPr>
      </w:pPr>
      <w:r>
        <w:rPr>
          <w:color w:val="000000"/>
          <w:szCs w:val="24"/>
        </w:rPr>
        <w:t>4) the information referred to in Regulation (EU) 2019/2088 and Articles 5, 6 and 7 of Regulation (EU) 2020/852.</w:t>
      </w:r>
    </w:p>
    <w:p w14:paraId="05DC497F" w14:textId="77777777" w:rsidR="00F91F7F" w:rsidRDefault="00F91F7F" w:rsidP="00F91F7F">
      <w:pPr>
        <w:rPr>
          <w:color w:val="000000"/>
          <w:sz w:val="27"/>
          <w:szCs w:val="27"/>
        </w:rPr>
      </w:pPr>
      <w:r>
        <w:rPr>
          <w:i/>
          <w:iCs/>
          <w:color w:val="000000"/>
          <w:sz w:val="20"/>
        </w:rPr>
        <w:t>Supplemented with the sub-paragraph to the Article:</w:t>
      </w:r>
    </w:p>
    <w:p w14:paraId="6EFC3EE3" w14:textId="77777777" w:rsidR="00F91F7F" w:rsidRDefault="00F91F7F" w:rsidP="00F91F7F">
      <w:pPr>
        <w:jc w:val="both"/>
        <w:rPr>
          <w:color w:val="000000"/>
          <w:sz w:val="27"/>
          <w:szCs w:val="27"/>
        </w:rPr>
      </w:pPr>
      <w:r>
        <w:rPr>
          <w:i/>
          <w:iCs/>
          <w:color w:val="000000"/>
          <w:sz w:val="20"/>
        </w:rPr>
        <w:t xml:space="preserve">No </w:t>
      </w:r>
      <w:hyperlink r:id="rId92" w:tgtFrame="_parent" w:history="1">
        <w:r>
          <w:rPr>
            <w:rStyle w:val="Hyperlink"/>
            <w:i/>
            <w:iCs/>
            <w:sz w:val="20"/>
          </w:rPr>
          <w:t>XIV-821</w:t>
        </w:r>
      </w:hyperlink>
      <w:r>
        <w:rPr>
          <w:i/>
          <w:iCs/>
          <w:color w:val="000000"/>
          <w:sz w:val="20"/>
        </w:rPr>
        <w:t>, 23/12/2021, published in the RLA, 30/12/2021, ID code 2021-27710</w:t>
      </w:r>
    </w:p>
    <w:p w14:paraId="5B63DC0A" w14:textId="77777777" w:rsidR="00F91F7F" w:rsidRPr="000550CF" w:rsidRDefault="00F91F7F" w:rsidP="00F3494E">
      <w:pPr>
        <w:widowControl w:val="0"/>
        <w:ind w:firstLine="720"/>
        <w:jc w:val="both"/>
        <w:rPr>
          <w:szCs w:val="24"/>
          <w:lang w:eastAsia="lt-LT"/>
        </w:rPr>
      </w:pPr>
    </w:p>
    <w:p w14:paraId="6E5F6127" w14:textId="112A9735" w:rsidR="00ED3A7E" w:rsidRDefault="00ED3A7E" w:rsidP="00F3494E">
      <w:pPr>
        <w:widowControl w:val="0"/>
        <w:ind w:firstLine="720"/>
        <w:jc w:val="both"/>
        <w:rPr>
          <w:szCs w:val="24"/>
        </w:rPr>
      </w:pPr>
      <w:r>
        <w:t>7. The information about all costs and charges, including costs and charges in connection with the investment service and the financial instrument, which are not caused by the occurrence of underlying market risk, shall be aggregated to allow the client to understand the overall cost as well as the cumulative effect on return of the investment, and where the client so requests, an itemised breakdown shall be provided. Where applicable, such information shall be provided to the client on a regular basis, at least annually, during the life of the investment.</w:t>
      </w:r>
    </w:p>
    <w:p w14:paraId="47A02F17" w14:textId="77777777" w:rsidR="00F91F7F" w:rsidRDefault="00F91F7F" w:rsidP="00F91F7F">
      <w:pPr>
        <w:spacing w:line="360" w:lineRule="atLeast"/>
        <w:ind w:firstLine="720"/>
        <w:jc w:val="both"/>
        <w:rPr>
          <w:color w:val="000000"/>
        </w:rPr>
      </w:pPr>
      <w:r>
        <w:rPr>
          <w:color w:val="000000"/>
        </w:rPr>
        <w:t>7</w:t>
      </w:r>
      <w:r>
        <w:rPr>
          <w:color w:val="000000"/>
          <w:vertAlign w:val="superscript"/>
        </w:rPr>
        <w:t>1</w:t>
      </w:r>
      <w:r>
        <w:rPr>
          <w:color w:val="000000"/>
        </w:rPr>
        <w:t xml:space="preserve">. Where a contract for the purchase or sale of a financial instrument is concluded using remote means of communication that do not allow for the advance provision of information about costs and charges, the financial brokerage firm may provide information about costs and charges in electronic format immediately after the conclusion of the transaction or, when requested by the retail client, in hard copy form </w:t>
      </w:r>
      <w:proofErr w:type="spellStart"/>
      <w:r>
        <w:rPr>
          <w:color w:val="000000"/>
        </w:rPr>
        <w:t>form</w:t>
      </w:r>
      <w:proofErr w:type="spellEnd"/>
      <w:r>
        <w:rPr>
          <w:color w:val="000000"/>
        </w:rPr>
        <w:t xml:space="preserve"> if both of the following conditions are met:</w:t>
      </w:r>
    </w:p>
    <w:p w14:paraId="673B5A52" w14:textId="77777777" w:rsidR="00F91F7F" w:rsidRDefault="00F91F7F" w:rsidP="00F91F7F">
      <w:pPr>
        <w:spacing w:line="360" w:lineRule="atLeast"/>
        <w:ind w:firstLine="720"/>
        <w:jc w:val="both"/>
        <w:rPr>
          <w:color w:val="000000"/>
        </w:rPr>
      </w:pPr>
      <w:bookmarkStart w:id="125" w:name="part_46014e1a0e8a4181bbb9efcd69727f11"/>
      <w:bookmarkEnd w:id="125"/>
      <w:r>
        <w:rPr>
          <w:color w:val="000000"/>
        </w:rPr>
        <w:t xml:space="preserve">1) the client agrees to receive the information immediately after the conclusion of the </w:t>
      </w:r>
      <w:proofErr w:type="gramStart"/>
      <w:r>
        <w:rPr>
          <w:color w:val="000000"/>
        </w:rPr>
        <w:t>transaction;</w:t>
      </w:r>
      <w:proofErr w:type="gramEnd"/>
    </w:p>
    <w:p w14:paraId="6B04FB3D" w14:textId="77777777" w:rsidR="00F91F7F" w:rsidRDefault="00F91F7F" w:rsidP="00F91F7F">
      <w:pPr>
        <w:spacing w:line="360" w:lineRule="atLeast"/>
        <w:ind w:firstLine="720"/>
        <w:jc w:val="both"/>
        <w:rPr>
          <w:color w:val="000000"/>
        </w:rPr>
      </w:pPr>
      <w:bookmarkStart w:id="126" w:name="part_e8fb2b75a1664630aa448c2d25f80539"/>
      <w:bookmarkEnd w:id="126"/>
      <w:r>
        <w:rPr>
          <w:color w:val="000000"/>
        </w:rPr>
        <w:t>2) the financial brokerage firm has given the client the opportunity to delay the conclusion of the transaction until the client receives the information.</w:t>
      </w:r>
    </w:p>
    <w:p w14:paraId="3927523D" w14:textId="77777777" w:rsidR="00F91F7F" w:rsidRDefault="00F91F7F" w:rsidP="00F91F7F">
      <w:pPr>
        <w:rPr>
          <w:color w:val="000000"/>
        </w:rPr>
      </w:pPr>
      <w:r>
        <w:rPr>
          <w:i/>
          <w:iCs/>
          <w:color w:val="000000"/>
          <w:sz w:val="20"/>
        </w:rPr>
        <w:t>Supplemented with the paragraph to the Article:</w:t>
      </w:r>
    </w:p>
    <w:p w14:paraId="4B837588" w14:textId="25AF45F5" w:rsidR="00F91F7F" w:rsidRDefault="00F91F7F" w:rsidP="00F91F7F">
      <w:pPr>
        <w:jc w:val="both"/>
        <w:rPr>
          <w:color w:val="000000"/>
        </w:rPr>
      </w:pPr>
      <w:r>
        <w:rPr>
          <w:i/>
          <w:iCs/>
          <w:color w:val="000000"/>
          <w:sz w:val="20"/>
        </w:rPr>
        <w:t xml:space="preserve">No </w:t>
      </w:r>
      <w:hyperlink r:id="rId93" w:tgtFrame="_parent" w:history="1">
        <w:r>
          <w:rPr>
            <w:rStyle w:val="Hyperlink"/>
            <w:i/>
            <w:iCs/>
            <w:sz w:val="20"/>
          </w:rPr>
          <w:t>XIV-821</w:t>
        </w:r>
      </w:hyperlink>
      <w:r>
        <w:rPr>
          <w:i/>
          <w:iCs/>
          <w:color w:val="000000"/>
          <w:sz w:val="20"/>
        </w:rPr>
        <w:t>, 23/12/2021, published in the RLA, 30/12/2021, ID code 2021-27710</w:t>
      </w:r>
    </w:p>
    <w:p w14:paraId="0D40D161" w14:textId="77777777" w:rsidR="00F91F7F" w:rsidRDefault="00F91F7F" w:rsidP="00F91F7F">
      <w:pPr>
        <w:spacing w:line="360" w:lineRule="atLeast"/>
        <w:ind w:firstLine="720"/>
        <w:jc w:val="both"/>
        <w:rPr>
          <w:color w:val="000000"/>
        </w:rPr>
      </w:pPr>
      <w:bookmarkStart w:id="127" w:name="part_ab6f279a29c94eeb9ecae34de409a3cf"/>
      <w:bookmarkEnd w:id="127"/>
      <w:r>
        <w:rPr>
          <w:color w:val="000000"/>
        </w:rPr>
        <w:t>7</w:t>
      </w:r>
      <w:r>
        <w:rPr>
          <w:color w:val="000000"/>
          <w:vertAlign w:val="superscript"/>
        </w:rPr>
        <w:t>2</w:t>
      </w:r>
      <w:r>
        <w:rPr>
          <w:color w:val="000000"/>
        </w:rPr>
        <w:t>. A financial brokerage firm shall be required to give the client the opportunity to receive information about costs and charges by phone before concluding the transaction, except for the case specified in sub-paragraph 2 of paragraph 7</w:t>
      </w:r>
      <w:r>
        <w:rPr>
          <w:color w:val="000000"/>
          <w:vertAlign w:val="superscript"/>
        </w:rPr>
        <w:t>1</w:t>
      </w:r>
      <w:r>
        <w:rPr>
          <w:color w:val="000000"/>
        </w:rPr>
        <w:t xml:space="preserve"> of this Article.</w:t>
      </w:r>
    </w:p>
    <w:p w14:paraId="0AAD2A18" w14:textId="77777777" w:rsidR="00F91F7F" w:rsidRDefault="00F91F7F" w:rsidP="00F91F7F">
      <w:pPr>
        <w:rPr>
          <w:color w:val="000000"/>
        </w:rPr>
      </w:pPr>
      <w:r>
        <w:rPr>
          <w:i/>
          <w:iCs/>
          <w:color w:val="000000"/>
          <w:sz w:val="20"/>
        </w:rPr>
        <w:t>Supplemented with the paragraph to the Article:</w:t>
      </w:r>
    </w:p>
    <w:p w14:paraId="30348282" w14:textId="77777777" w:rsidR="00F91F7F" w:rsidRDefault="00F91F7F" w:rsidP="00F91F7F">
      <w:pPr>
        <w:jc w:val="both"/>
        <w:rPr>
          <w:color w:val="000000"/>
        </w:rPr>
      </w:pPr>
      <w:r>
        <w:rPr>
          <w:i/>
          <w:iCs/>
          <w:color w:val="000000"/>
          <w:sz w:val="20"/>
        </w:rPr>
        <w:t xml:space="preserve">No </w:t>
      </w:r>
      <w:hyperlink r:id="rId94" w:tgtFrame="_parent" w:history="1">
        <w:r>
          <w:rPr>
            <w:rStyle w:val="Hyperlink"/>
            <w:i/>
            <w:iCs/>
            <w:sz w:val="20"/>
          </w:rPr>
          <w:t>XIV-821</w:t>
        </w:r>
      </w:hyperlink>
      <w:r>
        <w:rPr>
          <w:i/>
          <w:iCs/>
          <w:color w:val="000000"/>
          <w:sz w:val="20"/>
        </w:rPr>
        <w:t>, 23/12/2021, published in the RLA, 30/12/2021, ID code 2021-27710</w:t>
      </w:r>
    </w:p>
    <w:p w14:paraId="29F7844D" w14:textId="77777777" w:rsidR="00F91F7F" w:rsidRPr="000550CF" w:rsidRDefault="00F91F7F" w:rsidP="00F3494E">
      <w:pPr>
        <w:widowControl w:val="0"/>
        <w:ind w:firstLine="720"/>
        <w:jc w:val="both"/>
        <w:rPr>
          <w:szCs w:val="24"/>
          <w:lang w:eastAsia="lt-LT"/>
        </w:rPr>
      </w:pPr>
    </w:p>
    <w:p w14:paraId="5C1EF992" w14:textId="501B8BE3" w:rsidR="00ED3A7E" w:rsidRDefault="00ED3A7E" w:rsidP="00F3494E">
      <w:pPr>
        <w:widowControl w:val="0"/>
        <w:ind w:firstLine="720"/>
        <w:jc w:val="both"/>
        <w:rPr>
          <w:szCs w:val="24"/>
        </w:rPr>
      </w:pPr>
      <w:r>
        <w:t>8. The information referred to in paragraphs 4 to 7, 12, 13 and 14 of this Article shall be provided in a comprehensible form in such a manner that clients or potential clients are reasonably able to understand the nature and risks of the investment service and of the specific type of financial instrument that is being offered and, consequently, to take investment decisions on an informed basis. The information referred to in this Article may be provided in a standardised format.</w:t>
      </w:r>
    </w:p>
    <w:p w14:paraId="6818C1D2" w14:textId="77777777" w:rsidR="00F91F7F" w:rsidRDefault="00F91F7F" w:rsidP="00F91F7F">
      <w:pPr>
        <w:spacing w:line="360" w:lineRule="atLeast"/>
        <w:ind w:firstLine="720"/>
        <w:jc w:val="both"/>
        <w:rPr>
          <w:color w:val="000000"/>
        </w:rPr>
      </w:pPr>
      <w:r>
        <w:rPr>
          <w:color w:val="000000"/>
        </w:rPr>
        <w:t>8</w:t>
      </w:r>
      <w:r>
        <w:rPr>
          <w:color w:val="000000"/>
          <w:vertAlign w:val="superscript"/>
        </w:rPr>
        <w:t>1</w:t>
      </w:r>
      <w:r>
        <w:rPr>
          <w:color w:val="000000"/>
        </w:rPr>
        <w:t>. All information that a financial brokerage firm is required to provide under this Law shall be provided to clients or potential clients in electronic format, except where the client or potential client is a retail client or a potential retail client and requests the information to be provided in hard copy form, in which case the information shall be provided in hard copy form free of charge. The financial brokerage firm shall inform retail clients or potential retail clients about the possibility of receiving information in hard copy form.</w:t>
      </w:r>
    </w:p>
    <w:p w14:paraId="18D08456" w14:textId="77777777" w:rsidR="00F91F7F" w:rsidRDefault="00F91F7F" w:rsidP="00F91F7F">
      <w:pPr>
        <w:rPr>
          <w:color w:val="000000"/>
        </w:rPr>
      </w:pPr>
      <w:r>
        <w:rPr>
          <w:i/>
          <w:iCs/>
          <w:color w:val="000000"/>
          <w:sz w:val="20"/>
        </w:rPr>
        <w:t>Supplemented with the paragraph to the Article:</w:t>
      </w:r>
    </w:p>
    <w:p w14:paraId="29FD39D8" w14:textId="3747E912" w:rsidR="00F91F7F" w:rsidRDefault="00F91F7F" w:rsidP="00F91F7F">
      <w:pPr>
        <w:jc w:val="both"/>
        <w:rPr>
          <w:color w:val="000000"/>
        </w:rPr>
      </w:pPr>
      <w:r>
        <w:rPr>
          <w:i/>
          <w:iCs/>
          <w:color w:val="000000"/>
          <w:sz w:val="20"/>
        </w:rPr>
        <w:t xml:space="preserve">No </w:t>
      </w:r>
      <w:hyperlink r:id="rId95" w:tgtFrame="_parent" w:history="1">
        <w:r>
          <w:rPr>
            <w:rStyle w:val="Hyperlink"/>
            <w:i/>
            <w:iCs/>
            <w:sz w:val="20"/>
          </w:rPr>
          <w:t>XIV-821</w:t>
        </w:r>
      </w:hyperlink>
      <w:r>
        <w:rPr>
          <w:i/>
          <w:iCs/>
          <w:color w:val="000000"/>
          <w:sz w:val="20"/>
        </w:rPr>
        <w:t>, 23/12/2021, published in the RLA, 30/12/2021, ID code 2021-27710</w:t>
      </w:r>
    </w:p>
    <w:p w14:paraId="72A0D8A0" w14:textId="77777777" w:rsidR="00F91F7F" w:rsidRDefault="00F91F7F" w:rsidP="00F91F7F">
      <w:pPr>
        <w:spacing w:line="360" w:lineRule="atLeast"/>
        <w:ind w:firstLine="720"/>
        <w:jc w:val="both"/>
        <w:rPr>
          <w:color w:val="000000"/>
        </w:rPr>
      </w:pPr>
      <w:bookmarkStart w:id="128" w:name="part_96d966d92e0d4cb7af9834f1ffa25a48"/>
      <w:bookmarkEnd w:id="128"/>
      <w:r>
        <w:rPr>
          <w:color w:val="000000"/>
        </w:rPr>
        <w:t>8</w:t>
      </w:r>
      <w:r>
        <w:rPr>
          <w:color w:val="000000"/>
          <w:vertAlign w:val="superscript"/>
        </w:rPr>
        <w:t>2</w:t>
      </w:r>
      <w:r>
        <w:rPr>
          <w:color w:val="000000"/>
        </w:rPr>
        <w:t xml:space="preserve">. A financial brokerage firm shall notify the existing retail clients receiving mandatory information under this Law in hard copy form no later than 8 weeks before the date of sending the </w:t>
      </w:r>
      <w:r>
        <w:rPr>
          <w:color w:val="000000"/>
        </w:rPr>
        <w:lastRenderedPageBreak/>
        <w:t>information that they will receive the information in electronic format.  A financial brokerage firm shall inform retail clients that they can choose whether they want to continue receiving information in hard copy form or only in electronic format.  Financial brokerage firms shall also inform the existing retail clients that if the client does not express a wish within those 8 weeks for the information to continue to be sent to them as hard copy, the electronic format shall be automatically switched to.  There is no obligation to inform the existing retail customers who already receive mandatory information under this Law in electronic format.</w:t>
      </w:r>
    </w:p>
    <w:p w14:paraId="1FA36511" w14:textId="77777777" w:rsidR="00F91F7F" w:rsidRDefault="00F91F7F" w:rsidP="00F91F7F">
      <w:pPr>
        <w:rPr>
          <w:color w:val="000000"/>
        </w:rPr>
      </w:pPr>
      <w:r>
        <w:rPr>
          <w:i/>
          <w:iCs/>
          <w:color w:val="000000"/>
          <w:sz w:val="20"/>
        </w:rPr>
        <w:t>Supplemented with the paragraph to the Article:</w:t>
      </w:r>
    </w:p>
    <w:p w14:paraId="5A69093A" w14:textId="77777777" w:rsidR="00F91F7F" w:rsidRDefault="00F91F7F" w:rsidP="00F91F7F">
      <w:pPr>
        <w:jc w:val="both"/>
        <w:rPr>
          <w:color w:val="000000"/>
        </w:rPr>
      </w:pPr>
      <w:r>
        <w:rPr>
          <w:i/>
          <w:iCs/>
          <w:color w:val="000000"/>
          <w:sz w:val="20"/>
        </w:rPr>
        <w:t xml:space="preserve">No </w:t>
      </w:r>
      <w:hyperlink r:id="rId96" w:tgtFrame="_parent" w:history="1">
        <w:r>
          <w:rPr>
            <w:rStyle w:val="Hyperlink"/>
            <w:i/>
            <w:iCs/>
            <w:sz w:val="20"/>
          </w:rPr>
          <w:t>XIV-821</w:t>
        </w:r>
      </w:hyperlink>
      <w:r>
        <w:rPr>
          <w:i/>
          <w:iCs/>
          <w:color w:val="000000"/>
          <w:sz w:val="20"/>
        </w:rPr>
        <w:t>, 23/12/2021, published in the RLA, 30/12/2021, ID code 2021-27710</w:t>
      </w:r>
    </w:p>
    <w:p w14:paraId="4BD27308" w14:textId="77777777" w:rsidR="00F91F7F" w:rsidRPr="000550CF" w:rsidRDefault="00F91F7F" w:rsidP="00F3494E">
      <w:pPr>
        <w:widowControl w:val="0"/>
        <w:ind w:firstLine="720"/>
        <w:jc w:val="both"/>
        <w:rPr>
          <w:szCs w:val="24"/>
          <w:lang w:eastAsia="lt-LT"/>
        </w:rPr>
      </w:pPr>
    </w:p>
    <w:p w14:paraId="2B593F2A" w14:textId="77777777" w:rsidR="00ED3A7E" w:rsidRPr="000550CF" w:rsidRDefault="00ED3A7E" w:rsidP="00F3494E">
      <w:pPr>
        <w:widowControl w:val="0"/>
        <w:ind w:firstLine="720"/>
        <w:jc w:val="both"/>
        <w:rPr>
          <w:szCs w:val="24"/>
        </w:rPr>
      </w:pPr>
      <w:r>
        <w:t xml:space="preserve">9. Where an investment service is offered as part of a financial product which is already subject to the requirements established in other legal acts relating to the obligations of credit institutions and creditors or intermediaries of consumer credits in providing information to clients, those services shall not be subject to the requirements set out in paragraphs 4 to 8 of this Article. </w:t>
      </w:r>
    </w:p>
    <w:p w14:paraId="19D90208" w14:textId="77777777" w:rsidR="00ED3A7E" w:rsidRPr="000550CF" w:rsidRDefault="00ED3A7E" w:rsidP="00F3494E">
      <w:pPr>
        <w:widowControl w:val="0"/>
        <w:ind w:firstLine="720"/>
        <w:jc w:val="both"/>
        <w:rPr>
          <w:szCs w:val="24"/>
        </w:rPr>
      </w:pPr>
      <w:r>
        <w:t>10. Where a financial brokerage firm informs the client that investment advice is provided on an independent basis, that financial brokerage firm must:</w:t>
      </w:r>
    </w:p>
    <w:p w14:paraId="352FA33B" w14:textId="77777777" w:rsidR="00ED3A7E" w:rsidRPr="000550CF" w:rsidRDefault="00ED3A7E" w:rsidP="00F3494E">
      <w:pPr>
        <w:widowControl w:val="0"/>
        <w:ind w:firstLine="720"/>
        <w:jc w:val="both"/>
        <w:rPr>
          <w:szCs w:val="24"/>
        </w:rPr>
      </w:pPr>
      <w:r>
        <w:t xml:space="preserve">1) assess a sufficient range of financial instruments available on the market which must be sufficiently diverse </w:t>
      </w:r>
      <w:proofErr w:type="gramStart"/>
      <w:r>
        <w:t>with regard to</w:t>
      </w:r>
      <w:proofErr w:type="gramEnd"/>
      <w:r>
        <w:t xml:space="preserve"> their type and issuers or product providers to ensure that the client’s investment objectives can be suitably met and must not be limited to financial instruments issued or provided by:</w:t>
      </w:r>
    </w:p>
    <w:p w14:paraId="7F95DC5B" w14:textId="77777777" w:rsidR="00ED3A7E" w:rsidRPr="000550CF" w:rsidRDefault="00ED3A7E" w:rsidP="00F3494E">
      <w:pPr>
        <w:widowControl w:val="0"/>
        <w:ind w:firstLine="720"/>
        <w:jc w:val="both"/>
        <w:rPr>
          <w:szCs w:val="24"/>
        </w:rPr>
      </w:pPr>
      <w:r>
        <w:t xml:space="preserve">a) the financial brokerage firm </w:t>
      </w:r>
      <w:proofErr w:type="gramStart"/>
      <w:r>
        <w:t>itself;</w:t>
      </w:r>
      <w:proofErr w:type="gramEnd"/>
      <w:r>
        <w:t xml:space="preserve"> </w:t>
      </w:r>
    </w:p>
    <w:p w14:paraId="33338BAA" w14:textId="77777777" w:rsidR="00ED3A7E" w:rsidRPr="000550CF" w:rsidRDefault="00ED3A7E" w:rsidP="00F3494E">
      <w:pPr>
        <w:widowControl w:val="0"/>
        <w:ind w:firstLine="720"/>
        <w:jc w:val="both"/>
        <w:rPr>
          <w:szCs w:val="24"/>
        </w:rPr>
      </w:pPr>
      <w:r>
        <w:t>b) by entities having close links with the financial brokerage firm; or</w:t>
      </w:r>
    </w:p>
    <w:p w14:paraId="5B81D54B" w14:textId="77777777" w:rsidR="00ED3A7E" w:rsidRPr="000550CF" w:rsidRDefault="00ED3A7E" w:rsidP="00F3494E">
      <w:pPr>
        <w:widowControl w:val="0"/>
        <w:ind w:firstLine="720"/>
        <w:jc w:val="both"/>
        <w:rPr>
          <w:szCs w:val="24"/>
        </w:rPr>
      </w:pPr>
      <w:r>
        <w:t xml:space="preserve">c) other entities with which the financial brokerage firm has such close legal or economic relationships, such as contractual relationships, as to pose a risk of impairing the independent basis of the advice </w:t>
      </w:r>
      <w:proofErr w:type="gramStart"/>
      <w:r>
        <w:t>provided;</w:t>
      </w:r>
      <w:proofErr w:type="gramEnd"/>
    </w:p>
    <w:p w14:paraId="1EE0849A" w14:textId="77777777" w:rsidR="00ED3A7E" w:rsidRPr="000550CF" w:rsidRDefault="00ED3A7E" w:rsidP="00F3494E">
      <w:pPr>
        <w:widowControl w:val="0"/>
        <w:ind w:firstLine="720"/>
        <w:jc w:val="both"/>
        <w:rPr>
          <w:szCs w:val="24"/>
        </w:rPr>
      </w:pPr>
      <w:r>
        <w:t xml:space="preserve">2) not accept </w:t>
      </w:r>
      <w:proofErr w:type="gramStart"/>
      <w:r>
        <w:t>and,</w:t>
      </w:r>
      <w:proofErr w:type="gramEnd"/>
      <w:r>
        <w:t xml:space="preserve"> having received, shall immediately transfer to the client or refund the fee, commissions or any monetary or non-monetary benefits paid or provided by any third party or a person acting on behalf of a third party in relation to investment services provided by the financial brokerage firm to clients. Information about minor non-monetary benefits received by the financial brokerage firm that are capable of enhancing the quality of service provided to a client, where such benefits are of a scale and nature such that they could not be judged to impair compliance with the financial brokerage firm’s duty to act in the best interest of the client must be clearly disclosed and, in such case, the requirements established in this point shall not apply.</w:t>
      </w:r>
    </w:p>
    <w:p w14:paraId="264BC012" w14:textId="77777777" w:rsidR="00ED3A7E" w:rsidRPr="000550CF" w:rsidRDefault="00ED3A7E" w:rsidP="00F3494E">
      <w:pPr>
        <w:widowControl w:val="0"/>
        <w:ind w:firstLine="720"/>
        <w:jc w:val="both"/>
        <w:rPr>
          <w:szCs w:val="24"/>
        </w:rPr>
      </w:pPr>
      <w:r>
        <w:t xml:space="preserve">11.  When providing portfolio management </w:t>
      </w:r>
      <w:proofErr w:type="gramStart"/>
      <w:r>
        <w:t>service</w:t>
      </w:r>
      <w:proofErr w:type="gramEnd"/>
      <w:r>
        <w:t xml:space="preserve"> the financial brokerage firm shall not accept and, having received, shall immediately transfer to the client or refund the fees, commissions or any monetary or non-monetary benefits paid or provided by any third party or a person acting on behalf of a third party in relation to the provision of the service to clients. Minor non-monetary benefits that </w:t>
      </w:r>
      <w:proofErr w:type="gramStart"/>
      <w:r>
        <w:t>are capable of enhancing</w:t>
      </w:r>
      <w:proofErr w:type="gramEnd"/>
      <w:r>
        <w:t xml:space="preserve"> the quality of service provided to a client and are of a scale and nature such that they could not be judged to impair compliance with the financial brokerage firm’s duty to act in the best interest of the client shall be clearly disclosed and are excluded from this paragraph.</w:t>
      </w:r>
    </w:p>
    <w:p w14:paraId="431427E3" w14:textId="77777777" w:rsidR="00ED3A7E" w:rsidRPr="000550CF" w:rsidRDefault="00ED3A7E" w:rsidP="00F3494E">
      <w:pPr>
        <w:widowControl w:val="0"/>
        <w:ind w:firstLine="720"/>
        <w:jc w:val="both"/>
        <w:rPr>
          <w:szCs w:val="24"/>
        </w:rPr>
      </w:pPr>
      <w:r>
        <w:t>12. A financial brokerage firm shall be regarded as not fulfilling requirements established in  Article 28 of this Law and as not acting honestly, fairly and professionally on terms most favourable to and in accordance with the best interests of its clients, where the financial brokerage firm pays or is paid any fee or commission, or provide or are provided with any non-monetary benefit in connection with the provision of an investment service or an ancillary service, to or by any party except the client or a person on behalf of the client, other than where the payment or benefit:</w:t>
      </w:r>
    </w:p>
    <w:p w14:paraId="774B15E4" w14:textId="77777777" w:rsidR="00ED3A7E" w:rsidRPr="000550CF" w:rsidRDefault="00ED3A7E" w:rsidP="00F3494E">
      <w:pPr>
        <w:widowControl w:val="0"/>
        <w:ind w:firstLine="720"/>
        <w:jc w:val="both"/>
        <w:rPr>
          <w:szCs w:val="24"/>
        </w:rPr>
      </w:pPr>
      <w:r>
        <w:t>1) is designed to enhance the quality of the relevant service to the client; and</w:t>
      </w:r>
    </w:p>
    <w:p w14:paraId="1693B149" w14:textId="77777777" w:rsidR="00ED3A7E" w:rsidRPr="000550CF" w:rsidRDefault="00ED3A7E" w:rsidP="00F3494E">
      <w:pPr>
        <w:widowControl w:val="0"/>
        <w:ind w:firstLine="720"/>
        <w:jc w:val="both"/>
        <w:rPr>
          <w:szCs w:val="24"/>
        </w:rPr>
      </w:pPr>
      <w:r>
        <w:t xml:space="preserve">2) does not impair compliance with the investment firm’s duty to act honestly, </w:t>
      </w:r>
      <w:proofErr w:type="gramStart"/>
      <w:r>
        <w:t>fairly</w:t>
      </w:r>
      <w:proofErr w:type="gramEnd"/>
      <w:r>
        <w:t xml:space="preserve"> and professionally in accordance with the best interest of its clients.</w:t>
      </w:r>
    </w:p>
    <w:p w14:paraId="3B04EEE6" w14:textId="77777777" w:rsidR="00ED3A7E" w:rsidRPr="000550CF" w:rsidRDefault="00ED3A7E" w:rsidP="00F3494E">
      <w:pPr>
        <w:widowControl w:val="0"/>
        <w:ind w:firstLine="720"/>
        <w:jc w:val="both"/>
        <w:rPr>
          <w:szCs w:val="24"/>
        </w:rPr>
      </w:pPr>
      <w:r>
        <w:t xml:space="preserve">13. The existence, nature and amount of the payment or benefit referred to in paragraph 12 of </w:t>
      </w:r>
      <w:r>
        <w:lastRenderedPageBreak/>
        <w:t>this Article or, where the amount cannot be ascertained, the method of calculating that amount, must be clearly disclosed to the client, in a manner that is comprehensive, accurate and understandable, prior to the provision of the relevant investment or ancillary service. Where applicable, the financial brokerage firm shall inform the client on mechanisms for transferring to the client the fee, commission, monetary or non-monetary benefit received in relation to the provision of the investment services.</w:t>
      </w:r>
    </w:p>
    <w:p w14:paraId="474DBBEE" w14:textId="5CC51CFF" w:rsidR="00ED3A7E" w:rsidRDefault="00ED3A7E" w:rsidP="00F3494E">
      <w:pPr>
        <w:widowControl w:val="0"/>
        <w:ind w:firstLine="720"/>
        <w:jc w:val="both"/>
        <w:rPr>
          <w:szCs w:val="24"/>
        </w:rPr>
      </w:pPr>
      <w:r>
        <w:t xml:space="preserve">14. The payment or benefit which enables or is necessary for the provision of investment services, such as custody costs, settlement and exchange fees, regulatory levies or legal fees, and which by its nature cannot give rise to conflicts with the financial brokerage firm’s duties to act honestly, fairly and professionally in accordance with the best interests of its clients, shall not subject to the provisions of paragraph 12 of this Article. </w:t>
      </w:r>
    </w:p>
    <w:p w14:paraId="0B5DC23C" w14:textId="77777777" w:rsidR="00F91F7F" w:rsidRDefault="00F91F7F" w:rsidP="00F91F7F">
      <w:pPr>
        <w:spacing w:line="360" w:lineRule="atLeast"/>
        <w:ind w:firstLine="720"/>
        <w:jc w:val="both"/>
        <w:rPr>
          <w:color w:val="000000"/>
        </w:rPr>
      </w:pPr>
      <w:r>
        <w:rPr>
          <w:color w:val="000000"/>
        </w:rPr>
        <w:t>14</w:t>
      </w:r>
      <w:r>
        <w:rPr>
          <w:color w:val="000000"/>
          <w:vertAlign w:val="superscript"/>
        </w:rPr>
        <w:t>1</w:t>
      </w:r>
      <w:r>
        <w:rPr>
          <w:color w:val="000000"/>
        </w:rPr>
        <w:t xml:space="preserve">. A research carried out by third parties for a financial brokerage firm that provides clients with portfolio management or other </w:t>
      </w:r>
      <w:proofErr w:type="gramStart"/>
      <w:r>
        <w:rPr>
          <w:color w:val="000000"/>
        </w:rPr>
        <w:t>investment</w:t>
      </w:r>
      <w:proofErr w:type="gramEnd"/>
      <w:r>
        <w:rPr>
          <w:color w:val="000000"/>
        </w:rPr>
        <w:t xml:space="preserve"> or ancillary services shall be regarded as compliance with the requirements set forth in paragraph 12 of this Article, if:</w:t>
      </w:r>
    </w:p>
    <w:p w14:paraId="26F13DEE" w14:textId="77777777" w:rsidR="00F91F7F" w:rsidRPr="00BE49BD" w:rsidRDefault="00F91F7F" w:rsidP="00F91F7F">
      <w:pPr>
        <w:spacing w:line="360" w:lineRule="atLeast"/>
        <w:ind w:firstLine="720"/>
        <w:jc w:val="both"/>
        <w:rPr>
          <w:color w:val="000000"/>
        </w:rPr>
      </w:pPr>
      <w:bookmarkStart w:id="129" w:name="part_a5627a752583475591e314928b84f4cd"/>
      <w:bookmarkEnd w:id="129"/>
      <w:r>
        <w:rPr>
          <w:color w:val="000000"/>
        </w:rPr>
        <w:t>1) before research services are provided, the financial brokerage firm and the research service provider agree as to which part of the total fees or total payment for order execution services and research shall be paid for the research, and</w:t>
      </w:r>
    </w:p>
    <w:p w14:paraId="0FE1ADE7" w14:textId="77777777" w:rsidR="00F91F7F" w:rsidRPr="00BE49BD" w:rsidRDefault="00F91F7F" w:rsidP="00F91F7F">
      <w:pPr>
        <w:spacing w:line="360" w:lineRule="atLeast"/>
        <w:ind w:firstLine="720"/>
        <w:jc w:val="both"/>
        <w:rPr>
          <w:color w:val="000000"/>
        </w:rPr>
      </w:pPr>
      <w:bookmarkStart w:id="130" w:name="part_f7283b9b1b5442189907df3e32edccb7"/>
      <w:bookmarkEnd w:id="130"/>
      <w:r>
        <w:rPr>
          <w:color w:val="000000"/>
        </w:rPr>
        <w:t>2) the financial brokerage firm informs its clients about the total payments made for order execution services and research to third parties providing research services, and</w:t>
      </w:r>
    </w:p>
    <w:p w14:paraId="5FD9339C" w14:textId="77777777" w:rsidR="00F91F7F" w:rsidRPr="00BE49BD" w:rsidRDefault="00F91F7F" w:rsidP="00F91F7F">
      <w:pPr>
        <w:spacing w:line="360" w:lineRule="atLeast"/>
        <w:ind w:firstLine="720"/>
        <w:jc w:val="both"/>
        <w:rPr>
          <w:color w:val="000000"/>
        </w:rPr>
      </w:pPr>
      <w:bookmarkStart w:id="131" w:name="part_b9ce9cfd721d48c8a6cfa7833a2d3d74"/>
      <w:bookmarkEnd w:id="131"/>
      <w:r>
        <w:rPr>
          <w:color w:val="000000"/>
        </w:rPr>
        <w:t>3) the research for which total fees are paid or a total payment is made are related only to those issuers whose market capitalisation over the last 3 calendar years before the day of the research as at the end of the year in which they are or were listed on the stock exchange, or the value of equity capital in those financial years when they are not or were not listed on the stock exchange, was up to €1 billion.</w:t>
      </w:r>
    </w:p>
    <w:p w14:paraId="2A9DC675" w14:textId="77777777" w:rsidR="00F91F7F" w:rsidRDefault="00F91F7F" w:rsidP="00F91F7F">
      <w:pPr>
        <w:rPr>
          <w:color w:val="000000"/>
        </w:rPr>
      </w:pPr>
      <w:r>
        <w:rPr>
          <w:i/>
          <w:iCs/>
          <w:color w:val="000000"/>
          <w:sz w:val="20"/>
        </w:rPr>
        <w:t>Supplemented with the paragraph to the Article:</w:t>
      </w:r>
    </w:p>
    <w:p w14:paraId="21738084" w14:textId="57398D4B" w:rsidR="00F91F7F" w:rsidRDefault="00F91F7F" w:rsidP="00F91F7F">
      <w:pPr>
        <w:jc w:val="both"/>
        <w:rPr>
          <w:color w:val="000000"/>
        </w:rPr>
      </w:pPr>
      <w:r>
        <w:rPr>
          <w:i/>
          <w:iCs/>
          <w:color w:val="000000"/>
          <w:sz w:val="20"/>
        </w:rPr>
        <w:t xml:space="preserve">No </w:t>
      </w:r>
      <w:hyperlink r:id="rId97" w:tgtFrame="_parent" w:history="1">
        <w:r>
          <w:rPr>
            <w:rStyle w:val="Hyperlink"/>
            <w:i/>
            <w:iCs/>
            <w:sz w:val="20"/>
          </w:rPr>
          <w:t>XIV-821</w:t>
        </w:r>
      </w:hyperlink>
      <w:r>
        <w:rPr>
          <w:i/>
          <w:iCs/>
          <w:color w:val="000000"/>
          <w:sz w:val="20"/>
        </w:rPr>
        <w:t>, 23/12/2021, published in the RLA, 30/12/2021, ID code 2021-27710</w:t>
      </w:r>
    </w:p>
    <w:p w14:paraId="6716088B" w14:textId="77777777" w:rsidR="00F91F7F" w:rsidRDefault="00F91F7F" w:rsidP="00F91F7F">
      <w:pPr>
        <w:spacing w:line="360" w:lineRule="atLeast"/>
        <w:ind w:firstLine="720"/>
        <w:jc w:val="both"/>
        <w:rPr>
          <w:color w:val="000000"/>
        </w:rPr>
      </w:pPr>
      <w:bookmarkStart w:id="132" w:name="part_3e2c4227a55f4f67bf23b8f18383c989"/>
      <w:bookmarkEnd w:id="132"/>
      <w:r>
        <w:rPr>
          <w:color w:val="000000"/>
        </w:rPr>
        <w:t>14</w:t>
      </w:r>
      <w:r>
        <w:rPr>
          <w:color w:val="000000"/>
          <w:vertAlign w:val="superscript"/>
        </w:rPr>
        <w:t>2</w:t>
      </w:r>
      <w:r>
        <w:rPr>
          <w:color w:val="000000"/>
        </w:rPr>
        <w:t>. The research referred to in paragraph 14 of this Article shall be understood as research that includes preparation of the research material or provision of services related to one or more financial instruments or other assets or issuers or potential issuers of financial instruments, or that includes preparation of the research material or provision of services closely related to a certain sector or market and helps to form an opinion about the financial instruments, assets or issuers in that sector or market.  Preparation of material or provision of services that directly or indirectly recommend or propose an investment strategy and provide a reasoned opinion about the current or future value or price of financial instruments or assets or otherwise provide analysis and initial insights and lead to conclusions based on new or existing information that could be used when selecting an investment strategy and be relevant, and could also increase the value of decisions made on behalf of the financial brokerage firm’s clients who pay a fee for that research shall also be construed as research.</w:t>
      </w:r>
    </w:p>
    <w:p w14:paraId="53529D01" w14:textId="77777777" w:rsidR="00F91F7F" w:rsidRDefault="00F91F7F" w:rsidP="00F91F7F">
      <w:pPr>
        <w:rPr>
          <w:color w:val="000000"/>
        </w:rPr>
      </w:pPr>
      <w:r>
        <w:rPr>
          <w:i/>
          <w:iCs/>
          <w:color w:val="000000"/>
          <w:sz w:val="20"/>
        </w:rPr>
        <w:t>Supplemented with the paragraph to the Article:</w:t>
      </w:r>
    </w:p>
    <w:p w14:paraId="235E0768" w14:textId="77777777" w:rsidR="00F91F7F" w:rsidRDefault="00F91F7F" w:rsidP="00F91F7F">
      <w:pPr>
        <w:jc w:val="both"/>
        <w:rPr>
          <w:color w:val="000000"/>
        </w:rPr>
      </w:pPr>
      <w:r>
        <w:rPr>
          <w:i/>
          <w:iCs/>
          <w:color w:val="000000"/>
          <w:sz w:val="20"/>
        </w:rPr>
        <w:t xml:space="preserve">No </w:t>
      </w:r>
      <w:hyperlink r:id="rId98" w:tgtFrame="_parent" w:history="1">
        <w:r>
          <w:rPr>
            <w:rStyle w:val="Hyperlink"/>
            <w:i/>
            <w:iCs/>
            <w:sz w:val="20"/>
          </w:rPr>
          <w:t>XIV-821</w:t>
        </w:r>
      </w:hyperlink>
      <w:r>
        <w:rPr>
          <w:i/>
          <w:iCs/>
          <w:color w:val="000000"/>
          <w:sz w:val="20"/>
        </w:rPr>
        <w:t>, 23/12/2021, published in the RLA, 30/12/2021, ID code 2021-27710</w:t>
      </w:r>
    </w:p>
    <w:p w14:paraId="10F64B17" w14:textId="77777777" w:rsidR="00F91F7F" w:rsidRPr="000550CF" w:rsidRDefault="00F91F7F" w:rsidP="00F3494E">
      <w:pPr>
        <w:widowControl w:val="0"/>
        <w:ind w:firstLine="720"/>
        <w:jc w:val="both"/>
        <w:rPr>
          <w:szCs w:val="24"/>
          <w:lang w:eastAsia="lt-LT"/>
        </w:rPr>
      </w:pPr>
    </w:p>
    <w:p w14:paraId="0C2F7327" w14:textId="77777777" w:rsidR="00ED3A7E" w:rsidRPr="000550CF" w:rsidRDefault="00ED3A7E" w:rsidP="00F3494E">
      <w:pPr>
        <w:widowControl w:val="0"/>
        <w:ind w:firstLine="720"/>
        <w:jc w:val="both"/>
        <w:rPr>
          <w:szCs w:val="24"/>
        </w:rPr>
      </w:pPr>
      <w:r>
        <w:t xml:space="preserve">15. A financial brokerage firm shall ensure that it does not remunerate or assess the performance of its staff in a way that conflicts with its duty to act in the best interests of its clients. </w:t>
      </w:r>
      <w:proofErr w:type="gramStart"/>
      <w:r>
        <w:t>In particular, it</w:t>
      </w:r>
      <w:proofErr w:type="gramEnd"/>
      <w:r>
        <w:t xml:space="preserve"> shall not make any arrangement by way of remuneration, sales targets or otherwise that could provide an incentive to its staff to recommend a particular financial instrument to a retail client when the investment firm could offer a different financial instrument which would better meet that client’s needs.</w:t>
      </w:r>
    </w:p>
    <w:p w14:paraId="136162E8" w14:textId="77777777" w:rsidR="00ED3A7E" w:rsidRPr="000550CF" w:rsidRDefault="00ED3A7E" w:rsidP="00F3494E">
      <w:pPr>
        <w:widowControl w:val="0"/>
        <w:ind w:firstLine="720"/>
        <w:jc w:val="both"/>
        <w:rPr>
          <w:szCs w:val="24"/>
        </w:rPr>
      </w:pPr>
      <w:r>
        <w:lastRenderedPageBreak/>
        <w:t xml:space="preserve">16. When an investment service is offered together with another service or product as part of a package or as a condition for the same agreement or package, the financial brokerage firm shall inform the client whether it is possible to buy the different components separately and shall provide for </w:t>
      </w:r>
      <w:proofErr w:type="gramStart"/>
      <w:r>
        <w:t>a separate evidence</w:t>
      </w:r>
      <w:proofErr w:type="gramEnd"/>
      <w:r>
        <w:t xml:space="preserve"> of the costs and charges of each component. </w:t>
      </w:r>
    </w:p>
    <w:p w14:paraId="1A1C198D" w14:textId="77777777" w:rsidR="00ED3A7E" w:rsidRPr="000550CF" w:rsidRDefault="00ED3A7E" w:rsidP="00F3494E">
      <w:pPr>
        <w:ind w:firstLine="720"/>
        <w:jc w:val="both"/>
      </w:pPr>
      <w:r>
        <w:t>17. Where the risks resulting from the agreement or package offered to a retail client under paragraph 16 of this Article are likely to be different from the risks associated with the components taken separately, the financial brokerage firm shall provide an adequate description of the different components of the agreement or package and the way in which its interaction modifies the risks.</w:t>
      </w:r>
    </w:p>
    <w:p w14:paraId="2E031439" w14:textId="77777777" w:rsidR="00F91F7F" w:rsidRDefault="00F91F7F" w:rsidP="00F91F7F">
      <w:pPr>
        <w:spacing w:line="360" w:lineRule="atLeast"/>
        <w:ind w:firstLine="720"/>
        <w:jc w:val="both"/>
        <w:rPr>
          <w:color w:val="000000"/>
        </w:rPr>
      </w:pPr>
      <w:r>
        <w:rPr>
          <w:color w:val="000000"/>
        </w:rPr>
        <w:t xml:space="preserve">18. A financial brokerage firm shall be required to deal with client complaints (requests) related to the provided investment and/or ancillary services (hereinafter referred to as complaints) in accordance with the procedure established by the supervisory authority. A financial brokerage firm must examine the client's written complaint and provide, within 15 business days from the date of receipt of the complaint at the latest, a detailed, well-reasoned, documented reply in writing, on paper or on another durable medium, if the client and the financial brokerage firm have agreed on this.  In exceptional cases, where the financial brokerage firm </w:t>
      </w:r>
      <w:proofErr w:type="gramStart"/>
      <w:r>
        <w:rPr>
          <w:color w:val="000000"/>
        </w:rPr>
        <w:t>cannot  provide</w:t>
      </w:r>
      <w:proofErr w:type="gramEnd"/>
      <w:r>
        <w:rPr>
          <w:color w:val="000000"/>
        </w:rPr>
        <w:t xml:space="preserve"> a reply within 15 business days for reasons beyond the control of the financial brokerage firm, it shall send ta o the client provisional reply clearly stating the reasons for the delay in responding to the client's complaint and the deadline by which the client will receive the final reply. In any case, the deadline for submitting a final reply may not exceed 35 business days from the date of receipt of the complaint. Complaints shall be examined by the financial brokerage firm free of charge.</w:t>
      </w:r>
    </w:p>
    <w:p w14:paraId="472B9BF5" w14:textId="77777777" w:rsidR="00F91F7F" w:rsidRDefault="00F91F7F" w:rsidP="00F91F7F">
      <w:pPr>
        <w:rPr>
          <w:color w:val="000000"/>
        </w:rPr>
      </w:pPr>
      <w:r>
        <w:rPr>
          <w:i/>
          <w:iCs/>
          <w:color w:val="000000"/>
          <w:sz w:val="20"/>
        </w:rPr>
        <w:t>Supplemented with the paragraph to the Article:</w:t>
      </w:r>
    </w:p>
    <w:p w14:paraId="10C9C12B" w14:textId="20603132" w:rsidR="00F91F7F" w:rsidRDefault="00F91F7F" w:rsidP="00F91F7F">
      <w:pPr>
        <w:jc w:val="both"/>
        <w:rPr>
          <w:color w:val="000000"/>
        </w:rPr>
      </w:pPr>
      <w:r>
        <w:rPr>
          <w:i/>
          <w:iCs/>
          <w:color w:val="000000"/>
          <w:sz w:val="20"/>
        </w:rPr>
        <w:t xml:space="preserve">No </w:t>
      </w:r>
      <w:hyperlink r:id="rId99" w:tgtFrame="_parent" w:history="1">
        <w:r>
          <w:rPr>
            <w:rStyle w:val="Hyperlink"/>
            <w:i/>
            <w:iCs/>
            <w:sz w:val="20"/>
          </w:rPr>
          <w:t>XIII-1877</w:t>
        </w:r>
      </w:hyperlink>
      <w:r>
        <w:rPr>
          <w:i/>
          <w:iCs/>
          <w:color w:val="000000"/>
          <w:sz w:val="20"/>
        </w:rPr>
        <w:t>, 20/12/2018, published in the RLA, 08/01/2019, ID code 2019-00227</w:t>
      </w:r>
    </w:p>
    <w:p w14:paraId="27044459" w14:textId="77777777" w:rsidR="00F91F7F" w:rsidRDefault="00F91F7F" w:rsidP="00F91F7F">
      <w:pPr>
        <w:spacing w:line="360" w:lineRule="atLeast"/>
        <w:ind w:firstLine="720"/>
        <w:jc w:val="both"/>
        <w:rPr>
          <w:color w:val="000000"/>
        </w:rPr>
      </w:pPr>
      <w:bookmarkStart w:id="133" w:name="part_2bf1442501b0449eafdb7df8daaded27"/>
      <w:bookmarkEnd w:id="133"/>
      <w:r>
        <w:rPr>
          <w:color w:val="000000"/>
        </w:rPr>
        <w:t xml:space="preserve">19. A financial brokerage company that provides services to professional clients, </w:t>
      </w:r>
      <w:proofErr w:type="gramStart"/>
      <w:r>
        <w:rPr>
          <w:color w:val="000000"/>
        </w:rPr>
        <w:t>with the exception of</w:t>
      </w:r>
      <w:proofErr w:type="gramEnd"/>
      <w:r>
        <w:rPr>
          <w:color w:val="000000"/>
        </w:rPr>
        <w:t xml:space="preserve"> providing investment recommendations and portfolio management, may be exempted from the requirements set forth in sub-paragraph 3 of paragraph 6 of this Article.  A financial brokerage firm may also be exempted from the requirements set forth in Article 30(2</w:t>
      </w:r>
      <w:r>
        <w:rPr>
          <w:color w:val="000000"/>
          <w:vertAlign w:val="superscript"/>
        </w:rPr>
        <w:t>1</w:t>
      </w:r>
      <w:r>
        <w:rPr>
          <w:color w:val="000000"/>
        </w:rPr>
        <w:t>) and paragraphs 1 to 3 of Article 31 of this Law, unless professional clients notify the financial brokerage firm of their wish to exercise the rights provided for in these Articles. The financial brokerage firm shall register such requests from professional clients.</w:t>
      </w:r>
    </w:p>
    <w:p w14:paraId="69BEC6DF" w14:textId="77777777" w:rsidR="00F91F7F" w:rsidRDefault="00F91F7F" w:rsidP="00F91F7F">
      <w:pPr>
        <w:rPr>
          <w:color w:val="000000"/>
        </w:rPr>
      </w:pPr>
      <w:r>
        <w:rPr>
          <w:i/>
          <w:iCs/>
          <w:color w:val="000000"/>
          <w:sz w:val="20"/>
        </w:rPr>
        <w:t>Supplemented with the paragraph to the Article:</w:t>
      </w:r>
    </w:p>
    <w:p w14:paraId="56E05039" w14:textId="77777777" w:rsidR="00F91F7F" w:rsidRDefault="00F91F7F" w:rsidP="00F91F7F">
      <w:pPr>
        <w:jc w:val="both"/>
        <w:rPr>
          <w:color w:val="000000"/>
        </w:rPr>
      </w:pPr>
      <w:r>
        <w:rPr>
          <w:i/>
          <w:iCs/>
          <w:color w:val="000000"/>
          <w:sz w:val="20"/>
        </w:rPr>
        <w:t xml:space="preserve">No </w:t>
      </w:r>
      <w:hyperlink r:id="rId100" w:tgtFrame="_parent" w:history="1">
        <w:r>
          <w:rPr>
            <w:rStyle w:val="Hyperlink"/>
            <w:i/>
            <w:iCs/>
            <w:sz w:val="20"/>
          </w:rPr>
          <w:t>XIV-821</w:t>
        </w:r>
      </w:hyperlink>
      <w:r>
        <w:rPr>
          <w:i/>
          <w:iCs/>
          <w:color w:val="000000"/>
          <w:sz w:val="20"/>
        </w:rPr>
        <w:t>, 23/12/2021, published in the RLA, 30/12/2021, ID code 2021-27710</w:t>
      </w:r>
    </w:p>
    <w:p w14:paraId="430D03B3" w14:textId="254BFE0B" w:rsidR="00ED3A7E" w:rsidRDefault="00ED3A7E" w:rsidP="00F3494E">
      <w:pPr>
        <w:widowControl w:val="0"/>
        <w:ind w:firstLine="720"/>
        <w:jc w:val="both"/>
        <w:rPr>
          <w:szCs w:val="24"/>
          <w:lang w:eastAsia="lt-LT"/>
        </w:rPr>
      </w:pPr>
    </w:p>
    <w:p w14:paraId="4531D279" w14:textId="77777777" w:rsidR="00F91F7F" w:rsidRPr="00F91F7F" w:rsidRDefault="00F91F7F" w:rsidP="00F91F7F">
      <w:pPr>
        <w:spacing w:line="390" w:lineRule="atLeast"/>
        <w:ind w:left="2977" w:hanging="2257"/>
        <w:jc w:val="both"/>
        <w:rPr>
          <w:color w:val="000000"/>
          <w:szCs w:val="24"/>
        </w:rPr>
      </w:pPr>
      <w:r>
        <w:rPr>
          <w:b/>
          <w:bCs/>
          <w:color w:val="000000"/>
          <w:szCs w:val="24"/>
        </w:rPr>
        <w:t>Article 29</w:t>
      </w:r>
      <w:r>
        <w:rPr>
          <w:b/>
          <w:bCs/>
          <w:color w:val="000000"/>
          <w:szCs w:val="24"/>
          <w:vertAlign w:val="superscript"/>
        </w:rPr>
        <w:t>1</w:t>
      </w:r>
      <w:r>
        <w:rPr>
          <w:b/>
          <w:bCs/>
          <w:color w:val="000000"/>
          <w:szCs w:val="24"/>
        </w:rPr>
        <w:t>. Sales of subordinated eligible liabilities to retail clients</w:t>
      </w:r>
    </w:p>
    <w:p w14:paraId="236449EB" w14:textId="77777777" w:rsidR="00F91F7F" w:rsidRPr="00BE49BD" w:rsidRDefault="00F91F7F" w:rsidP="00F91F7F">
      <w:pPr>
        <w:spacing w:line="390" w:lineRule="atLeast"/>
        <w:ind w:firstLine="720"/>
        <w:jc w:val="both"/>
        <w:rPr>
          <w:color w:val="000000"/>
          <w:szCs w:val="24"/>
        </w:rPr>
      </w:pPr>
      <w:bookmarkStart w:id="134" w:name="part_3716e2e040af49838a4aeb4ff4c225a6"/>
      <w:bookmarkEnd w:id="134"/>
      <w:r>
        <w:rPr>
          <w:color w:val="000000"/>
        </w:rPr>
        <w:t>1. A seller – a financial brokerage firm, credit institution, management company that holds a management company license under the Law on Collective Investment Undertakings and/or the Law on Managers of Alternative Collective Investment Undertakings, which authorises the management company to provide investment services, as well as management companies established in other Member States, holding a management company license under the legislation of those States transposing Directive 2009/65/EC of the European Parliament and of the Council of 13 July 2009 on the coordination of laws, regulations and administrative provisions relating to undertakings for collective investment in transferable securities (</w:t>
      </w:r>
      <w:proofErr w:type="spellStart"/>
      <w:r>
        <w:rPr>
          <w:color w:val="000000"/>
        </w:rPr>
        <w:t>UCITS</w:t>
      </w:r>
      <w:proofErr w:type="spellEnd"/>
      <w:r>
        <w:rPr>
          <w:color w:val="000000"/>
        </w:rPr>
        <w:t xml:space="preserve">) (recast), or under Directive 2011/61/EU of the European Parliament and of the Council of 8 June 2011 on Alternative Investment Fund Managers and amending Directives 2003/41/EC and 2009/65/EC and Regulations (EC) No 1060/2009 and (EU) </w:t>
      </w:r>
      <w:r>
        <w:rPr>
          <w:color w:val="000000"/>
        </w:rPr>
        <w:lastRenderedPageBreak/>
        <w:t>No 1095/2010 (as amended), which (the license of the management company) authorises the provision of investment services (hereinafter jointly in this Article – the seller), shall have the right to sell to retail clients the eligible liabilities issued by the institutions specified in Article1(2) of the Law on Financial Sustainability and established in the Republic of Lithuania that are in line with all the provisions of Article 72a, save for sub-paragraph b of paragraph 1 of Article 72a, and with paragraphs 3 to 5 of Article 72b of Regulation (EU) No 575/2013, provided that the seller ensures that, at the time of purchase, the retail client’s initial minimum amount invested in one or more of the liability instruments referred to in this paragraph is not less than €10,000.</w:t>
      </w:r>
    </w:p>
    <w:p w14:paraId="59748DAB" w14:textId="77777777" w:rsidR="00F91F7F" w:rsidRPr="00BE49BD" w:rsidRDefault="00F91F7F" w:rsidP="00F91F7F">
      <w:pPr>
        <w:spacing w:line="390" w:lineRule="atLeast"/>
        <w:ind w:firstLine="720"/>
        <w:jc w:val="both"/>
        <w:rPr>
          <w:color w:val="000000"/>
        </w:rPr>
      </w:pPr>
      <w:bookmarkStart w:id="135" w:name="part_818c51c2888c405d90a430a162b1344f"/>
      <w:bookmarkEnd w:id="135"/>
      <w:r>
        <w:rPr>
          <w:color w:val="000000"/>
        </w:rPr>
        <w:t>2. The seller shall have the right to sell the liabilities specified in paragraph 1 of this Article and issued by the institutions specified in paragraph 2 of Article 1 of the Law on Financial Sustainability and established in other Member States, to retail clients, if the minimum nominal value of such liabilities is not less than €50,000.</w:t>
      </w:r>
    </w:p>
    <w:p w14:paraId="676BB608" w14:textId="77777777" w:rsidR="00F91F7F" w:rsidRPr="00BE49BD" w:rsidRDefault="00F91F7F" w:rsidP="00F91F7F">
      <w:pPr>
        <w:spacing w:line="390" w:lineRule="atLeast"/>
        <w:jc w:val="both"/>
        <w:rPr>
          <w:color w:val="000000"/>
        </w:rPr>
      </w:pPr>
      <w:r>
        <w:rPr>
          <w:b/>
          <w:bCs/>
          <w:i/>
          <w:iCs/>
          <w:color w:val="000000"/>
          <w:sz w:val="20"/>
        </w:rPr>
        <w:t>The wording of Article 3 which enters into force on the next business day after the receipt of the notification by the Bank of Lithuania to the manager of the Register of Legal Acts that banks and central credit unions established in the Republic of Lithuania which are subject to the requirement specified in Article 26 of the Law on Financial Sustainability of the Republic of Lithuania, have assets with the total value exceeding €50 billion:</w:t>
      </w:r>
    </w:p>
    <w:p w14:paraId="28F0F185" w14:textId="77777777" w:rsidR="00F91F7F" w:rsidRPr="00BE49BD" w:rsidRDefault="00F91F7F" w:rsidP="00F91F7F">
      <w:pPr>
        <w:spacing w:line="390" w:lineRule="atLeast"/>
        <w:ind w:left="2977" w:hanging="2257"/>
        <w:jc w:val="both"/>
        <w:rPr>
          <w:b/>
          <w:bCs/>
          <w:color w:val="000000"/>
        </w:rPr>
      </w:pPr>
      <w:bookmarkStart w:id="136" w:name="part_9987e44d6b9a440494176510eb17337e"/>
      <w:bookmarkEnd w:id="136"/>
    </w:p>
    <w:p w14:paraId="2A3333BD" w14:textId="7C0A0F11" w:rsidR="00F91F7F" w:rsidRDefault="00F91F7F" w:rsidP="00F91F7F">
      <w:pPr>
        <w:spacing w:line="390" w:lineRule="atLeast"/>
        <w:ind w:left="2977" w:hanging="2257"/>
        <w:jc w:val="both"/>
        <w:rPr>
          <w:color w:val="000000"/>
        </w:rPr>
      </w:pPr>
      <w:r>
        <w:rPr>
          <w:b/>
          <w:bCs/>
          <w:color w:val="000000"/>
        </w:rPr>
        <w:t>Article 29</w:t>
      </w:r>
      <w:r>
        <w:rPr>
          <w:b/>
          <w:bCs/>
          <w:color w:val="000000"/>
          <w:vertAlign w:val="superscript"/>
        </w:rPr>
        <w:t>1</w:t>
      </w:r>
      <w:r>
        <w:rPr>
          <w:b/>
          <w:bCs/>
          <w:color w:val="000000"/>
        </w:rPr>
        <w:t>. Sales of subordinated eligible liabilities to retail clients</w:t>
      </w:r>
    </w:p>
    <w:p w14:paraId="0954A38B" w14:textId="77777777" w:rsidR="00F91F7F" w:rsidRDefault="00F91F7F" w:rsidP="00F91F7F">
      <w:pPr>
        <w:spacing w:line="390" w:lineRule="atLeast"/>
        <w:ind w:firstLine="720"/>
        <w:jc w:val="both"/>
        <w:rPr>
          <w:color w:val="000000"/>
        </w:rPr>
      </w:pPr>
      <w:bookmarkStart w:id="137" w:name="part_30c0ea259a06483180307ac67c1d870d"/>
      <w:bookmarkEnd w:id="137"/>
      <w:r>
        <w:rPr>
          <w:color w:val="000000"/>
        </w:rPr>
        <w:t>A seller – a financial brokerage firm, credit institution, management company that holds a management company license under the Law on Collective Investment Undertakings and/or the Law on Managers of Alternative Collective Investment Undertakings, which authorises the management company to provide investment services, as well as management companies established in other Member States, holding a management company license under the legislation of those States transposing Directive 2009/65/EC of the European Parliament and of the Council of 13 July 2009 on the coordination of laws, regulations and administrative provisions relating to undertakings for collective investment in transferable securities (</w:t>
      </w:r>
      <w:proofErr w:type="spellStart"/>
      <w:r>
        <w:rPr>
          <w:color w:val="000000"/>
        </w:rPr>
        <w:t>UCITS</w:t>
      </w:r>
      <w:proofErr w:type="spellEnd"/>
      <w:r>
        <w:rPr>
          <w:color w:val="000000"/>
        </w:rPr>
        <w:t>) (recast), or under Directive 2011/61/EU of the European Parliament and of the Council of 8 June 2011 on Alternative Investment Fund Managers and amending Directives 2003/41/EC and 2009/65/EC and Regulations (EC) No 1060/2009 and (EU) No 1095/2010 (as amended), which (the license of the management company) authorises the provision of investment services (hereinafter jointly in this Article – the seller), shall have the right to sell to retail clients the eligible liabilities issued by the institutions specified in Article1(2) of the Law on Financial Sustainability and meeting all the provisions of Article 72a, save for sub-paragraph b of paragraph 1 of Article 72a, and with paragraphs 3 to 5 of Article 72b of Regulation (EU) No 575/2013, provided that the minimum nominal value of such liabilities not less than €50,000.</w:t>
      </w:r>
    </w:p>
    <w:p w14:paraId="0F12C2B9" w14:textId="77777777" w:rsidR="00F91F7F" w:rsidRDefault="00F91F7F" w:rsidP="00F91F7F">
      <w:pPr>
        <w:rPr>
          <w:color w:val="000000"/>
          <w:sz w:val="27"/>
          <w:szCs w:val="27"/>
        </w:rPr>
      </w:pPr>
      <w:r>
        <w:rPr>
          <w:i/>
          <w:iCs/>
          <w:color w:val="000000"/>
          <w:sz w:val="20"/>
        </w:rPr>
        <w:t>Supplemented with an Article:</w:t>
      </w:r>
    </w:p>
    <w:p w14:paraId="5DC4E1A9" w14:textId="77777777" w:rsidR="00F91F7F" w:rsidRDefault="00F91F7F" w:rsidP="00F91F7F">
      <w:pPr>
        <w:jc w:val="both"/>
        <w:rPr>
          <w:color w:val="000000"/>
          <w:sz w:val="27"/>
          <w:szCs w:val="27"/>
        </w:rPr>
      </w:pPr>
      <w:r>
        <w:rPr>
          <w:i/>
          <w:iCs/>
          <w:color w:val="000000"/>
          <w:sz w:val="20"/>
        </w:rPr>
        <w:t xml:space="preserve">No </w:t>
      </w:r>
      <w:hyperlink r:id="rId101" w:tgtFrame="_parent" w:history="1">
        <w:r>
          <w:rPr>
            <w:rStyle w:val="Hyperlink"/>
            <w:i/>
            <w:iCs/>
            <w:sz w:val="20"/>
          </w:rPr>
          <w:t>XIV-767</w:t>
        </w:r>
      </w:hyperlink>
      <w:r>
        <w:rPr>
          <w:i/>
          <w:iCs/>
          <w:color w:val="000000"/>
          <w:sz w:val="20"/>
        </w:rPr>
        <w:t>, 14/12/2021, published in the RLA, 23/12/2021, ID code 2021-26896</w:t>
      </w:r>
    </w:p>
    <w:p w14:paraId="6F5DAC48" w14:textId="77777777" w:rsidR="00F91F7F" w:rsidRPr="000550CF" w:rsidRDefault="00F91F7F" w:rsidP="00F3494E">
      <w:pPr>
        <w:widowControl w:val="0"/>
        <w:ind w:firstLine="720"/>
        <w:jc w:val="both"/>
        <w:rPr>
          <w:szCs w:val="24"/>
          <w:lang w:eastAsia="lt-LT"/>
        </w:rPr>
      </w:pPr>
    </w:p>
    <w:p w14:paraId="6553BCD2" w14:textId="77777777" w:rsidR="00ED3A7E" w:rsidRPr="000550CF" w:rsidRDefault="00ED3A7E" w:rsidP="00F3494E">
      <w:pPr>
        <w:widowControl w:val="0"/>
        <w:ind w:firstLine="720"/>
        <w:rPr>
          <w:b/>
          <w:szCs w:val="24"/>
        </w:rPr>
      </w:pPr>
      <w:r>
        <w:rPr>
          <w:b/>
          <w:szCs w:val="24"/>
        </w:rPr>
        <w:t xml:space="preserve">Article 30. </w:t>
      </w:r>
      <w:r>
        <w:rPr>
          <w:b/>
        </w:rPr>
        <w:t>Assessment of suitability and appropriateness</w:t>
      </w:r>
      <w:r>
        <w:rPr>
          <w:b/>
          <w:szCs w:val="24"/>
        </w:rPr>
        <w:t xml:space="preserve"> </w:t>
      </w:r>
    </w:p>
    <w:p w14:paraId="587FB97A" w14:textId="77777777" w:rsidR="00ED3A7E" w:rsidRPr="000550CF" w:rsidRDefault="00ED3A7E" w:rsidP="00F3494E">
      <w:pPr>
        <w:widowControl w:val="0"/>
        <w:ind w:firstLine="720"/>
        <w:jc w:val="both"/>
        <w:rPr>
          <w:szCs w:val="24"/>
        </w:rPr>
      </w:pPr>
      <w:r>
        <w:t xml:space="preserve">1. Prior to the provision to the client of investment services which include investment advice </w:t>
      </w:r>
      <w:r>
        <w:lastRenderedPageBreak/>
        <w:t>and/or financial instruments portfolio management, the financial brokerage firm shall obtain the necessary information regarding a client’s or a potential client’s:</w:t>
      </w:r>
    </w:p>
    <w:p w14:paraId="36FB5A75" w14:textId="77777777" w:rsidR="00ED3A7E" w:rsidRPr="000550CF" w:rsidRDefault="00ED3A7E" w:rsidP="00F3494E">
      <w:pPr>
        <w:widowControl w:val="0"/>
        <w:ind w:firstLine="720"/>
        <w:jc w:val="both"/>
        <w:rPr>
          <w:szCs w:val="24"/>
        </w:rPr>
      </w:pPr>
      <w:r>
        <w:t xml:space="preserve">1) knowledge and experience in the investment field relevant to the specific type of product or </w:t>
      </w:r>
      <w:proofErr w:type="gramStart"/>
      <w:r>
        <w:t>service;</w:t>
      </w:r>
      <w:proofErr w:type="gramEnd"/>
    </w:p>
    <w:p w14:paraId="63CA0BE0" w14:textId="77777777" w:rsidR="00ED3A7E" w:rsidRPr="000550CF" w:rsidRDefault="00ED3A7E" w:rsidP="00F3494E">
      <w:pPr>
        <w:widowControl w:val="0"/>
        <w:ind w:firstLine="720"/>
        <w:jc w:val="both"/>
        <w:rPr>
          <w:szCs w:val="24"/>
        </w:rPr>
      </w:pPr>
      <w:r>
        <w:t xml:space="preserve">2 the person’s financial situation including his ability to bear </w:t>
      </w:r>
      <w:proofErr w:type="gramStart"/>
      <w:r>
        <w:t>losses;</w:t>
      </w:r>
      <w:proofErr w:type="gramEnd"/>
    </w:p>
    <w:p w14:paraId="59367441" w14:textId="77777777" w:rsidR="00ED3A7E" w:rsidRPr="000550CF" w:rsidRDefault="00ED3A7E" w:rsidP="00F3494E">
      <w:pPr>
        <w:ind w:firstLine="720"/>
        <w:jc w:val="both"/>
      </w:pPr>
      <w:r>
        <w:t>3) the person’s investment objectives including his risk tolerance.</w:t>
      </w:r>
    </w:p>
    <w:p w14:paraId="1916C053" w14:textId="628A6BE6" w:rsidR="00ED3A7E" w:rsidRDefault="00ED3A7E" w:rsidP="00F3494E">
      <w:pPr>
        <w:widowControl w:val="0"/>
        <w:ind w:firstLine="720"/>
        <w:jc w:val="both"/>
        <w:rPr>
          <w:szCs w:val="24"/>
        </w:rPr>
      </w:pPr>
      <w:r>
        <w:t>2. When a financial brokerage firm collects and assesses the information referred to in paragraph 1 of this Article, the financial brokerage firm shall recommend to the client or potential client the investment services and financial instruments that are suitable for him and</w:t>
      </w:r>
      <w:proofErr w:type="gramStart"/>
      <w:r>
        <w:t>, in particular, are</w:t>
      </w:r>
      <w:proofErr w:type="gramEnd"/>
      <w:r>
        <w:t xml:space="preserve"> in accordance with his risk tolerance and ability to bear losses.</w:t>
      </w:r>
    </w:p>
    <w:p w14:paraId="17102F26" w14:textId="77777777" w:rsidR="00E25879" w:rsidRPr="00E25879" w:rsidRDefault="00E25879" w:rsidP="00E25879">
      <w:pPr>
        <w:spacing w:line="360" w:lineRule="atLeast"/>
        <w:ind w:firstLine="720"/>
        <w:jc w:val="both"/>
        <w:rPr>
          <w:color w:val="000000"/>
          <w:szCs w:val="24"/>
        </w:rPr>
      </w:pPr>
      <w:r>
        <w:rPr>
          <w:color w:val="000000"/>
          <w:szCs w:val="24"/>
        </w:rPr>
        <w:t>2</w:t>
      </w:r>
      <w:r>
        <w:rPr>
          <w:color w:val="000000"/>
          <w:szCs w:val="24"/>
          <w:vertAlign w:val="superscript"/>
        </w:rPr>
        <w:t>1</w:t>
      </w:r>
      <w:r>
        <w:rPr>
          <w:color w:val="000000"/>
          <w:szCs w:val="24"/>
        </w:rPr>
        <w:t>. When providing investment recommendations or portfolio management services which include the replacement of one financial instrument with another, a financial brokerage firm shall be required to collect information about the client’s investments and analyse the costs and benefits of replacing financial instruments with others.  When providing investment recommendations, financial brokerage firms must inform the client whether the benefits of replacement of one financial instrument with another outweigh the costs.</w:t>
      </w:r>
    </w:p>
    <w:p w14:paraId="62ED907B" w14:textId="77777777" w:rsidR="00E25879" w:rsidRDefault="00E25879" w:rsidP="00E25879">
      <w:pPr>
        <w:rPr>
          <w:color w:val="000000"/>
          <w:sz w:val="27"/>
          <w:szCs w:val="27"/>
        </w:rPr>
      </w:pPr>
      <w:r>
        <w:rPr>
          <w:i/>
          <w:iCs/>
          <w:color w:val="000000"/>
          <w:sz w:val="20"/>
        </w:rPr>
        <w:t>Supplemented with the paragraph to the Article:</w:t>
      </w:r>
    </w:p>
    <w:p w14:paraId="4ECCAA0E" w14:textId="77777777" w:rsidR="00E25879" w:rsidRDefault="00E25879" w:rsidP="00E25879">
      <w:pPr>
        <w:jc w:val="both"/>
        <w:rPr>
          <w:color w:val="000000"/>
          <w:sz w:val="27"/>
          <w:szCs w:val="27"/>
        </w:rPr>
      </w:pPr>
      <w:r>
        <w:rPr>
          <w:i/>
          <w:iCs/>
          <w:color w:val="000000"/>
          <w:sz w:val="20"/>
        </w:rPr>
        <w:t xml:space="preserve">No </w:t>
      </w:r>
      <w:hyperlink r:id="rId102" w:tgtFrame="_parent" w:history="1">
        <w:r>
          <w:rPr>
            <w:rStyle w:val="Hyperlink"/>
            <w:i/>
            <w:iCs/>
            <w:sz w:val="20"/>
          </w:rPr>
          <w:t>XIV-821</w:t>
        </w:r>
      </w:hyperlink>
      <w:r>
        <w:rPr>
          <w:i/>
          <w:iCs/>
          <w:color w:val="000000"/>
          <w:sz w:val="20"/>
        </w:rPr>
        <w:t>, 23/12/2021, published in the RLA, 30/12/2021, ID code 2021-27710</w:t>
      </w:r>
    </w:p>
    <w:p w14:paraId="735A4F1D" w14:textId="77777777" w:rsidR="00E25879" w:rsidRPr="000550CF" w:rsidRDefault="00E25879" w:rsidP="00F3494E">
      <w:pPr>
        <w:widowControl w:val="0"/>
        <w:ind w:firstLine="720"/>
        <w:jc w:val="both"/>
        <w:rPr>
          <w:szCs w:val="24"/>
          <w:lang w:eastAsia="lt-LT"/>
        </w:rPr>
      </w:pPr>
    </w:p>
    <w:p w14:paraId="18DCFA69" w14:textId="77777777" w:rsidR="00ED3A7E" w:rsidRPr="000550CF" w:rsidRDefault="00ED3A7E" w:rsidP="00F3494E">
      <w:pPr>
        <w:widowControl w:val="0"/>
        <w:ind w:firstLine="720"/>
        <w:jc w:val="both"/>
        <w:rPr>
          <w:szCs w:val="24"/>
        </w:rPr>
      </w:pPr>
      <w:r>
        <w:t>3. Prior to the provision to the client of investment services other than those referred to in paragraphs 1 and 6 of this Article, a financial brokerage firm shall ask the client or potential client to provide information regarding that person’s knowledge and experience in the investment field relevant to the specific type of investment services and financial instruments offered by the financial brokerage firm or demanded the client or potential client. Taking account of the received information, the financial brokerage firm shall assess whether the particular investment services and financial instruments are appropriate for the client. Where a bundle of investment services or products is envisaged pursuant to Article 29(16) and (17) of this Law, the assessment shall consider whether the overall bundled package is appropriate for the client.</w:t>
      </w:r>
    </w:p>
    <w:p w14:paraId="707F41D8" w14:textId="77777777" w:rsidR="00ED3A7E" w:rsidRPr="000550CF" w:rsidRDefault="00ED3A7E" w:rsidP="00F3494E">
      <w:pPr>
        <w:widowControl w:val="0"/>
        <w:ind w:firstLine="720"/>
        <w:jc w:val="both"/>
        <w:rPr>
          <w:szCs w:val="24"/>
        </w:rPr>
      </w:pPr>
      <w:r>
        <w:t xml:space="preserve">4. Where a financial brokerage firm considers, </w:t>
      </w:r>
      <w:proofErr w:type="gramStart"/>
      <w:r>
        <w:t>on the basis of</w:t>
      </w:r>
      <w:proofErr w:type="gramEnd"/>
      <w:r>
        <w:t xml:space="preserve"> the information received under paragraph 3 of this Article, that the investment service or financial instrument is not appropriate to a client or to a potential client, the financial brokerage firm shall warn about that the client or the potential client. That warning may be provided in a standardised format.</w:t>
      </w:r>
    </w:p>
    <w:p w14:paraId="5D0DE20B" w14:textId="77777777" w:rsidR="00ED3A7E" w:rsidRPr="000550CF" w:rsidRDefault="00ED3A7E" w:rsidP="00F3494E">
      <w:pPr>
        <w:widowControl w:val="0"/>
        <w:ind w:firstLine="720"/>
        <w:jc w:val="both"/>
        <w:rPr>
          <w:szCs w:val="24"/>
        </w:rPr>
      </w:pPr>
      <w:r>
        <w:t>5. Where a client or potential client refuses to provide the information referred to under paragraph 3 of this Article, or provides insufficient information regarding their knowledge and experience, the financial brokerage firm shall warn the client or potential client that due to the client’s or the potential client’s refusal to provide the information or due to the provision of insufficient information the financial brokerage firm is not in a position to determine whether the particular investment services and financial instruments are appropriate for the client. That warning may be provided in a standardised format.</w:t>
      </w:r>
    </w:p>
    <w:p w14:paraId="78A5B375" w14:textId="77777777" w:rsidR="00ED3A7E" w:rsidRPr="000550CF" w:rsidRDefault="00ED3A7E" w:rsidP="00F3494E">
      <w:pPr>
        <w:widowControl w:val="0"/>
        <w:ind w:firstLine="720"/>
        <w:jc w:val="both"/>
        <w:rPr>
          <w:szCs w:val="24"/>
        </w:rPr>
      </w:pPr>
      <w:r>
        <w:t xml:space="preserve">6. A financial brokerage firm, when providing investment services that only consist of execution of orders on behalf of clients and/or reception and transmission of client orders with or without ancillary services, shall have the right to provide those services without the need to obtain the information about the client’s investment knowledge and experience and without the need to assess whether the particular investment services and financial instruments are appropriate for the client, where all conditions specified in paragraphs 7 and 8 of this Article are met. The financial brokerage shall not have such a right when the provision of investment services referred to in this paragraph consists of the granting to the client of a credit or loan as specified in Article 3(45)(2) of this Law, excluding arrangements on the previously </w:t>
      </w:r>
      <w:proofErr w:type="gramStart"/>
      <w:r>
        <w:t>granted  credit</w:t>
      </w:r>
      <w:proofErr w:type="gramEnd"/>
      <w:r>
        <w:t xml:space="preserve"> limits of loans, current accounts and overdraft facilities.</w:t>
      </w:r>
    </w:p>
    <w:p w14:paraId="07E28C30" w14:textId="77777777" w:rsidR="00ED3A7E" w:rsidRPr="000550CF" w:rsidRDefault="00ED3A7E" w:rsidP="00F3494E">
      <w:pPr>
        <w:ind w:firstLine="720"/>
        <w:jc w:val="both"/>
      </w:pPr>
      <w:r>
        <w:t>7. In accordance with the procedure set forth in paragraph 6 of this Article, the investment services may relate to any of the following financial instruments:</w:t>
      </w:r>
    </w:p>
    <w:p w14:paraId="1928CA82" w14:textId="77777777" w:rsidR="00ED3A7E" w:rsidRPr="000550CF" w:rsidRDefault="00ED3A7E" w:rsidP="00F3494E">
      <w:pPr>
        <w:widowControl w:val="0"/>
        <w:ind w:firstLine="720"/>
        <w:jc w:val="both"/>
        <w:rPr>
          <w:szCs w:val="24"/>
        </w:rPr>
      </w:pPr>
      <w:r>
        <w:lastRenderedPageBreak/>
        <w:t>1) shares admitted to trading on a regulated market or on an equivalent third-country market or on an MTF, where those are shares in companies, and excluding shares in non-</w:t>
      </w:r>
      <w:proofErr w:type="spellStart"/>
      <w:r>
        <w:t>UCITS</w:t>
      </w:r>
      <w:proofErr w:type="spellEnd"/>
      <w:r>
        <w:t xml:space="preserve"> collective investment undertakings and shares that embed a derivative. The supervisory authority shall apply to the European Commission requesting to assess whether a third-country market shall be considered to be equivalent to a regulated market and shall provide the information necessary for such </w:t>
      </w:r>
      <w:proofErr w:type="gramStart"/>
      <w:r>
        <w:t>assessment;</w:t>
      </w:r>
      <w:proofErr w:type="gramEnd"/>
      <w:r>
        <w:t xml:space="preserve"> </w:t>
      </w:r>
    </w:p>
    <w:p w14:paraId="4CED9220" w14:textId="77777777" w:rsidR="00ED3A7E" w:rsidRPr="000550CF" w:rsidRDefault="00ED3A7E" w:rsidP="00F3494E">
      <w:pPr>
        <w:widowControl w:val="0"/>
        <w:ind w:firstLine="720"/>
        <w:jc w:val="both"/>
        <w:rPr>
          <w:szCs w:val="24"/>
        </w:rPr>
      </w:pPr>
      <w:r>
        <w:t xml:space="preserve">2) bonds or other forms of securitised debt admitted to trading on a regulated market or on an equivalent third country market or on an MTF, excluding those that embed a derivative or incorporate a structure which makes it difficult for the client to understand the risk involved. A third-country market shall be considered to be equivalent to a regulated market if it meets the requirements similar to those laid down under the Law on </w:t>
      </w:r>
      <w:proofErr w:type="gramStart"/>
      <w:r>
        <w:t>Securities;</w:t>
      </w:r>
      <w:proofErr w:type="gramEnd"/>
    </w:p>
    <w:p w14:paraId="510BB89B" w14:textId="77777777" w:rsidR="00ED3A7E" w:rsidRPr="000550CF" w:rsidRDefault="00ED3A7E" w:rsidP="00F3494E">
      <w:pPr>
        <w:widowControl w:val="0"/>
        <w:ind w:firstLine="720"/>
        <w:jc w:val="both"/>
        <w:rPr>
          <w:szCs w:val="24"/>
        </w:rPr>
      </w:pPr>
      <w:r>
        <w:t xml:space="preserve">3) money-market instruments, excluding those that embed a derivative or incorporate a structure which makes it difficult for the client to understand the risk </w:t>
      </w:r>
      <w:proofErr w:type="gramStart"/>
      <w:r>
        <w:t>involved;</w:t>
      </w:r>
      <w:proofErr w:type="gramEnd"/>
    </w:p>
    <w:p w14:paraId="2E8A4FE2" w14:textId="2FD72A9F" w:rsidR="00E25879" w:rsidRPr="00E25879" w:rsidRDefault="00ED3A7E" w:rsidP="00E25879">
      <w:pPr>
        <w:spacing w:line="400" w:lineRule="atLeast"/>
        <w:ind w:firstLine="720"/>
        <w:jc w:val="both"/>
        <w:rPr>
          <w:color w:val="000000"/>
          <w:szCs w:val="24"/>
        </w:rPr>
      </w:pPr>
      <w:r>
        <w:t xml:space="preserve">4) shares or units in </w:t>
      </w:r>
      <w:proofErr w:type="spellStart"/>
      <w:r>
        <w:t>UCITS</w:t>
      </w:r>
      <w:proofErr w:type="spellEnd"/>
      <w:r>
        <w:t xml:space="preserve">, excluding structured </w:t>
      </w:r>
      <w:proofErr w:type="spellStart"/>
      <w:r>
        <w:t>UCITS</w:t>
      </w:r>
      <w:proofErr w:type="spellEnd"/>
      <w:r>
        <w:t xml:space="preserve"> as referred to in the second sub-paragraph of Article 36(1) of Regulation (EU) No 583/2010 of the European Parliament and of the Council of 1 July 2010 implementing Directive 2009/65/EC of the European Parliament and of the Council as regards key investor information and conditions to be met when providing key investor information or the prospectus in a durable medium other than paper or by means of a website;</w:t>
      </w:r>
    </w:p>
    <w:p w14:paraId="0B274F12" w14:textId="77777777" w:rsidR="00E25879" w:rsidRDefault="00E25879" w:rsidP="00E25879">
      <w:pPr>
        <w:rPr>
          <w:color w:val="000000"/>
          <w:sz w:val="27"/>
          <w:szCs w:val="27"/>
        </w:rPr>
      </w:pPr>
      <w:r>
        <w:rPr>
          <w:i/>
          <w:iCs/>
          <w:color w:val="000000"/>
          <w:sz w:val="20"/>
        </w:rPr>
        <w:t>Amendments to the paragraph of the Article:</w:t>
      </w:r>
    </w:p>
    <w:p w14:paraId="723891C4" w14:textId="63DC53FA" w:rsidR="00E25879" w:rsidRDefault="00E25879" w:rsidP="00E25879">
      <w:pPr>
        <w:jc w:val="both"/>
        <w:rPr>
          <w:color w:val="000000"/>
          <w:sz w:val="27"/>
          <w:szCs w:val="27"/>
        </w:rPr>
      </w:pPr>
      <w:r>
        <w:rPr>
          <w:i/>
          <w:iCs/>
          <w:color w:val="000000"/>
          <w:sz w:val="20"/>
        </w:rPr>
        <w:t xml:space="preserve">No </w:t>
      </w:r>
      <w:hyperlink r:id="rId103" w:tgtFrame="_parent" w:history="1">
        <w:r>
          <w:rPr>
            <w:rStyle w:val="Hyperlink"/>
            <w:i/>
            <w:iCs/>
            <w:sz w:val="20"/>
          </w:rPr>
          <w:t>XIII-2974</w:t>
        </w:r>
      </w:hyperlink>
      <w:r>
        <w:rPr>
          <w:i/>
          <w:iCs/>
          <w:color w:val="000000"/>
          <w:sz w:val="20"/>
        </w:rPr>
        <w:t>, 21/05/2020, published in the RLA, 29/05/2020, ID code 2020-11674</w:t>
      </w:r>
    </w:p>
    <w:p w14:paraId="49B5EA20" w14:textId="7F3D0EF3" w:rsidR="00ED3A7E" w:rsidRPr="000550CF" w:rsidRDefault="00ED3A7E" w:rsidP="00F3494E">
      <w:pPr>
        <w:widowControl w:val="0"/>
        <w:ind w:firstLine="720"/>
        <w:jc w:val="both"/>
        <w:rPr>
          <w:szCs w:val="24"/>
          <w:lang w:eastAsia="lt-LT"/>
        </w:rPr>
      </w:pPr>
    </w:p>
    <w:p w14:paraId="62E3A2F7" w14:textId="77777777" w:rsidR="00ED3A7E" w:rsidRPr="000550CF" w:rsidRDefault="00ED3A7E" w:rsidP="00F3494E">
      <w:pPr>
        <w:ind w:firstLine="720"/>
        <w:jc w:val="both"/>
      </w:pPr>
      <w:r>
        <w:t xml:space="preserve">5) structured deposits, excluding those that incorporate a structure which makes it difficult for the client to understand the risk of return or the cost of exiting the financial product before </w:t>
      </w:r>
      <w:proofErr w:type="gramStart"/>
      <w:r>
        <w:t>term;</w:t>
      </w:r>
      <w:proofErr w:type="gramEnd"/>
    </w:p>
    <w:p w14:paraId="51EFD9A9" w14:textId="77777777" w:rsidR="00ED3A7E" w:rsidRPr="000550CF" w:rsidRDefault="00ED3A7E" w:rsidP="00F3494E">
      <w:pPr>
        <w:widowControl w:val="0"/>
        <w:ind w:firstLine="720"/>
        <w:jc w:val="both"/>
        <w:rPr>
          <w:szCs w:val="24"/>
        </w:rPr>
      </w:pPr>
      <w:r>
        <w:t>6) other non-complex financial instruments for the purpose of this paragraph.</w:t>
      </w:r>
    </w:p>
    <w:p w14:paraId="797E12DD" w14:textId="77777777" w:rsidR="00ED3A7E" w:rsidRPr="000550CF" w:rsidRDefault="00ED3A7E" w:rsidP="00F3494E">
      <w:pPr>
        <w:widowControl w:val="0"/>
        <w:ind w:firstLine="720"/>
        <w:jc w:val="both"/>
        <w:rPr>
          <w:szCs w:val="24"/>
        </w:rPr>
      </w:pPr>
      <w:r>
        <w:t xml:space="preserve">8. Investment services may be provided in accordance with the procedure set forth in paragraph 6 of this Article where the following additional conditions are met: </w:t>
      </w:r>
    </w:p>
    <w:p w14:paraId="74A6ACC1" w14:textId="77777777" w:rsidR="00ED3A7E" w:rsidRPr="000550CF" w:rsidRDefault="00ED3A7E" w:rsidP="00F3494E">
      <w:pPr>
        <w:widowControl w:val="0"/>
        <w:ind w:firstLine="720"/>
        <w:jc w:val="both"/>
        <w:rPr>
          <w:szCs w:val="24"/>
        </w:rPr>
      </w:pPr>
      <w:r>
        <w:t xml:space="preserve">1) the investment service is provided at the initiative of the client or of the potential </w:t>
      </w:r>
      <w:proofErr w:type="gramStart"/>
      <w:r>
        <w:t>client;</w:t>
      </w:r>
      <w:proofErr w:type="gramEnd"/>
    </w:p>
    <w:p w14:paraId="393E6DB6" w14:textId="77777777" w:rsidR="00ED3A7E" w:rsidRPr="000550CF" w:rsidRDefault="00ED3A7E" w:rsidP="00F3494E">
      <w:pPr>
        <w:widowControl w:val="0"/>
        <w:ind w:firstLine="720"/>
        <w:jc w:val="both"/>
        <w:rPr>
          <w:szCs w:val="24"/>
        </w:rPr>
      </w:pPr>
      <w:r>
        <w:t xml:space="preserve">2) the client or the potential client has been clearly informed that in the provision of that service the financial brokerage firm is not required to assess the appropriateness of the financial instruments or investment services provided or offered and that therefore he does not benefit from the corresponding protection of the client interests established under this Law which applies to the provision of investment services. Such a warning may be provided in a standardised </w:t>
      </w:r>
      <w:proofErr w:type="gramStart"/>
      <w:r>
        <w:t>format;</w:t>
      </w:r>
      <w:proofErr w:type="gramEnd"/>
    </w:p>
    <w:p w14:paraId="2B03B3DD" w14:textId="77777777" w:rsidR="00ED3A7E" w:rsidRPr="000550CF" w:rsidRDefault="00ED3A7E" w:rsidP="00F3494E">
      <w:pPr>
        <w:widowControl w:val="0"/>
        <w:ind w:firstLine="720"/>
        <w:jc w:val="both"/>
        <w:rPr>
          <w:szCs w:val="24"/>
        </w:rPr>
      </w:pPr>
      <w:r>
        <w:t>3) the financial brokerage firm complies with the requirements to avoid conflicts of interests under Article 28 of this Law.</w:t>
      </w:r>
    </w:p>
    <w:p w14:paraId="4817E978" w14:textId="77777777" w:rsidR="00ED3A7E" w:rsidRPr="000550CF" w:rsidRDefault="00ED3A7E" w:rsidP="00F3494E">
      <w:pPr>
        <w:widowControl w:val="0"/>
        <w:ind w:firstLine="720"/>
        <w:jc w:val="both"/>
        <w:rPr>
          <w:szCs w:val="24"/>
        </w:rPr>
      </w:pPr>
      <w:r>
        <w:t>9. A financial brokerage firm must store the documents that set out contractual obligations of the financial brokerage firm and the client and their mutual rights and duties as well as the other terms for the provision of investment services. Mutual rights and duties of the parties may be incorporated by reference to other documents or legal texts.</w:t>
      </w:r>
    </w:p>
    <w:p w14:paraId="586485AC" w14:textId="77777777" w:rsidR="00ED3A7E" w:rsidRPr="000550CF" w:rsidRDefault="00ED3A7E" w:rsidP="00F3494E">
      <w:pPr>
        <w:widowControl w:val="0"/>
        <w:ind w:firstLine="720"/>
        <w:jc w:val="both"/>
        <w:rPr>
          <w:szCs w:val="24"/>
          <w:lang w:eastAsia="lt-LT"/>
        </w:rPr>
      </w:pPr>
    </w:p>
    <w:p w14:paraId="2368F299" w14:textId="77777777" w:rsidR="00ED3A7E" w:rsidRPr="000550CF" w:rsidRDefault="00ED3A7E" w:rsidP="00F3494E">
      <w:pPr>
        <w:widowControl w:val="0"/>
        <w:ind w:firstLine="720"/>
        <w:jc w:val="both"/>
        <w:rPr>
          <w:szCs w:val="24"/>
        </w:rPr>
      </w:pPr>
      <w:r>
        <w:rPr>
          <w:b/>
          <w:szCs w:val="24"/>
        </w:rPr>
        <w:t>Article 31. Provision of reports to clients</w:t>
      </w:r>
    </w:p>
    <w:p w14:paraId="47D805CB" w14:textId="320B3662" w:rsidR="00F35A56" w:rsidRPr="00F35A56" w:rsidRDefault="00ED3A7E" w:rsidP="00F35A56">
      <w:pPr>
        <w:spacing w:line="360" w:lineRule="atLeast"/>
        <w:ind w:firstLine="720"/>
        <w:jc w:val="both"/>
        <w:rPr>
          <w:color w:val="000000"/>
          <w:szCs w:val="24"/>
        </w:rPr>
      </w:pPr>
      <w:r>
        <w:t xml:space="preserve">1.  </w:t>
      </w:r>
      <w:r>
        <w:rPr>
          <w:color w:val="000000"/>
          <w:szCs w:val="24"/>
        </w:rPr>
        <w:t>A financial brokerage firm shall provide the client with adequate reports on the service provided in a durable medium.  Those reports shall include periodic communications to clients, taking into account the type and the complexity of financial instruments involved and the nature of the service provided to the client. The reports shall furthermore contain information about the costs associated with the transactions and services to the client, as well as information referred to in Articles 5, 6 and 7 of Regulation (EU) 2019/2088 and Regulation (EU) 2020/852.</w:t>
      </w:r>
    </w:p>
    <w:p w14:paraId="45631B28" w14:textId="77777777" w:rsidR="00F35A56" w:rsidRDefault="00F35A56" w:rsidP="00F35A56">
      <w:pPr>
        <w:rPr>
          <w:color w:val="000000"/>
          <w:sz w:val="27"/>
          <w:szCs w:val="27"/>
        </w:rPr>
      </w:pPr>
      <w:r>
        <w:rPr>
          <w:i/>
          <w:iCs/>
          <w:color w:val="000000"/>
          <w:sz w:val="20"/>
        </w:rPr>
        <w:t>Amendments to the paragraph of the Article:</w:t>
      </w:r>
    </w:p>
    <w:p w14:paraId="0615A247" w14:textId="77777777" w:rsidR="00F35A56" w:rsidRDefault="00F35A56" w:rsidP="00F35A56">
      <w:pPr>
        <w:jc w:val="both"/>
        <w:rPr>
          <w:color w:val="000000"/>
          <w:sz w:val="27"/>
          <w:szCs w:val="27"/>
        </w:rPr>
      </w:pPr>
      <w:r>
        <w:rPr>
          <w:i/>
          <w:iCs/>
          <w:color w:val="000000"/>
          <w:sz w:val="20"/>
        </w:rPr>
        <w:t xml:space="preserve">No </w:t>
      </w:r>
      <w:hyperlink r:id="rId104" w:tgtFrame="_parent" w:history="1">
        <w:r>
          <w:rPr>
            <w:rStyle w:val="Hyperlink"/>
            <w:i/>
            <w:iCs/>
            <w:sz w:val="20"/>
          </w:rPr>
          <w:t>XIV-821</w:t>
        </w:r>
      </w:hyperlink>
      <w:r>
        <w:rPr>
          <w:i/>
          <w:iCs/>
          <w:color w:val="000000"/>
          <w:sz w:val="20"/>
        </w:rPr>
        <w:t>, 23/12/2021, published in the RLA, 30/12/2021, ID code 2021-27710</w:t>
      </w:r>
    </w:p>
    <w:p w14:paraId="0C2FACA1" w14:textId="06FF41FB" w:rsidR="00ED3A7E" w:rsidRPr="000550CF" w:rsidRDefault="00ED3A7E" w:rsidP="00F3494E">
      <w:pPr>
        <w:widowControl w:val="0"/>
        <w:ind w:firstLine="720"/>
        <w:jc w:val="both"/>
        <w:rPr>
          <w:szCs w:val="24"/>
          <w:lang w:eastAsia="lt-LT"/>
        </w:rPr>
      </w:pPr>
    </w:p>
    <w:p w14:paraId="1BFE5630" w14:textId="77777777" w:rsidR="00ED3A7E" w:rsidRPr="000550CF" w:rsidRDefault="00ED3A7E" w:rsidP="00F3494E">
      <w:pPr>
        <w:ind w:firstLine="720"/>
        <w:jc w:val="both"/>
      </w:pPr>
      <w:r>
        <w:lastRenderedPageBreak/>
        <w:t>2. When providing investment advice, the financial brokerage firm shall, before the transaction is made, provide the client with a statement on suitability in a durable medium specifying the advice given and how that advice meets the preferences, objectives and other characteristics of the retail client. Where the agreement to buy or sell a financial instrument is concluded using a means of distance communication which prevents the prior delivery of the suitability statement, the financial brokerage firm may provide the written statement on suitability in a durable medium immediately after the client is bound by any agreement, provided both the following conditions are met:</w:t>
      </w:r>
    </w:p>
    <w:p w14:paraId="073D1DAC" w14:textId="77777777" w:rsidR="00ED3A7E" w:rsidRPr="000550CF" w:rsidRDefault="00ED3A7E" w:rsidP="00F3494E">
      <w:pPr>
        <w:widowControl w:val="0"/>
        <w:ind w:firstLine="720"/>
        <w:jc w:val="both"/>
        <w:rPr>
          <w:szCs w:val="24"/>
        </w:rPr>
      </w:pPr>
      <w:r>
        <w:t>1) the client has given his consent to the financial brokerage firm to receive the suitability statement without undue delay after the conclusion of the transaction in the financial instrument;</w:t>
      </w:r>
    </w:p>
    <w:p w14:paraId="4EA805BB" w14:textId="77777777" w:rsidR="00ED3A7E" w:rsidRPr="000550CF" w:rsidRDefault="00ED3A7E" w:rsidP="00F3494E">
      <w:pPr>
        <w:widowControl w:val="0"/>
        <w:ind w:firstLine="720"/>
        <w:jc w:val="both"/>
        <w:rPr>
          <w:szCs w:val="24"/>
        </w:rPr>
      </w:pPr>
      <w:r>
        <w:t>2) the financial brokerage firm has given the client the option of delaying the transaction in order to receive the statement on suitability in advance.</w:t>
      </w:r>
    </w:p>
    <w:p w14:paraId="1EF0C442" w14:textId="77777777" w:rsidR="00ED3A7E" w:rsidRPr="000550CF" w:rsidRDefault="00ED3A7E" w:rsidP="00F3494E">
      <w:pPr>
        <w:widowControl w:val="0"/>
        <w:ind w:firstLine="720"/>
        <w:jc w:val="both"/>
        <w:rPr>
          <w:szCs w:val="24"/>
        </w:rPr>
      </w:pPr>
      <w:r>
        <w:t>3. Where a financial brokerage firm provides financial instruments portfolio management service or has informed the client that it will carry out a periodic assessment of suitability, the periodic report shall contain an updated statement of how the investment meets the client’s preferences, objectives and other characteristics of the retail client.</w:t>
      </w:r>
    </w:p>
    <w:p w14:paraId="15A5CBFB" w14:textId="77777777" w:rsidR="00ED3A7E" w:rsidRPr="000550CF" w:rsidRDefault="00ED3A7E" w:rsidP="00F3494E">
      <w:pPr>
        <w:ind w:firstLine="720"/>
        <w:jc w:val="both"/>
      </w:pPr>
      <w:r>
        <w:t>4.  If a credit agreement relating to residential immovable property, which is subject to the provisions concerning creditworthiness assessment of consumers laid down in Law of the Republic of Lithuania on Credit Relating to Immovable Property, has as a prerequisite the provision to that same consumer of an investment service in relation to mortgage bonds specifically issued to secure the financing of and having identical terms as the credit agreement relating to immovable property, in order for the loan to be payable, refinanced or redeemed, that service shall not be subject to the obligations set out in this Article.</w:t>
      </w:r>
    </w:p>
    <w:p w14:paraId="148F11E9" w14:textId="77777777" w:rsidR="00ED3A7E" w:rsidRPr="000550CF" w:rsidRDefault="00ED3A7E" w:rsidP="00F3494E">
      <w:pPr>
        <w:widowControl w:val="0"/>
        <w:ind w:firstLine="720"/>
        <w:jc w:val="both"/>
        <w:rPr>
          <w:szCs w:val="24"/>
          <w:lang w:eastAsia="lt-LT"/>
        </w:rPr>
      </w:pPr>
    </w:p>
    <w:p w14:paraId="4FAED430" w14:textId="77777777" w:rsidR="00ED3A7E" w:rsidRPr="000550CF" w:rsidRDefault="00ED3A7E" w:rsidP="005C0122">
      <w:pPr>
        <w:suppressAutoHyphens/>
        <w:ind w:left="2268" w:hanging="1559"/>
        <w:jc w:val="both"/>
        <w:textAlignment w:val="baseline"/>
        <w:rPr>
          <w:b/>
          <w:szCs w:val="24"/>
        </w:rPr>
      </w:pPr>
      <w:r>
        <w:rPr>
          <w:b/>
          <w:szCs w:val="24"/>
        </w:rPr>
        <w:t xml:space="preserve">Article 32. Provision of investment services through the medium of another </w:t>
      </w:r>
    </w:p>
    <w:p w14:paraId="010F064A" w14:textId="77777777" w:rsidR="00ED3A7E" w:rsidRPr="000550CF" w:rsidRDefault="00ED3A7E" w:rsidP="005C0122">
      <w:pPr>
        <w:widowControl w:val="0"/>
        <w:ind w:left="2268" w:hanging="1548"/>
        <w:jc w:val="both"/>
        <w:rPr>
          <w:szCs w:val="24"/>
        </w:rPr>
      </w:pPr>
      <w:r>
        <w:rPr>
          <w:b/>
          <w:szCs w:val="24"/>
        </w:rPr>
        <w:t>financial brokerage firm</w:t>
      </w:r>
    </w:p>
    <w:p w14:paraId="3870F7FC" w14:textId="77777777" w:rsidR="00ED3A7E" w:rsidRPr="000550CF" w:rsidRDefault="00ED3A7E" w:rsidP="00F3494E">
      <w:pPr>
        <w:widowControl w:val="0"/>
        <w:ind w:firstLine="720"/>
        <w:jc w:val="both"/>
        <w:rPr>
          <w:szCs w:val="24"/>
        </w:rPr>
      </w:pPr>
      <w:r>
        <w:t>1. A financial brokerage firm which receives an instruction from another financial brokerage firm (a mediating financial brokerage firm) to provide investment and/or ancillary services to a client of the mediating financial brokerage firm shall have the right to rely on client information transmitted by the latter financial brokerage firm. The mediating financial brokerage firm will remain responsible for the completeness and accuracy of the information transmitted.</w:t>
      </w:r>
    </w:p>
    <w:p w14:paraId="60E653BD" w14:textId="77777777" w:rsidR="00ED3A7E" w:rsidRPr="000550CF" w:rsidRDefault="00ED3A7E" w:rsidP="00F3494E">
      <w:pPr>
        <w:widowControl w:val="0"/>
        <w:ind w:firstLine="720"/>
        <w:jc w:val="both"/>
        <w:rPr>
          <w:szCs w:val="24"/>
        </w:rPr>
      </w:pPr>
      <w:r>
        <w:t>2. A financial brokerage firm which receives an instruction to undertake services on behalf of a client in that way shall also be able to rely on any recommendations in respect of the service or transaction that have been provided to the client by another investment firm. The investment firm which mediates the instructions will remain responsible for the suitability for the client of the recommendations or advice provided.</w:t>
      </w:r>
    </w:p>
    <w:p w14:paraId="7F27731E" w14:textId="77777777" w:rsidR="00ED3A7E" w:rsidRPr="000550CF" w:rsidRDefault="00ED3A7E" w:rsidP="00F3494E">
      <w:pPr>
        <w:widowControl w:val="0"/>
        <w:ind w:firstLine="720"/>
        <w:jc w:val="both"/>
        <w:rPr>
          <w:szCs w:val="24"/>
        </w:rPr>
      </w:pPr>
      <w:r>
        <w:t>3. A financial brokerage firm which receives an order from a mediating financial brokerage firm shall remain responsible for concluding a service and/or transaction in accordance with the procedure set forth in this Section where the service and/or transaction is concluded based on any such information or recommendation as specified in paragraphs 1 and 2 of this Article.</w:t>
      </w:r>
    </w:p>
    <w:p w14:paraId="27783099" w14:textId="77777777" w:rsidR="00ED3A7E" w:rsidRPr="000550CF" w:rsidRDefault="00ED3A7E" w:rsidP="005C0122">
      <w:pPr>
        <w:widowControl w:val="0"/>
        <w:jc w:val="both"/>
        <w:rPr>
          <w:szCs w:val="24"/>
          <w:lang w:eastAsia="lt-LT"/>
        </w:rPr>
      </w:pPr>
    </w:p>
    <w:p w14:paraId="48ED2A3C" w14:textId="77777777" w:rsidR="00ED3A7E" w:rsidRPr="000550CF" w:rsidRDefault="00ED3A7E" w:rsidP="00F3494E">
      <w:pPr>
        <w:widowControl w:val="0"/>
        <w:ind w:firstLine="720"/>
        <w:jc w:val="both"/>
        <w:rPr>
          <w:szCs w:val="24"/>
        </w:rPr>
      </w:pPr>
      <w:r>
        <w:rPr>
          <w:b/>
          <w:szCs w:val="24"/>
        </w:rPr>
        <w:t xml:space="preserve">Article 33. </w:t>
      </w:r>
      <w:r>
        <w:rPr>
          <w:b/>
        </w:rPr>
        <w:t xml:space="preserve">Obligation to execute orders on terms most favourable to the </w:t>
      </w:r>
      <w:proofErr w:type="gramStart"/>
      <w:r>
        <w:rPr>
          <w:b/>
        </w:rPr>
        <w:t>client</w:t>
      </w:r>
      <w:proofErr w:type="gramEnd"/>
    </w:p>
    <w:p w14:paraId="4D7A12AB" w14:textId="77777777" w:rsidR="00ED3A7E" w:rsidRPr="000550CF" w:rsidRDefault="00ED3A7E" w:rsidP="00F3494E">
      <w:pPr>
        <w:widowControl w:val="0"/>
        <w:ind w:firstLine="720"/>
        <w:jc w:val="both"/>
        <w:rPr>
          <w:szCs w:val="24"/>
        </w:rPr>
      </w:pPr>
      <w:r>
        <w:t xml:space="preserve">1. When executing an order of the client a financial brokerage firm shall take all reasonable steps to obtain the best possible result for its client </w:t>
      </w:r>
      <w:proofErr w:type="gramStart"/>
      <w:r>
        <w:t>taking into account</w:t>
      </w:r>
      <w:proofErr w:type="gramEnd"/>
      <w:r>
        <w:t xml:space="preserve"> the price, costs, speed, likelihood of execution and settlement, size, nature or any other consideration relevant to the execution of the order. Nevertheless, whenever there is a specific instruction from the client the financial brokerage firm shall execute the order following the specific instruction.</w:t>
      </w:r>
    </w:p>
    <w:p w14:paraId="5F2AFFEA" w14:textId="77777777" w:rsidR="00ED3A7E" w:rsidRPr="000550CF" w:rsidRDefault="00ED3A7E" w:rsidP="00F3494E">
      <w:pPr>
        <w:widowControl w:val="0"/>
        <w:ind w:firstLine="720"/>
        <w:jc w:val="both"/>
        <w:rPr>
          <w:szCs w:val="24"/>
        </w:rPr>
      </w:pPr>
      <w:r>
        <w:t xml:space="preserve">2. Where a financial brokerage firm executes an order on behalf of a retail client, the best possible result shall be determined in terms of the total consideration, representing the price of the financial instrument and the costs relating to execution, which shall include all expenses incurred by the client which are directly relating to the execution of the order, including execution venue fees, clearing and settlement fees and any other fees paid to third parties involved in the execution of the order. </w:t>
      </w:r>
    </w:p>
    <w:p w14:paraId="0FA88D07" w14:textId="77777777" w:rsidR="00ED3A7E" w:rsidRPr="000550CF" w:rsidRDefault="00ED3A7E" w:rsidP="00F3494E">
      <w:pPr>
        <w:widowControl w:val="0"/>
        <w:ind w:firstLine="720"/>
        <w:jc w:val="both"/>
        <w:rPr>
          <w:szCs w:val="24"/>
        </w:rPr>
      </w:pPr>
      <w:r>
        <w:lastRenderedPageBreak/>
        <w:t>3. For the purposes of delivering best possible result in accordance with paragraph 1 of this Article where there is more than one competing venue to execute an order for a financial instrument, in order to assess and compare the results for the client that would be achieved by executing the order on each of the execution venues listed in the investment firm’s order execution policy that is capable of executing that order, the financial brokerage firm’s own commissions and the costs for executing the order on each of the eligible execution venues shall be taken into account in that assessment.</w:t>
      </w:r>
    </w:p>
    <w:p w14:paraId="5036F0ED" w14:textId="77777777" w:rsidR="00ED3A7E" w:rsidRPr="000550CF" w:rsidRDefault="00ED3A7E" w:rsidP="00F3494E">
      <w:pPr>
        <w:widowControl w:val="0"/>
        <w:ind w:firstLine="720"/>
        <w:jc w:val="both"/>
        <w:rPr>
          <w:szCs w:val="24"/>
        </w:rPr>
      </w:pPr>
      <w:r>
        <w:t>4. A financial brokerage firm shall not receive any remuneration, discount or non-monetary benefit for routing client orders to a particular trading venue or execution venue which would infringe the requirements on provision or receipt of any remuneration, discount or non-monetary benefit or the obligation to avoid conflicts of interest set out in paragraphs 1, 2 and 3 of this Article, Article (16)(2) to (7) and Articles 28 and 29 of this Law.</w:t>
      </w:r>
    </w:p>
    <w:p w14:paraId="187D53E3" w14:textId="683E160A" w:rsidR="00F35A56" w:rsidRDefault="00ED3A7E" w:rsidP="00F35A56">
      <w:pPr>
        <w:spacing w:line="360" w:lineRule="atLeast"/>
        <w:ind w:firstLine="720"/>
        <w:jc w:val="both"/>
        <w:rPr>
          <w:color w:val="000000"/>
          <w:sz w:val="27"/>
          <w:szCs w:val="27"/>
        </w:rPr>
      </w:pPr>
      <w:r>
        <w:t xml:space="preserve">5.  </w:t>
      </w:r>
      <w:r>
        <w:rPr>
          <w:i/>
          <w:iCs/>
          <w:color w:val="000000"/>
          <w:sz w:val="20"/>
        </w:rPr>
        <w:t>Lost validity as of 28/02/2022.</w:t>
      </w:r>
    </w:p>
    <w:p w14:paraId="1B07FA11" w14:textId="77777777" w:rsidR="00F35A56" w:rsidRDefault="00F35A56" w:rsidP="00F35A56">
      <w:pPr>
        <w:rPr>
          <w:color w:val="000000"/>
          <w:sz w:val="27"/>
          <w:szCs w:val="27"/>
        </w:rPr>
      </w:pPr>
      <w:r>
        <w:rPr>
          <w:i/>
          <w:iCs/>
          <w:color w:val="000000"/>
          <w:sz w:val="20"/>
        </w:rPr>
        <w:t>Amendments to the paragraph of the Article:</w:t>
      </w:r>
    </w:p>
    <w:p w14:paraId="1C112669" w14:textId="77777777" w:rsidR="00F35A56" w:rsidRDefault="00F35A56" w:rsidP="00F35A56">
      <w:pPr>
        <w:jc w:val="both"/>
        <w:rPr>
          <w:color w:val="000000"/>
          <w:sz w:val="27"/>
          <w:szCs w:val="27"/>
        </w:rPr>
      </w:pPr>
      <w:r>
        <w:rPr>
          <w:i/>
          <w:iCs/>
          <w:color w:val="000000"/>
          <w:sz w:val="20"/>
        </w:rPr>
        <w:t xml:space="preserve">No </w:t>
      </w:r>
      <w:hyperlink r:id="rId105" w:tgtFrame="_parent" w:history="1">
        <w:r>
          <w:rPr>
            <w:rStyle w:val="Hyperlink"/>
            <w:i/>
            <w:iCs/>
            <w:sz w:val="20"/>
          </w:rPr>
          <w:t>XIV-821</w:t>
        </w:r>
      </w:hyperlink>
      <w:r>
        <w:rPr>
          <w:i/>
          <w:iCs/>
          <w:color w:val="000000"/>
          <w:sz w:val="20"/>
        </w:rPr>
        <w:t>, 23/12/2021, published in the RLA, 30/12/2021, ID code 2021-27710</w:t>
      </w:r>
    </w:p>
    <w:p w14:paraId="66C59474" w14:textId="58FB4184" w:rsidR="00ED3A7E" w:rsidRPr="000550CF" w:rsidRDefault="00ED3A7E" w:rsidP="00F3494E">
      <w:pPr>
        <w:widowControl w:val="0"/>
        <w:ind w:firstLine="720"/>
        <w:jc w:val="both"/>
        <w:rPr>
          <w:szCs w:val="24"/>
          <w:lang w:eastAsia="lt-LT"/>
        </w:rPr>
      </w:pPr>
    </w:p>
    <w:p w14:paraId="44DD169C" w14:textId="77777777" w:rsidR="00ED3A7E" w:rsidRPr="000550CF" w:rsidRDefault="00ED3A7E" w:rsidP="00F3494E">
      <w:pPr>
        <w:ind w:firstLine="720"/>
        <w:jc w:val="both"/>
      </w:pPr>
      <w:r>
        <w:t xml:space="preserve">6. A financial brokerage firm shall establish and implement effective arrangements for complying with the requirements of paragraphs 1, 2 and 3 of this Article. In particular, the financial brokerage firm to establish and implement an order execution policy to allow them to execute a client’s order obtain on terms most favourable to the client </w:t>
      </w:r>
      <w:proofErr w:type="gramStart"/>
      <w:r>
        <w:t>and also</w:t>
      </w:r>
      <w:proofErr w:type="gramEnd"/>
      <w:r>
        <w:t xml:space="preserve"> establish and implement effective arrangements for implementing the order execution policy.</w:t>
      </w:r>
    </w:p>
    <w:p w14:paraId="70B92ACC" w14:textId="77777777" w:rsidR="00ED3A7E" w:rsidRPr="000550CF" w:rsidRDefault="00ED3A7E" w:rsidP="00F3494E">
      <w:pPr>
        <w:widowControl w:val="0"/>
        <w:ind w:firstLine="720"/>
        <w:jc w:val="both"/>
        <w:rPr>
          <w:szCs w:val="24"/>
        </w:rPr>
      </w:pPr>
      <w:r>
        <w:t>7. The order execution policy shall include (in respect of each class of financial instruments) information on the different venues where the financial brokerage firm executes its client orders and the factors affecting the choice of execution venue. It shall at least include those venues that enable the financial brokerage firm to obtain on a consistent basis the best possible result for the execution of client orders.</w:t>
      </w:r>
    </w:p>
    <w:p w14:paraId="0AABC2EF" w14:textId="77777777" w:rsidR="00ED3A7E" w:rsidRPr="000550CF" w:rsidRDefault="00ED3A7E" w:rsidP="00F3494E">
      <w:pPr>
        <w:widowControl w:val="0"/>
        <w:ind w:firstLine="720"/>
        <w:jc w:val="both"/>
        <w:rPr>
          <w:szCs w:val="24"/>
        </w:rPr>
      </w:pPr>
      <w:r>
        <w:t>8. A financial brokerage firm must provide appropriate information to clients on its order execution policy. That information shall explain clearly, in sufficient detail and in a way that can be easily understood by clients, how orders will be executed by the financial brokerage firm for the client. The financial brokerage firm shall obtain the prior consent of its client to the order execution policy.</w:t>
      </w:r>
    </w:p>
    <w:p w14:paraId="7A61F0CF" w14:textId="77777777" w:rsidR="00ED3A7E" w:rsidRPr="000550CF" w:rsidRDefault="00ED3A7E" w:rsidP="00F3494E">
      <w:pPr>
        <w:widowControl w:val="0"/>
        <w:ind w:firstLine="720"/>
        <w:jc w:val="both"/>
        <w:rPr>
          <w:szCs w:val="24"/>
        </w:rPr>
      </w:pPr>
      <w:r>
        <w:t>9. Where the order execution policy provides for the possibility that client orders may be executed outside a trading venue, the financial brokerage firm shall additionally inform its clients about that possibility. The financial brokerage firm shall obtain the prior express consent of the clients before proceeding to execute their orders outside a trading venue. Such consent may be obtained either in the form of a general agreement or in respect of individual transactions.</w:t>
      </w:r>
    </w:p>
    <w:p w14:paraId="1A6038ED" w14:textId="77777777" w:rsidR="00ED3A7E" w:rsidRPr="000550CF" w:rsidRDefault="00ED3A7E" w:rsidP="00F3494E">
      <w:pPr>
        <w:widowControl w:val="0"/>
        <w:ind w:firstLine="720"/>
        <w:jc w:val="both"/>
        <w:rPr>
          <w:szCs w:val="24"/>
        </w:rPr>
      </w:pPr>
      <w:r>
        <w:t>10. Financial brokerage firms executing client orders shall summarise and make public on an annual basis, for each class of financial instruments, the top five execution venues in terms of trading volumes where they executed client orders in the preceding year and information on the quality of execution obtained.</w:t>
      </w:r>
    </w:p>
    <w:p w14:paraId="78749C29" w14:textId="77777777" w:rsidR="00ED3A7E" w:rsidRPr="000550CF" w:rsidRDefault="00ED3A7E" w:rsidP="00F3494E">
      <w:pPr>
        <w:widowControl w:val="0"/>
        <w:ind w:firstLine="720"/>
        <w:jc w:val="both"/>
        <w:rPr>
          <w:szCs w:val="24"/>
        </w:rPr>
      </w:pPr>
      <w:r>
        <w:t xml:space="preserve">11. Financial brokerage firms executing client orders must monitor, on a regular basis, the effectiveness of their order execution arrangements and execution policy </w:t>
      </w:r>
      <w:proofErr w:type="gramStart"/>
      <w:r>
        <w:t>in order to</w:t>
      </w:r>
      <w:proofErr w:type="gramEnd"/>
      <w:r>
        <w:t xml:space="preserve"> identify and, where appropriate, correct any deficiencies without undue delay. </w:t>
      </w:r>
      <w:proofErr w:type="gramStart"/>
      <w:r>
        <w:t>In particular, financial</w:t>
      </w:r>
      <w:proofErr w:type="gramEnd"/>
      <w:r>
        <w:t xml:space="preserve"> brokerage firms shall assess, on a regular basis, whether the execution venues included in the order execution policy provide for the best possible result for the client or whether they need to make changes to their execution arrangements, taking account of, inter alia, the information published under paragraphs 5 and 9 of this Article. A financial brokerage firm must notify clients of any material changes to the order execution arrangements or execution policy.</w:t>
      </w:r>
    </w:p>
    <w:p w14:paraId="2C97B659" w14:textId="77777777" w:rsidR="00ED3A7E" w:rsidRPr="000550CF" w:rsidRDefault="00ED3A7E" w:rsidP="00F3494E">
      <w:pPr>
        <w:widowControl w:val="0"/>
        <w:ind w:firstLine="720"/>
        <w:jc w:val="both"/>
        <w:rPr>
          <w:szCs w:val="24"/>
        </w:rPr>
      </w:pPr>
      <w:r>
        <w:t xml:space="preserve">12. At the request of a client, a financial brokerage firm shall be able to demonstrate to the client that the client’s request has been executed in accordance with the order execution policy requirements. </w:t>
      </w:r>
    </w:p>
    <w:p w14:paraId="533B4C12" w14:textId="77777777" w:rsidR="00ED3A7E" w:rsidRPr="000550CF" w:rsidRDefault="00ED3A7E" w:rsidP="00F3494E">
      <w:pPr>
        <w:widowControl w:val="0"/>
        <w:ind w:firstLine="720"/>
        <w:jc w:val="both"/>
        <w:rPr>
          <w:szCs w:val="24"/>
        </w:rPr>
      </w:pPr>
      <w:r>
        <w:t xml:space="preserve">13. At the request of the supervisory authority, a financial brokerage firm shall be able to demonstrate to the supervisory authority that the financial brokerage firm complies with the </w:t>
      </w:r>
      <w:r>
        <w:lastRenderedPageBreak/>
        <w:t>requirements of this Article.</w:t>
      </w:r>
    </w:p>
    <w:p w14:paraId="24E24348" w14:textId="77777777" w:rsidR="00ED3A7E" w:rsidRPr="000550CF" w:rsidRDefault="00ED3A7E" w:rsidP="00F3494E">
      <w:pPr>
        <w:widowControl w:val="0"/>
        <w:ind w:firstLine="720"/>
        <w:jc w:val="both"/>
        <w:rPr>
          <w:szCs w:val="24"/>
          <w:lang w:eastAsia="lt-LT"/>
        </w:rPr>
      </w:pPr>
    </w:p>
    <w:p w14:paraId="173BD47C" w14:textId="77777777" w:rsidR="00ED3A7E" w:rsidRPr="000550CF" w:rsidRDefault="00ED3A7E" w:rsidP="00F3494E">
      <w:pPr>
        <w:widowControl w:val="0"/>
        <w:ind w:firstLine="720"/>
        <w:jc w:val="both"/>
        <w:rPr>
          <w:szCs w:val="24"/>
        </w:rPr>
      </w:pPr>
      <w:r>
        <w:rPr>
          <w:b/>
          <w:szCs w:val="24"/>
        </w:rPr>
        <w:t xml:space="preserve">Article 34. Other requirements for execution of client orders </w:t>
      </w:r>
    </w:p>
    <w:p w14:paraId="6D535CC8" w14:textId="77777777" w:rsidR="00ED3A7E" w:rsidRPr="000550CF" w:rsidRDefault="00ED3A7E" w:rsidP="00F3494E">
      <w:pPr>
        <w:widowControl w:val="0"/>
        <w:ind w:firstLine="720"/>
        <w:jc w:val="both"/>
        <w:rPr>
          <w:szCs w:val="24"/>
        </w:rPr>
      </w:pPr>
      <w:r>
        <w:t>1. Prior to executing the orders of the clients on their behalf, a financial brokerage firm shall put in place and implement the procedures and arrangements which provide for the prompt, fair and expeditious execution of client orders, relative to other client orders or the trading interests of the financial brokerage firm. Those procedures or arrangements shall allow for the execution of otherwise comparable client orders in accordance with the time of their reception by the financial brokerage firm.</w:t>
      </w:r>
    </w:p>
    <w:p w14:paraId="321B464A" w14:textId="77777777" w:rsidR="00ED3A7E" w:rsidRPr="000550CF" w:rsidRDefault="00ED3A7E" w:rsidP="00F3494E">
      <w:pPr>
        <w:widowControl w:val="0"/>
        <w:ind w:firstLine="720"/>
        <w:jc w:val="both"/>
        <w:rPr>
          <w:szCs w:val="24"/>
        </w:rPr>
      </w:pPr>
      <w:r>
        <w:t xml:space="preserve">2. In the case of a client limit order in respect of shares admitted to trading on a regulated market which are not immediately executed under prevailing market conditions, a financial brokerage firm shall, unless the client expressly instructs otherwise, take measures to facilitate the earliest possible execution of that order by making public immediately that client limit order in a manner which is easily accessible to other market participants. This obligation shall be considered complied with where the limit order is transmitted for the execution to a trading venue. </w:t>
      </w:r>
    </w:p>
    <w:p w14:paraId="5B64526F" w14:textId="77777777" w:rsidR="00ED3A7E" w:rsidRPr="000550CF" w:rsidRDefault="00ED3A7E" w:rsidP="00F3494E">
      <w:pPr>
        <w:widowControl w:val="0"/>
        <w:ind w:firstLine="720"/>
        <w:jc w:val="both"/>
        <w:rPr>
          <w:szCs w:val="24"/>
        </w:rPr>
      </w:pPr>
      <w:r>
        <w:t>3. The obligation to make public a limit order that is large in scale compared with normal market size may be waived as determined under Article 4 of Regulation (EU) No 600/2014.</w:t>
      </w:r>
    </w:p>
    <w:p w14:paraId="32BB4617" w14:textId="77777777" w:rsidR="00ED3A7E" w:rsidRPr="000550CF" w:rsidRDefault="00ED3A7E" w:rsidP="00F3494E">
      <w:pPr>
        <w:widowControl w:val="0"/>
        <w:ind w:firstLine="720"/>
        <w:jc w:val="both"/>
        <w:rPr>
          <w:szCs w:val="24"/>
        </w:rPr>
      </w:pPr>
      <w:r>
        <w:t xml:space="preserve">4. A power of attorney issued by a spouse to conclude transactions on savings bonds of the Government of the Republic of Lithuania </w:t>
      </w:r>
      <w:proofErr w:type="gramStart"/>
      <w:r>
        <w:t>and  financial</w:t>
      </w:r>
      <w:proofErr w:type="gramEnd"/>
      <w:r>
        <w:t xml:space="preserve"> instruments that constitute the community-of-property of the spouses, that are publicly offered and/or traded on a regulated market and /or on an MTF, may be issued in a regular written form.</w:t>
      </w:r>
    </w:p>
    <w:p w14:paraId="557CAB0F" w14:textId="77777777" w:rsidR="00ED3A7E" w:rsidRPr="000550CF" w:rsidRDefault="00ED3A7E" w:rsidP="00F3494E">
      <w:pPr>
        <w:widowControl w:val="0"/>
        <w:ind w:firstLine="720"/>
        <w:jc w:val="both"/>
        <w:rPr>
          <w:szCs w:val="24"/>
          <w:lang w:eastAsia="lt-LT"/>
        </w:rPr>
      </w:pPr>
    </w:p>
    <w:p w14:paraId="2ABB3BF6" w14:textId="77777777" w:rsidR="00ED3A7E" w:rsidRPr="000550CF" w:rsidRDefault="00ED3A7E" w:rsidP="00F3494E">
      <w:pPr>
        <w:widowControl w:val="0"/>
        <w:ind w:left="2127" w:hanging="1407"/>
        <w:jc w:val="both"/>
        <w:rPr>
          <w:szCs w:val="24"/>
        </w:rPr>
      </w:pPr>
      <w:r>
        <w:rPr>
          <w:b/>
          <w:szCs w:val="24"/>
        </w:rPr>
        <w:t xml:space="preserve">Article 35. </w:t>
      </w:r>
      <w:r>
        <w:rPr>
          <w:b/>
          <w:bCs/>
          <w:szCs w:val="24"/>
        </w:rPr>
        <w:t>Notification of infringements in a financial brokerage firm</w:t>
      </w:r>
      <w:r>
        <w:rPr>
          <w:b/>
          <w:szCs w:val="24"/>
        </w:rPr>
        <w:t xml:space="preserve"> and a central depositary</w:t>
      </w:r>
    </w:p>
    <w:p w14:paraId="7754C7C9" w14:textId="1D87F999" w:rsidR="00F35A56" w:rsidRDefault="00F35A56" w:rsidP="00F35A56">
      <w:pPr>
        <w:spacing w:line="360" w:lineRule="atLeast"/>
        <w:ind w:firstLine="720"/>
        <w:jc w:val="both"/>
        <w:rPr>
          <w:color w:val="000000"/>
        </w:rPr>
      </w:pPr>
      <w:r>
        <w:rPr>
          <w:color w:val="000000"/>
        </w:rPr>
        <w:t>A financial brokerage firm, a central depositary, approved publication arrangements and approved reporting mechanisms must ensure that measures are put in place to enable their employees to report, via a dedicated, independent and autonomous channel, to the managers or other authorised persons of the financial brokerage firm, transactions reporting provider and central depositary on committed or possible infringement of this Law, its implementing legislation, Regulation (EU) No 575/2013, Regulation (EU) 596/2014, Regulation (EU) No 600/2014, or Regulation (EU) No 909/2004 or Regulation (EU) No 2019/2033.  A financial brokerage firm, a transactions reporting provider and a central depositary may involve third parties for the implementation of this requirement. Those measures shall be subject to the requirements of Article 43</w:t>
      </w:r>
      <w:r>
        <w:rPr>
          <w:color w:val="000000"/>
          <w:vertAlign w:val="superscript"/>
        </w:rPr>
        <w:t>7</w:t>
      </w:r>
      <w:r>
        <w:rPr>
          <w:color w:val="000000"/>
        </w:rPr>
        <w:t>(1) of the Law on the Bank of Lithuania.</w:t>
      </w:r>
    </w:p>
    <w:p w14:paraId="0A815FE3" w14:textId="77777777" w:rsidR="00F35A56" w:rsidRDefault="00F35A56" w:rsidP="00F35A56">
      <w:pPr>
        <w:rPr>
          <w:color w:val="000000"/>
          <w:sz w:val="27"/>
          <w:szCs w:val="27"/>
        </w:rPr>
      </w:pPr>
      <w:r>
        <w:rPr>
          <w:i/>
          <w:iCs/>
          <w:color w:val="000000"/>
          <w:sz w:val="20"/>
        </w:rPr>
        <w:t>Amendments to Article:</w:t>
      </w:r>
    </w:p>
    <w:p w14:paraId="2048304E" w14:textId="77777777" w:rsidR="00F35A56" w:rsidRDefault="00F35A56" w:rsidP="00F35A56">
      <w:pPr>
        <w:jc w:val="both"/>
        <w:rPr>
          <w:color w:val="000000"/>
          <w:sz w:val="27"/>
          <w:szCs w:val="27"/>
        </w:rPr>
      </w:pPr>
      <w:r>
        <w:rPr>
          <w:i/>
          <w:iCs/>
          <w:color w:val="000000"/>
          <w:sz w:val="20"/>
        </w:rPr>
        <w:t xml:space="preserve">No </w:t>
      </w:r>
      <w:hyperlink r:id="rId106" w:tgtFrame="_parent" w:history="1">
        <w:r>
          <w:rPr>
            <w:rStyle w:val="Hyperlink"/>
            <w:i/>
            <w:iCs/>
            <w:sz w:val="20"/>
          </w:rPr>
          <w:t>XIII-2358</w:t>
        </w:r>
      </w:hyperlink>
      <w:r>
        <w:rPr>
          <w:i/>
          <w:iCs/>
          <w:color w:val="000000"/>
          <w:sz w:val="20"/>
        </w:rPr>
        <w:t>, 16/07/2019, published in the RLA, 19/07/2019, ID code 2019-11980</w:t>
      </w:r>
    </w:p>
    <w:p w14:paraId="0C71D397" w14:textId="77777777" w:rsidR="00F35A56" w:rsidRDefault="00F35A56" w:rsidP="00F35A56">
      <w:pPr>
        <w:jc w:val="both"/>
        <w:rPr>
          <w:color w:val="000000"/>
          <w:sz w:val="27"/>
          <w:szCs w:val="27"/>
        </w:rPr>
      </w:pPr>
      <w:r>
        <w:rPr>
          <w:i/>
          <w:iCs/>
          <w:color w:val="000000"/>
          <w:sz w:val="20"/>
        </w:rPr>
        <w:t xml:space="preserve">No </w:t>
      </w:r>
      <w:hyperlink r:id="rId107" w:tgtFrame="_parent" w:history="1">
        <w:r>
          <w:rPr>
            <w:rStyle w:val="Hyperlink"/>
            <w:i/>
            <w:iCs/>
            <w:sz w:val="20"/>
          </w:rPr>
          <w:t>XIV-821</w:t>
        </w:r>
      </w:hyperlink>
      <w:r>
        <w:rPr>
          <w:i/>
          <w:iCs/>
          <w:color w:val="000000"/>
          <w:sz w:val="20"/>
        </w:rPr>
        <w:t>, 23/12/2021, published in the RLA, 30/12/2021, ID code 2021-27710</w:t>
      </w:r>
    </w:p>
    <w:p w14:paraId="2812A59F" w14:textId="77777777" w:rsidR="00ED3A7E" w:rsidRPr="000550CF" w:rsidRDefault="00ED3A7E" w:rsidP="00F3494E">
      <w:pPr>
        <w:widowControl w:val="0"/>
        <w:ind w:firstLine="720"/>
        <w:jc w:val="both"/>
        <w:rPr>
          <w:szCs w:val="24"/>
          <w:lang w:eastAsia="lt-LT"/>
        </w:rPr>
      </w:pPr>
    </w:p>
    <w:p w14:paraId="6E687F21" w14:textId="77777777" w:rsidR="00ED3A7E" w:rsidRPr="000550CF" w:rsidRDefault="00ED3A7E" w:rsidP="00F3494E">
      <w:pPr>
        <w:widowControl w:val="0"/>
        <w:ind w:firstLine="720"/>
        <w:rPr>
          <w:szCs w:val="24"/>
        </w:rPr>
      </w:pPr>
      <w:r>
        <w:rPr>
          <w:b/>
          <w:szCs w:val="24"/>
        </w:rPr>
        <w:t xml:space="preserve">Article 36. </w:t>
      </w:r>
      <w:r>
        <w:rPr>
          <w:b/>
        </w:rPr>
        <w:t>Obligations of a f</w:t>
      </w:r>
      <w:r>
        <w:rPr>
          <w:b/>
          <w:szCs w:val="24"/>
        </w:rPr>
        <w:t xml:space="preserve">inancial brokerage firm </w:t>
      </w:r>
      <w:r>
        <w:rPr>
          <w:b/>
        </w:rPr>
        <w:t>when appointing tied agents</w:t>
      </w:r>
      <w:r>
        <w:rPr>
          <w:b/>
          <w:szCs w:val="24"/>
        </w:rPr>
        <w:t xml:space="preserve"> </w:t>
      </w:r>
    </w:p>
    <w:p w14:paraId="39E201EF" w14:textId="77777777" w:rsidR="00ED3A7E" w:rsidRPr="000550CF" w:rsidRDefault="00ED3A7E" w:rsidP="00F3494E">
      <w:pPr>
        <w:widowControl w:val="0"/>
        <w:ind w:firstLine="720"/>
        <w:jc w:val="both"/>
        <w:rPr>
          <w:szCs w:val="24"/>
        </w:rPr>
      </w:pPr>
      <w:r>
        <w:t xml:space="preserve">1. A financial brokerage firm shall have the right to appoint tied agents for the purposes of promoting the services of the financial brokerage firm, directly offering the firm’s </w:t>
      </w:r>
      <w:proofErr w:type="gramStart"/>
      <w:r>
        <w:t>services</w:t>
      </w:r>
      <w:proofErr w:type="gramEnd"/>
      <w:r>
        <w:t xml:space="preserve"> or receiving orders from clients or potential clients and transmitting them, placing financial instruments and providing advice in respect of such financial instruments and services offered by that financial brokerage firm. </w:t>
      </w:r>
    </w:p>
    <w:p w14:paraId="2E710BDC" w14:textId="77777777" w:rsidR="00ED3A7E" w:rsidRPr="000550CF" w:rsidRDefault="00ED3A7E" w:rsidP="00F3494E">
      <w:pPr>
        <w:widowControl w:val="0"/>
        <w:ind w:firstLine="720"/>
        <w:jc w:val="both"/>
        <w:rPr>
          <w:szCs w:val="24"/>
        </w:rPr>
      </w:pPr>
      <w:r>
        <w:t xml:space="preserve">2. A financial brokerage firm shall remain fully and unconditionally responsible for any action or omission on the part of the tied agent when acting on behalf of the financial brokerage firm. </w:t>
      </w:r>
    </w:p>
    <w:p w14:paraId="41E0CF30" w14:textId="77777777" w:rsidR="00ED3A7E" w:rsidRPr="000550CF" w:rsidRDefault="00ED3A7E" w:rsidP="00F3494E">
      <w:pPr>
        <w:widowControl w:val="0"/>
        <w:ind w:firstLine="720"/>
        <w:jc w:val="both"/>
        <w:rPr>
          <w:szCs w:val="24"/>
        </w:rPr>
      </w:pPr>
      <w:r>
        <w:t xml:space="preserve">3. A financial brokerage firm shall ensure that a tied agent discloses the capacity in which he is acting and the financial brokerage firm which he is representing when contacting or before dealing with any client or potential client. </w:t>
      </w:r>
    </w:p>
    <w:p w14:paraId="68793D3A" w14:textId="77777777" w:rsidR="00ED3A7E" w:rsidRPr="000550CF" w:rsidRDefault="00ED3A7E" w:rsidP="00F3494E">
      <w:pPr>
        <w:widowControl w:val="0"/>
        <w:ind w:firstLine="720"/>
        <w:jc w:val="both"/>
        <w:rPr>
          <w:szCs w:val="24"/>
        </w:rPr>
      </w:pPr>
      <w:r>
        <w:t>4. A tied agent may not hold and handle money and/or financial instruments of clients.</w:t>
      </w:r>
    </w:p>
    <w:p w14:paraId="0E2EBD47" w14:textId="77777777" w:rsidR="00ED3A7E" w:rsidRPr="000550CF" w:rsidRDefault="00ED3A7E" w:rsidP="00F3494E">
      <w:pPr>
        <w:widowControl w:val="0"/>
        <w:ind w:firstLine="720"/>
        <w:jc w:val="both"/>
        <w:rPr>
          <w:szCs w:val="24"/>
        </w:rPr>
      </w:pPr>
      <w:r>
        <w:lastRenderedPageBreak/>
        <w:t xml:space="preserve">5. A financial brokerage firm shall monitor and supervise, on a continuous basis, the activities of their tied agents acting on their behalf, </w:t>
      </w:r>
      <w:proofErr w:type="gramStart"/>
      <w:r>
        <w:t>so as to</w:t>
      </w:r>
      <w:proofErr w:type="gramEnd"/>
      <w:r>
        <w:t xml:space="preserve"> ensure the compliance with requirements of this Law when acting through tied agents. </w:t>
      </w:r>
    </w:p>
    <w:p w14:paraId="32201327" w14:textId="77777777" w:rsidR="00ED3A7E" w:rsidRPr="000550CF" w:rsidRDefault="00ED3A7E" w:rsidP="00F3494E">
      <w:pPr>
        <w:widowControl w:val="0"/>
        <w:ind w:firstLine="720"/>
        <w:jc w:val="both"/>
        <w:rPr>
          <w:szCs w:val="24"/>
        </w:rPr>
      </w:pPr>
      <w:r>
        <w:t xml:space="preserve">6. When appointing tied </w:t>
      </w:r>
      <w:proofErr w:type="gramStart"/>
      <w:r>
        <w:t>agents</w:t>
      </w:r>
      <w:proofErr w:type="gramEnd"/>
      <w:r>
        <w:t xml:space="preserve"> a financial brokerage firm shall take adequate measures in order to avoid any negative impact that the activities of the tied agent not covered by the scope of this Law could have on the activities carried out by the tied agent on behalf of the financial brokerage firm. </w:t>
      </w:r>
    </w:p>
    <w:p w14:paraId="138B8827" w14:textId="77777777" w:rsidR="00ED3A7E" w:rsidRPr="000550CF" w:rsidRDefault="00ED3A7E" w:rsidP="00F3494E">
      <w:pPr>
        <w:widowControl w:val="0"/>
        <w:ind w:firstLine="720"/>
        <w:jc w:val="both"/>
        <w:rPr>
          <w:szCs w:val="24"/>
        </w:rPr>
      </w:pPr>
      <w:r>
        <w:t>7. A financial brokerage firm may appoint only those tied agents that are registered in the public register of tied agents.</w:t>
      </w:r>
    </w:p>
    <w:p w14:paraId="6AF2F07F" w14:textId="77777777" w:rsidR="00ED3A7E" w:rsidRPr="000550CF" w:rsidRDefault="00ED3A7E" w:rsidP="00F3494E">
      <w:pPr>
        <w:widowControl w:val="0"/>
        <w:ind w:firstLine="720"/>
        <w:jc w:val="both"/>
        <w:rPr>
          <w:color w:val="000000"/>
          <w:szCs w:val="24"/>
        </w:rPr>
      </w:pPr>
      <w:r>
        <w:t>8. The supervisory authority shall register an entity in the public register of tied agents only if the entity possesses the professional competence recognised by the supervisory authority and has not been published for crimes or criminal offences against the financial system or committed any serious crimes</w:t>
      </w:r>
      <w:r>
        <w:rPr>
          <w:bCs/>
          <w:color w:val="000000"/>
          <w:szCs w:val="24"/>
        </w:rPr>
        <w:t>.</w:t>
      </w:r>
    </w:p>
    <w:p w14:paraId="0501180D" w14:textId="77777777" w:rsidR="00ED3A7E" w:rsidRPr="000550CF" w:rsidRDefault="00ED3A7E" w:rsidP="00F3494E">
      <w:pPr>
        <w:widowControl w:val="0"/>
        <w:ind w:firstLine="720"/>
        <w:jc w:val="both"/>
        <w:rPr>
          <w:szCs w:val="24"/>
        </w:rPr>
      </w:pPr>
      <w:r>
        <w:t>9. The public register of tied agents shall be maintained in accordance with the procedure established by the supervisory authority. The supervisory authority shall publish on its website the public register of tied agents specifying their forenames and surnames.</w:t>
      </w:r>
    </w:p>
    <w:p w14:paraId="16044B05" w14:textId="77777777" w:rsidR="00ED3A7E" w:rsidRPr="000550CF" w:rsidRDefault="00ED3A7E" w:rsidP="00F3494E">
      <w:pPr>
        <w:widowControl w:val="0"/>
        <w:ind w:firstLine="720"/>
        <w:jc w:val="both"/>
        <w:rPr>
          <w:szCs w:val="24"/>
          <w:lang w:eastAsia="lt-LT"/>
        </w:rPr>
      </w:pPr>
    </w:p>
    <w:p w14:paraId="3DBEBD4F" w14:textId="77777777" w:rsidR="00ED3A7E" w:rsidRPr="000550CF" w:rsidRDefault="00ED3A7E" w:rsidP="00F3494E">
      <w:pPr>
        <w:widowControl w:val="0"/>
        <w:jc w:val="center"/>
        <w:rPr>
          <w:szCs w:val="24"/>
        </w:rPr>
      </w:pPr>
      <w:r>
        <w:rPr>
          <w:b/>
          <w:szCs w:val="24"/>
        </w:rPr>
        <w:t>SECTION FOUR</w:t>
      </w:r>
    </w:p>
    <w:p w14:paraId="597145E8" w14:textId="77777777" w:rsidR="00ED3A7E" w:rsidRPr="000550CF" w:rsidRDefault="00ED3A7E" w:rsidP="00F3494E">
      <w:pPr>
        <w:widowControl w:val="0"/>
        <w:jc w:val="center"/>
        <w:rPr>
          <w:szCs w:val="24"/>
        </w:rPr>
      </w:pPr>
      <w:r>
        <w:rPr>
          <w:b/>
          <w:szCs w:val="24"/>
        </w:rPr>
        <w:t xml:space="preserve">PROVISION OF INVESTMENT SERVICES TO PROFESSIONAL CLIENTS AND ELIGIBLE COUNTERPARTIES </w:t>
      </w:r>
    </w:p>
    <w:p w14:paraId="6993B6B0" w14:textId="77777777" w:rsidR="00ED3A7E" w:rsidRPr="000550CF" w:rsidRDefault="00ED3A7E" w:rsidP="00F3494E">
      <w:pPr>
        <w:widowControl w:val="0"/>
        <w:ind w:firstLine="720"/>
        <w:jc w:val="both"/>
        <w:rPr>
          <w:szCs w:val="24"/>
          <w:lang w:eastAsia="lt-LT"/>
        </w:rPr>
      </w:pPr>
    </w:p>
    <w:p w14:paraId="62D45CDF" w14:textId="77777777" w:rsidR="00ED3A7E" w:rsidRPr="000550CF" w:rsidRDefault="00ED3A7E" w:rsidP="00F3494E">
      <w:pPr>
        <w:widowControl w:val="0"/>
        <w:ind w:firstLine="720"/>
        <w:jc w:val="both"/>
        <w:rPr>
          <w:szCs w:val="24"/>
        </w:rPr>
      </w:pPr>
      <w:r>
        <w:rPr>
          <w:b/>
          <w:szCs w:val="24"/>
        </w:rPr>
        <w:t xml:space="preserve">Article 37. Professional clients </w:t>
      </w:r>
    </w:p>
    <w:p w14:paraId="07FBB62D" w14:textId="77777777" w:rsidR="00ED3A7E" w:rsidRPr="000550CF" w:rsidRDefault="00ED3A7E" w:rsidP="00F3494E">
      <w:pPr>
        <w:widowControl w:val="0"/>
        <w:ind w:firstLine="720"/>
        <w:jc w:val="both"/>
        <w:rPr>
          <w:szCs w:val="24"/>
        </w:rPr>
      </w:pPr>
      <w:r>
        <w:t>1. Professional clients shall be:</w:t>
      </w:r>
    </w:p>
    <w:p w14:paraId="54FF4398" w14:textId="1981D1B6" w:rsidR="00F35A56" w:rsidRPr="00F35A56" w:rsidRDefault="00ED3A7E" w:rsidP="00F35A56">
      <w:pPr>
        <w:spacing w:line="360" w:lineRule="atLeast"/>
        <w:ind w:firstLine="720"/>
        <w:jc w:val="both"/>
        <w:rPr>
          <w:color w:val="000000"/>
          <w:szCs w:val="24"/>
        </w:rPr>
      </w:pPr>
      <w:r>
        <w:t xml:space="preserve">1) licensed and/or otherwise supervised entities operating in financial markets: credit institutions, financial brokerage firms, other licensed and/or supervised financial institutions, insurance undertakings, collective investment undertakings and their management companies, pension funds and their management companies, commodity and commodity derivatives dealers, local </w:t>
      </w:r>
      <w:proofErr w:type="gramStart"/>
      <w:r>
        <w:t>firms</w:t>
      </w:r>
      <w:proofErr w:type="gramEnd"/>
      <w:r>
        <w:t xml:space="preserve"> and other institutional investors. </w:t>
      </w:r>
      <w:r>
        <w:rPr>
          <w:color w:val="000000"/>
          <w:szCs w:val="24"/>
        </w:rPr>
        <w:t xml:space="preserve"> The professional clients specified in this paragraph shall include the entities licensed and/or supervised in the Member States of the European Union and third </w:t>
      </w:r>
      <w:proofErr w:type="gramStart"/>
      <w:r>
        <w:rPr>
          <w:color w:val="000000"/>
          <w:szCs w:val="24"/>
        </w:rPr>
        <w:t>countries;</w:t>
      </w:r>
      <w:proofErr w:type="gramEnd"/>
    </w:p>
    <w:p w14:paraId="5FD10E16" w14:textId="77777777" w:rsidR="00F35A56" w:rsidRDefault="00F35A56" w:rsidP="00F35A56">
      <w:pPr>
        <w:rPr>
          <w:color w:val="000000"/>
          <w:sz w:val="27"/>
          <w:szCs w:val="27"/>
        </w:rPr>
      </w:pPr>
      <w:r>
        <w:rPr>
          <w:i/>
          <w:iCs/>
          <w:color w:val="000000"/>
          <w:sz w:val="20"/>
        </w:rPr>
        <w:t>Amendments to the paragraph of the Article:</w:t>
      </w:r>
    </w:p>
    <w:p w14:paraId="72164319" w14:textId="77777777" w:rsidR="00F35A56" w:rsidRDefault="00F35A56" w:rsidP="00F35A56">
      <w:pPr>
        <w:jc w:val="both"/>
        <w:rPr>
          <w:color w:val="000000"/>
          <w:sz w:val="27"/>
          <w:szCs w:val="27"/>
        </w:rPr>
      </w:pPr>
      <w:r>
        <w:rPr>
          <w:i/>
          <w:iCs/>
          <w:color w:val="000000"/>
          <w:sz w:val="20"/>
        </w:rPr>
        <w:t xml:space="preserve">No </w:t>
      </w:r>
      <w:hyperlink r:id="rId108" w:tgtFrame="_parent" w:history="1">
        <w:r>
          <w:rPr>
            <w:rStyle w:val="Hyperlink"/>
            <w:i/>
            <w:iCs/>
            <w:sz w:val="20"/>
          </w:rPr>
          <w:t>XIV-821</w:t>
        </w:r>
      </w:hyperlink>
      <w:r>
        <w:rPr>
          <w:i/>
          <w:iCs/>
          <w:color w:val="000000"/>
          <w:sz w:val="20"/>
        </w:rPr>
        <w:t>, 23/12/2021, published in the RLA, 30/12/2021, ID code 2021-27710</w:t>
      </w:r>
    </w:p>
    <w:p w14:paraId="5E8883AF" w14:textId="5B18FF81" w:rsidR="00ED3A7E" w:rsidRPr="000550CF" w:rsidRDefault="00ED3A7E" w:rsidP="00F3494E">
      <w:pPr>
        <w:widowControl w:val="0"/>
        <w:ind w:firstLine="720"/>
        <w:jc w:val="both"/>
        <w:rPr>
          <w:szCs w:val="24"/>
          <w:lang w:eastAsia="lt-LT"/>
        </w:rPr>
      </w:pPr>
    </w:p>
    <w:p w14:paraId="3630B847" w14:textId="77777777" w:rsidR="00ED3A7E" w:rsidRPr="000550CF" w:rsidRDefault="00ED3A7E" w:rsidP="00F3494E">
      <w:pPr>
        <w:widowControl w:val="0"/>
        <w:ind w:firstLine="720"/>
        <w:jc w:val="both"/>
        <w:rPr>
          <w:szCs w:val="24"/>
        </w:rPr>
      </w:pPr>
      <w:r>
        <w:t>2) large undertakings meeting two of the following size requirements: balance sheet total – not less than EUR 20 000 000; net turnover– not less than EUR 40 000 000; own funds – not less than EUR </w:t>
      </w:r>
      <w:proofErr w:type="gramStart"/>
      <w:r>
        <w:t>2 000 000;</w:t>
      </w:r>
      <w:proofErr w:type="gramEnd"/>
    </w:p>
    <w:p w14:paraId="061A3E42" w14:textId="77777777" w:rsidR="00ED3A7E" w:rsidRPr="000550CF" w:rsidRDefault="00ED3A7E" w:rsidP="00F3494E">
      <w:pPr>
        <w:ind w:firstLine="720"/>
        <w:jc w:val="both"/>
      </w:pPr>
      <w:r>
        <w:t xml:space="preserve">3) national and regional governments, public bodies that manage public debt, central banks, the World Bank, the IMF, the ECB, the EIB and other similar international and supranational </w:t>
      </w:r>
      <w:proofErr w:type="gramStart"/>
      <w:r>
        <w:t>institutions;</w:t>
      </w:r>
      <w:proofErr w:type="gramEnd"/>
    </w:p>
    <w:p w14:paraId="37D321E0" w14:textId="77777777" w:rsidR="00ED3A7E" w:rsidRPr="000550CF" w:rsidRDefault="00ED3A7E" w:rsidP="00F3494E">
      <w:pPr>
        <w:widowControl w:val="0"/>
        <w:ind w:firstLine="720"/>
        <w:jc w:val="both"/>
        <w:rPr>
          <w:szCs w:val="24"/>
        </w:rPr>
      </w:pPr>
      <w:r>
        <w:t>4) other institutional investors whose main activity is to invest in financial instruments, including entities dedicated to the securitisation of assets or other financing transactions.</w:t>
      </w:r>
    </w:p>
    <w:p w14:paraId="39C7552F" w14:textId="77777777" w:rsidR="00ED3A7E" w:rsidRPr="000550CF" w:rsidRDefault="00ED3A7E" w:rsidP="00F3494E">
      <w:pPr>
        <w:widowControl w:val="0"/>
        <w:ind w:firstLine="720"/>
        <w:jc w:val="both"/>
        <w:rPr>
          <w:szCs w:val="24"/>
        </w:rPr>
      </w:pPr>
      <w:r>
        <w:t xml:space="preserve">2. Prior to any provision of investment and/or ancillary services to any of the persons referred to above, the financial brokerage firm shall inform the person that </w:t>
      </w:r>
      <w:proofErr w:type="gramStart"/>
      <w:r>
        <w:t>on the basis of</w:t>
      </w:r>
      <w:proofErr w:type="gramEnd"/>
      <w:r>
        <w:t xml:space="preserve"> the information available to the financial brokerage firm, the person is deemed to be a professional client, and will be treated as such unless the financial brokerage firm and the client agree otherwise.</w:t>
      </w:r>
    </w:p>
    <w:p w14:paraId="2F1BB881" w14:textId="77777777" w:rsidR="00ED3A7E" w:rsidRPr="000550CF" w:rsidRDefault="00ED3A7E" w:rsidP="00F3494E">
      <w:pPr>
        <w:widowControl w:val="0"/>
        <w:ind w:firstLine="720"/>
        <w:jc w:val="both"/>
        <w:rPr>
          <w:szCs w:val="24"/>
        </w:rPr>
      </w:pPr>
      <w:r>
        <w:t>3. Upon a choice of the professional clients referred to in paragraph 1 of this Article, they may be deprived of all or certain investor protection measures, indicated in Articles 29 (excluding its paragraphs 5 to 8), Articles 30, 33 and Article 34(1) of this Law.</w:t>
      </w:r>
    </w:p>
    <w:p w14:paraId="5581EAD4" w14:textId="77777777" w:rsidR="00ED3A7E" w:rsidRPr="000550CF" w:rsidRDefault="00ED3A7E" w:rsidP="00F3494E">
      <w:pPr>
        <w:widowControl w:val="0"/>
        <w:ind w:firstLine="720"/>
        <w:jc w:val="both"/>
        <w:rPr>
          <w:szCs w:val="24"/>
        </w:rPr>
      </w:pPr>
      <w:r>
        <w:t xml:space="preserve">4. Prior to any provision of investment services to any of the entities referred to in paragraph 1 of this Article, a financial brokerage firm shall inform them that </w:t>
      </w:r>
      <w:proofErr w:type="gramStart"/>
      <w:r>
        <w:t>on the basis of</w:t>
      </w:r>
      <w:proofErr w:type="gramEnd"/>
      <w:r>
        <w:t xml:space="preserve"> the information available to the financial brokerage firm, the entity is deemed to be a professional client and will not </w:t>
      </w:r>
      <w:r>
        <w:lastRenderedPageBreak/>
        <w:t xml:space="preserve">be subject to the protection applicable to retail clients, unless agreed otherwise. </w:t>
      </w:r>
      <w:proofErr w:type="gramStart"/>
      <w:r>
        <w:t>In order to</w:t>
      </w:r>
      <w:proofErr w:type="gramEnd"/>
      <w:r>
        <w:t xml:space="preserve"> provide a higher level of protection of the client interests, a financial brokerage firm seeking must inform the professional client that such client may request a variation of the terms of the investment service agreement.</w:t>
      </w:r>
    </w:p>
    <w:p w14:paraId="741AA92B" w14:textId="77777777" w:rsidR="00ED3A7E" w:rsidRPr="000550CF" w:rsidRDefault="00ED3A7E" w:rsidP="00F3494E">
      <w:pPr>
        <w:widowControl w:val="0"/>
        <w:ind w:firstLine="720"/>
        <w:jc w:val="both"/>
        <w:rPr>
          <w:szCs w:val="24"/>
        </w:rPr>
      </w:pPr>
      <w:r>
        <w:t>5. Entities referred to in paragraph 1 of this Article shall be allowed to apply to the financial brokerage firm and request non-professional treatments. In that case, the financial brokerage firm must apply to them all the investor protection measures that are available to retail clients.</w:t>
      </w:r>
    </w:p>
    <w:p w14:paraId="3DD8D4E0" w14:textId="77777777" w:rsidR="00ED3A7E" w:rsidRPr="000550CF" w:rsidRDefault="00ED3A7E" w:rsidP="00F3494E">
      <w:pPr>
        <w:widowControl w:val="0"/>
        <w:ind w:firstLine="720"/>
        <w:jc w:val="both"/>
        <w:rPr>
          <w:szCs w:val="24"/>
        </w:rPr>
      </w:pPr>
      <w:r>
        <w:t>6. A financial brokerage firm’s client who is a professional client shall be responsible for selecting the investor protection level applicable to it when it deems it is unable to properly assess or manage the risks involved.</w:t>
      </w:r>
    </w:p>
    <w:p w14:paraId="426B71C3" w14:textId="77777777" w:rsidR="00ED3A7E" w:rsidRPr="000550CF" w:rsidRDefault="00ED3A7E" w:rsidP="00F3494E">
      <w:pPr>
        <w:widowControl w:val="0"/>
        <w:ind w:firstLine="720"/>
        <w:jc w:val="both"/>
        <w:rPr>
          <w:szCs w:val="24"/>
        </w:rPr>
      </w:pPr>
      <w:r>
        <w:t xml:space="preserve">7. This higher level of protection shall be provided when a professional client enters into a written agreement with a financial brokerage firm to the effect that it shall not be treated as a professional for the purposes of the applicable investor protection measures provided for under this Law. Such agreement shall specify whether this applies to one or more </w:t>
      </w:r>
      <w:proofErr w:type="gramStart"/>
      <w:r>
        <w:t>particular services</w:t>
      </w:r>
      <w:proofErr w:type="gramEnd"/>
      <w:r>
        <w:t xml:space="preserve"> or transactions, or to one or more types of financial instrument or transaction.</w:t>
      </w:r>
    </w:p>
    <w:p w14:paraId="2EF81E42" w14:textId="77777777" w:rsidR="00ED3A7E" w:rsidRPr="000550CF" w:rsidRDefault="00ED3A7E" w:rsidP="00F3494E">
      <w:pPr>
        <w:widowControl w:val="0"/>
        <w:ind w:firstLine="720"/>
        <w:jc w:val="both"/>
        <w:rPr>
          <w:szCs w:val="24"/>
          <w:lang w:eastAsia="lt-LT"/>
        </w:rPr>
      </w:pPr>
    </w:p>
    <w:p w14:paraId="7FAD8A56" w14:textId="77777777" w:rsidR="00ED3A7E" w:rsidRPr="000550CF" w:rsidRDefault="00ED3A7E" w:rsidP="00F3494E">
      <w:pPr>
        <w:widowControl w:val="0"/>
        <w:ind w:firstLine="720"/>
        <w:jc w:val="both"/>
        <w:rPr>
          <w:szCs w:val="24"/>
        </w:rPr>
      </w:pPr>
      <w:r>
        <w:rPr>
          <w:b/>
          <w:szCs w:val="24"/>
        </w:rPr>
        <w:t xml:space="preserve">Article 38. Clients who may be treated as professional clients on </w:t>
      </w:r>
      <w:proofErr w:type="gramStart"/>
      <w:r>
        <w:rPr>
          <w:b/>
          <w:szCs w:val="24"/>
        </w:rPr>
        <w:t>request</w:t>
      </w:r>
      <w:proofErr w:type="gramEnd"/>
      <w:r>
        <w:rPr>
          <w:b/>
          <w:szCs w:val="24"/>
        </w:rPr>
        <w:t xml:space="preserve"> </w:t>
      </w:r>
    </w:p>
    <w:p w14:paraId="3FA10692" w14:textId="77777777" w:rsidR="00ED3A7E" w:rsidRPr="000550CF" w:rsidRDefault="00ED3A7E" w:rsidP="00F3494E">
      <w:pPr>
        <w:widowControl w:val="0"/>
        <w:ind w:firstLine="720"/>
        <w:jc w:val="both"/>
        <w:rPr>
          <w:szCs w:val="24"/>
        </w:rPr>
      </w:pPr>
      <w:r>
        <w:t>1. Clients of a financial brokerage firm, other than those included in the list of entities referred to in Article 37(1) of this Law, including public sector bodies, local public authorities, municipalities and private individual investors, may also be allowed to waive all or some of the protections of investors referred to in Article 29 (excluding its paragraphs 5 to 8), Articles 30, 33, and Article 34(1) of this Law, if they are treated as professional clients on request, meet the criteria indicated in paragraphs 2 and 3 of this Article and the procedures stipulated in this Article are complied with.</w:t>
      </w:r>
    </w:p>
    <w:p w14:paraId="1F85D64C" w14:textId="77777777" w:rsidR="00ED3A7E" w:rsidRPr="000550CF" w:rsidRDefault="00ED3A7E" w:rsidP="00F3494E">
      <w:pPr>
        <w:widowControl w:val="0"/>
        <w:ind w:firstLine="720"/>
        <w:jc w:val="both"/>
        <w:rPr>
          <w:szCs w:val="24"/>
        </w:rPr>
      </w:pPr>
      <w:r>
        <w:t xml:space="preserve">2. Any such waiver of investor protections shall </w:t>
      </w:r>
      <w:proofErr w:type="gramStart"/>
      <w:r>
        <w:t>be considered to be</w:t>
      </w:r>
      <w:proofErr w:type="gramEnd"/>
      <w:r>
        <w:t xml:space="preserve"> valid only if an adequate assessment of the expertise, experience and knowledge of the client, undertaken by a financial brokerage firm, gives reasonable assurance, in light of the nature of the transactions or services envisaged, that the client is capable of making investment decisions and understanding the risks involved. Persons treated as professional clients on request shall not, however, be presumed to possess market knowledge and experience comparable to that of the professional clients referred to in Article 37 of this Law. The fitness test applied to managers of financial institutions could be regarded as an example of the assessment of expertise and knowledge. In the case of small entities, the person subject to that assessment shall be the person authorised to carry out transactions on behalf of the entity.</w:t>
      </w:r>
    </w:p>
    <w:p w14:paraId="6C7AF17B" w14:textId="77777777" w:rsidR="00ED3A7E" w:rsidRPr="000550CF" w:rsidRDefault="00ED3A7E" w:rsidP="00F3494E">
      <w:pPr>
        <w:widowControl w:val="0"/>
        <w:ind w:firstLine="720"/>
        <w:jc w:val="both"/>
        <w:rPr>
          <w:szCs w:val="24"/>
        </w:rPr>
      </w:pPr>
      <w:r>
        <w:t xml:space="preserve">3. </w:t>
      </w:r>
      <w:proofErr w:type="gramStart"/>
      <w:r>
        <w:t>In order for</w:t>
      </w:r>
      <w:proofErr w:type="gramEnd"/>
      <w:r>
        <w:t xml:space="preserve"> a person to be treated as a professional client on request, as a minimum, two of the following criteria shall be satisfied:</w:t>
      </w:r>
    </w:p>
    <w:p w14:paraId="438EEDA6" w14:textId="77777777" w:rsidR="00ED3A7E" w:rsidRPr="000550CF" w:rsidRDefault="00ED3A7E" w:rsidP="00F3494E">
      <w:pPr>
        <w:widowControl w:val="0"/>
        <w:ind w:firstLine="720"/>
        <w:jc w:val="both"/>
        <w:rPr>
          <w:szCs w:val="24"/>
        </w:rPr>
      </w:pPr>
      <w:r>
        <w:t xml:space="preserve">1) per the client has carried out transactions, in significant size, on the relevant market at an average frequency of 10 per quarter over the previous four </w:t>
      </w:r>
      <w:proofErr w:type="gramStart"/>
      <w:r>
        <w:t>quarters;</w:t>
      </w:r>
      <w:proofErr w:type="gramEnd"/>
    </w:p>
    <w:p w14:paraId="5D3FDDC8" w14:textId="77777777" w:rsidR="00ED3A7E" w:rsidRPr="000550CF" w:rsidRDefault="00ED3A7E" w:rsidP="00F3494E">
      <w:pPr>
        <w:widowControl w:val="0"/>
        <w:ind w:firstLine="720"/>
        <w:jc w:val="both"/>
        <w:rPr>
          <w:szCs w:val="24"/>
        </w:rPr>
      </w:pPr>
      <w:r>
        <w:t>2) the size of the client’s financial instrument portfolio, defined as including cash deposits and financial instruments exceeds EUR </w:t>
      </w:r>
      <w:proofErr w:type="gramStart"/>
      <w:r>
        <w:t>500 000;</w:t>
      </w:r>
      <w:proofErr w:type="gramEnd"/>
    </w:p>
    <w:p w14:paraId="762C31BF" w14:textId="77777777" w:rsidR="00ED3A7E" w:rsidRPr="000550CF" w:rsidRDefault="00ED3A7E" w:rsidP="00F3494E">
      <w:pPr>
        <w:ind w:firstLine="720"/>
        <w:jc w:val="both"/>
      </w:pPr>
      <w:r>
        <w:t>3) the client works or has worked in the financial sector for at least one year in a professional position, which requires knowledge of the transactions or services envisaged.</w:t>
      </w:r>
    </w:p>
    <w:p w14:paraId="187D6267" w14:textId="77777777" w:rsidR="00ED3A7E" w:rsidRPr="000550CF" w:rsidRDefault="00ED3A7E" w:rsidP="00F3494E">
      <w:pPr>
        <w:widowControl w:val="0"/>
        <w:ind w:firstLine="720"/>
        <w:jc w:val="both"/>
        <w:rPr>
          <w:szCs w:val="24"/>
        </w:rPr>
      </w:pPr>
      <w:r>
        <w:t>4. The clients who satisfy the criteria referred to in paragraph 3 of this Article 3 may waive the benefit of some of the investor protections, where the following procedure is followed:</w:t>
      </w:r>
    </w:p>
    <w:p w14:paraId="1D34C031" w14:textId="77777777" w:rsidR="00ED3A7E" w:rsidRPr="000550CF" w:rsidRDefault="00ED3A7E" w:rsidP="00F3494E">
      <w:pPr>
        <w:widowControl w:val="0"/>
        <w:ind w:firstLine="720"/>
        <w:jc w:val="both"/>
        <w:rPr>
          <w:szCs w:val="24"/>
        </w:rPr>
      </w:pPr>
      <w:r>
        <w:t xml:space="preserve">1) they must state in writing to the financial brokerage firm that they wish to be treated as a professional client, either generally or in respect of a particular investment service or transaction, or type of transaction or financial </w:t>
      </w:r>
      <w:proofErr w:type="gramStart"/>
      <w:r>
        <w:t>instrument;</w:t>
      </w:r>
      <w:proofErr w:type="gramEnd"/>
    </w:p>
    <w:p w14:paraId="0BBDE92D" w14:textId="77777777" w:rsidR="00ED3A7E" w:rsidRPr="000550CF" w:rsidRDefault="00ED3A7E" w:rsidP="00F3494E">
      <w:pPr>
        <w:widowControl w:val="0"/>
        <w:ind w:firstLine="720"/>
        <w:jc w:val="both"/>
        <w:rPr>
          <w:szCs w:val="24"/>
        </w:rPr>
      </w:pPr>
      <w:r>
        <w:t xml:space="preserve">2) the financial brokerage firm must give them a clear written warning of the protections and investor compensation rights they may </w:t>
      </w:r>
      <w:proofErr w:type="gramStart"/>
      <w:r>
        <w:t>lose;</w:t>
      </w:r>
      <w:proofErr w:type="gramEnd"/>
    </w:p>
    <w:p w14:paraId="0FA720DE" w14:textId="77777777" w:rsidR="00ED3A7E" w:rsidRPr="000550CF" w:rsidRDefault="00ED3A7E" w:rsidP="00F3494E">
      <w:pPr>
        <w:ind w:firstLine="720"/>
        <w:jc w:val="both"/>
      </w:pPr>
      <w:r>
        <w:t>3) the client must state in writing, in a separate document from the contract, that he is aware of the consequences of losing such protections.</w:t>
      </w:r>
    </w:p>
    <w:p w14:paraId="19A49CFF" w14:textId="77777777" w:rsidR="00ED3A7E" w:rsidRPr="000550CF" w:rsidRDefault="00ED3A7E" w:rsidP="00F3494E">
      <w:pPr>
        <w:widowControl w:val="0"/>
        <w:ind w:firstLine="720"/>
        <w:jc w:val="both"/>
        <w:rPr>
          <w:szCs w:val="24"/>
        </w:rPr>
      </w:pPr>
      <w:r>
        <w:t>5. Before deciding to treat a client as a professional and to accept any request for waiver, the financial brokerage firm must be required to take all reasonable steps to ensure that the client requesting to be treated as a professional client meets the relevant requirements stated in this Law.</w:t>
      </w:r>
    </w:p>
    <w:p w14:paraId="5B27ACE4" w14:textId="77777777" w:rsidR="00ED3A7E" w:rsidRPr="000550CF" w:rsidRDefault="00ED3A7E" w:rsidP="00F3494E">
      <w:pPr>
        <w:widowControl w:val="0"/>
        <w:ind w:firstLine="720"/>
        <w:jc w:val="both"/>
        <w:rPr>
          <w:szCs w:val="24"/>
        </w:rPr>
      </w:pPr>
      <w:r>
        <w:lastRenderedPageBreak/>
        <w:t>6. A financial brokerage firm must implement appropriate written internal policies and procedures to categorise clients. Professional clients shall be responsible for keeping the financial brokerage firm informed about any change in the information which could affect their current categorisation as a professional client, a client treated as a professional client on request, or a retail client. Should the financial brokerage firm become aware however that the client no longer fulfils the initial conditions which made him eligible for the professional treatment the financial brokerage firm shall take appropriate action and apply to such client all investor protections.</w:t>
      </w:r>
    </w:p>
    <w:p w14:paraId="1C2080E5" w14:textId="77777777" w:rsidR="00ED3A7E" w:rsidRPr="000550CF" w:rsidRDefault="00ED3A7E" w:rsidP="00F3494E">
      <w:pPr>
        <w:widowControl w:val="0"/>
        <w:ind w:firstLine="720"/>
        <w:jc w:val="both"/>
        <w:rPr>
          <w:szCs w:val="24"/>
          <w:lang w:eastAsia="lt-LT"/>
        </w:rPr>
      </w:pPr>
    </w:p>
    <w:p w14:paraId="25FD9168" w14:textId="77777777" w:rsidR="00ED3A7E" w:rsidRPr="000550CF" w:rsidRDefault="00ED3A7E" w:rsidP="00F3494E">
      <w:pPr>
        <w:widowControl w:val="0"/>
        <w:ind w:firstLine="720"/>
        <w:jc w:val="both"/>
        <w:rPr>
          <w:b/>
          <w:szCs w:val="24"/>
        </w:rPr>
      </w:pPr>
      <w:r>
        <w:rPr>
          <w:b/>
          <w:szCs w:val="24"/>
        </w:rPr>
        <w:t xml:space="preserve">Article 39. </w:t>
      </w:r>
      <w:r>
        <w:rPr>
          <w:b/>
        </w:rPr>
        <w:t>Transactions with eligible counterparties</w:t>
      </w:r>
      <w:r>
        <w:rPr>
          <w:b/>
          <w:szCs w:val="24"/>
        </w:rPr>
        <w:t xml:space="preserve"> </w:t>
      </w:r>
    </w:p>
    <w:p w14:paraId="38C9D22B" w14:textId="1A40B278" w:rsidR="00F35A56" w:rsidRPr="00F35A56" w:rsidRDefault="00ED3A7E" w:rsidP="00F35A56">
      <w:pPr>
        <w:spacing w:line="360" w:lineRule="atLeast"/>
        <w:ind w:firstLine="720"/>
        <w:jc w:val="both"/>
        <w:rPr>
          <w:color w:val="000000"/>
          <w:szCs w:val="24"/>
        </w:rPr>
      </w:pPr>
      <w:r>
        <w:t xml:space="preserve">1.  </w:t>
      </w:r>
      <w:r>
        <w:rPr>
          <w:color w:val="000000"/>
          <w:szCs w:val="24"/>
        </w:rPr>
        <w:t>A financial brokerage firm executing orders on behalf of clients and/or dealing on own account and/or receiving and transmitting client orders, may bring about or enter into transactions with eligible counterparties without being obliged to comply with the obligations under Article 29 (excluding its paragraphs 8</w:t>
      </w:r>
      <w:r>
        <w:rPr>
          <w:color w:val="000000"/>
          <w:szCs w:val="24"/>
          <w:vertAlign w:val="superscript"/>
        </w:rPr>
        <w:t>1</w:t>
      </w:r>
      <w:r>
        <w:rPr>
          <w:color w:val="000000"/>
          <w:szCs w:val="24"/>
        </w:rPr>
        <w:t> and 8</w:t>
      </w:r>
      <w:r>
        <w:rPr>
          <w:color w:val="000000"/>
          <w:szCs w:val="24"/>
          <w:vertAlign w:val="superscript"/>
        </w:rPr>
        <w:t>2</w:t>
      </w:r>
      <w:r>
        <w:rPr>
          <w:color w:val="000000"/>
          <w:szCs w:val="24"/>
        </w:rPr>
        <w:t>), Article 30, Articles 31(1) to (3), 33, and 34(1) of this Law in respect of those transactions and in respect of any ancillary service directly relating to those transactions</w:t>
      </w:r>
    </w:p>
    <w:p w14:paraId="3190861A" w14:textId="77777777" w:rsidR="00F35A56" w:rsidRDefault="00F35A56" w:rsidP="00F35A56">
      <w:pPr>
        <w:rPr>
          <w:color w:val="000000"/>
          <w:sz w:val="27"/>
          <w:szCs w:val="27"/>
        </w:rPr>
      </w:pPr>
      <w:r>
        <w:rPr>
          <w:i/>
          <w:iCs/>
          <w:color w:val="000000"/>
          <w:sz w:val="20"/>
        </w:rPr>
        <w:t>Amendments to the paragraph of the Article:</w:t>
      </w:r>
    </w:p>
    <w:p w14:paraId="015938F1" w14:textId="03F3DA0E" w:rsidR="00F35A56" w:rsidRDefault="00F35A56" w:rsidP="00F35A56">
      <w:pPr>
        <w:jc w:val="both"/>
        <w:rPr>
          <w:color w:val="000000"/>
          <w:sz w:val="27"/>
          <w:szCs w:val="27"/>
        </w:rPr>
      </w:pPr>
      <w:r>
        <w:rPr>
          <w:i/>
          <w:iCs/>
          <w:color w:val="000000"/>
          <w:sz w:val="20"/>
        </w:rPr>
        <w:t xml:space="preserve">No </w:t>
      </w:r>
      <w:hyperlink r:id="rId109" w:tgtFrame="_parent" w:history="1">
        <w:r>
          <w:rPr>
            <w:rStyle w:val="Hyperlink"/>
            <w:i/>
            <w:iCs/>
            <w:sz w:val="20"/>
          </w:rPr>
          <w:t>XIV-821</w:t>
        </w:r>
      </w:hyperlink>
      <w:r>
        <w:rPr>
          <w:i/>
          <w:iCs/>
          <w:color w:val="000000"/>
          <w:sz w:val="20"/>
        </w:rPr>
        <w:t>, 23/12/2021, published in the RLA, 30/12/2021, ID code 2021-27710</w:t>
      </w:r>
    </w:p>
    <w:p w14:paraId="0BC00FD0" w14:textId="56EA1D56" w:rsidR="00ED3A7E" w:rsidRPr="000550CF" w:rsidRDefault="00ED3A7E" w:rsidP="00F3494E">
      <w:pPr>
        <w:widowControl w:val="0"/>
        <w:ind w:firstLine="720"/>
        <w:jc w:val="both"/>
        <w:rPr>
          <w:szCs w:val="24"/>
          <w:lang w:eastAsia="lt-LT"/>
        </w:rPr>
      </w:pPr>
    </w:p>
    <w:p w14:paraId="622B478C" w14:textId="77777777" w:rsidR="00ED3A7E" w:rsidRPr="000550CF" w:rsidRDefault="00ED3A7E" w:rsidP="00F3494E">
      <w:pPr>
        <w:widowControl w:val="0"/>
        <w:ind w:firstLine="720"/>
        <w:jc w:val="both"/>
        <w:rPr>
          <w:szCs w:val="24"/>
        </w:rPr>
      </w:pPr>
      <w:r>
        <w:t xml:space="preserve">2. Financial brokerage firms in their relationship with eligible counterparties, investment firms shall act honestly, </w:t>
      </w:r>
      <w:proofErr w:type="gramStart"/>
      <w:r>
        <w:t>fairly</w:t>
      </w:r>
      <w:proofErr w:type="gramEnd"/>
      <w:r>
        <w:t xml:space="preserve"> and professionally and communicate in a way which is fair, clear and not misleading, taking into account the nature of the eligible counterparty and of its business.</w:t>
      </w:r>
    </w:p>
    <w:p w14:paraId="3164AD69" w14:textId="77777777" w:rsidR="00ED3A7E" w:rsidRPr="000550CF" w:rsidRDefault="00ED3A7E" w:rsidP="00F3494E">
      <w:pPr>
        <w:ind w:firstLine="720"/>
        <w:jc w:val="both"/>
      </w:pPr>
      <w:r>
        <w:t xml:space="preserve">3. For the purposes of this Article recognised as eligible counterparties shall be financial brokerage firms, credit institutions, insurance undertakings, </w:t>
      </w:r>
      <w:proofErr w:type="spellStart"/>
      <w:r>
        <w:t>UCITS</w:t>
      </w:r>
      <w:proofErr w:type="spellEnd"/>
      <w:r>
        <w:t xml:space="preserve"> and their management companies, pension funds and their management companies, other financial institutions authorised or regulated under the European Union law or under the national law of Member States, national governments of Member States and their authorised entities that deal with public debt at national level, central banks and supranational organisations.</w:t>
      </w:r>
    </w:p>
    <w:p w14:paraId="7E5D7007" w14:textId="77777777" w:rsidR="00ED3A7E" w:rsidRPr="000550CF" w:rsidRDefault="00ED3A7E" w:rsidP="00F3494E">
      <w:pPr>
        <w:ind w:firstLine="720"/>
        <w:jc w:val="both"/>
      </w:pPr>
      <w:r>
        <w:t xml:space="preserve">4. Classification as an eligible counterparty under the first subparagraph shall be without prejudice to the right of such entities to request, either on a general form or on a trade-by-trade basis, treatment as clients whose business with the financial brokerage firm is subject to Articles 29, 30, 31, 33 and Article 34(1) and (2) of this Law. </w:t>
      </w:r>
    </w:p>
    <w:p w14:paraId="619FC968" w14:textId="77777777" w:rsidR="00ED3A7E" w:rsidRPr="000550CF" w:rsidRDefault="00ED3A7E" w:rsidP="00F3494E">
      <w:pPr>
        <w:widowControl w:val="0"/>
        <w:ind w:firstLine="720"/>
        <w:jc w:val="both"/>
        <w:rPr>
          <w:szCs w:val="24"/>
        </w:rPr>
      </w:pPr>
      <w:r>
        <w:t xml:space="preserve">5. In the event of a transaction where the prospective counterparties </w:t>
      </w:r>
      <w:proofErr w:type="gramStart"/>
      <w:r>
        <w:t>are located in</w:t>
      </w:r>
      <w:proofErr w:type="gramEnd"/>
      <w:r>
        <w:t xml:space="preserve"> different jurisdictions, the financial brokerage firm shall defer to the status of the other undertaking as determined by legal acts of the Member State in which that undertaking is established.</w:t>
      </w:r>
    </w:p>
    <w:p w14:paraId="49FE8734" w14:textId="77777777" w:rsidR="00ED3A7E" w:rsidRPr="000550CF" w:rsidRDefault="00ED3A7E" w:rsidP="00F3494E">
      <w:pPr>
        <w:widowControl w:val="0"/>
        <w:ind w:firstLine="720"/>
        <w:jc w:val="both"/>
        <w:rPr>
          <w:szCs w:val="24"/>
        </w:rPr>
      </w:pPr>
      <w:r>
        <w:t>6. Prior to the conclusion of a transaction with an eligible counterparty, a financial brokerage firm shall obtain the express confirmation from the prospective counterparty that it agrees to be treated as an eligible counterparty. Such confirmation may be obtained either in the form of a general agreement or in respect of each individual transaction.</w:t>
      </w:r>
    </w:p>
    <w:p w14:paraId="4495A95C" w14:textId="77777777" w:rsidR="00ED3A7E" w:rsidRPr="000550CF" w:rsidRDefault="00ED3A7E" w:rsidP="00F3494E">
      <w:pPr>
        <w:widowControl w:val="0"/>
        <w:ind w:firstLine="720"/>
        <w:jc w:val="both"/>
        <w:rPr>
          <w:szCs w:val="24"/>
        </w:rPr>
      </w:pPr>
      <w:r>
        <w:t xml:space="preserve">7. Third-country firms may be recognised as eligible counterparties </w:t>
      </w:r>
      <w:proofErr w:type="gramStart"/>
      <w:r>
        <w:t>provided</w:t>
      </w:r>
      <w:proofErr w:type="gramEnd"/>
      <w:r>
        <w:t xml:space="preserve"> they perform similar functions and/or engage in activities similar to those referred to in paragraph 3 of this Article. </w:t>
      </w:r>
    </w:p>
    <w:p w14:paraId="3C8F1599" w14:textId="77777777" w:rsidR="00ED3A7E" w:rsidRPr="000550CF" w:rsidRDefault="00ED3A7E" w:rsidP="00F3494E">
      <w:pPr>
        <w:widowControl w:val="0"/>
        <w:ind w:firstLine="720"/>
        <w:jc w:val="both"/>
        <w:rPr>
          <w:szCs w:val="24"/>
          <w:lang w:eastAsia="lt-LT"/>
        </w:rPr>
      </w:pPr>
    </w:p>
    <w:p w14:paraId="583C6CFE" w14:textId="77777777" w:rsidR="00ED3A7E" w:rsidRPr="000550CF" w:rsidRDefault="00ED3A7E" w:rsidP="00F3494E">
      <w:pPr>
        <w:widowControl w:val="0"/>
        <w:ind w:firstLine="142"/>
        <w:jc w:val="center"/>
        <w:rPr>
          <w:szCs w:val="24"/>
        </w:rPr>
      </w:pPr>
      <w:r>
        <w:rPr>
          <w:b/>
          <w:szCs w:val="24"/>
        </w:rPr>
        <w:t>SECTION FIVE</w:t>
      </w:r>
    </w:p>
    <w:p w14:paraId="2D6C822E" w14:textId="77777777" w:rsidR="00F35A56" w:rsidRPr="00F35A56" w:rsidRDefault="00F35A56" w:rsidP="00F35A56">
      <w:pPr>
        <w:spacing w:line="360" w:lineRule="atLeast"/>
        <w:ind w:firstLine="142"/>
        <w:jc w:val="center"/>
        <w:rPr>
          <w:color w:val="000000"/>
          <w:szCs w:val="24"/>
        </w:rPr>
      </w:pPr>
      <w:r>
        <w:rPr>
          <w:b/>
          <w:bCs/>
          <w:color w:val="000000"/>
          <w:szCs w:val="24"/>
        </w:rPr>
        <w:t>MARKET TRANSPARENCY REQUIREMENTS FOR FINANCIAL BROKERAGE FIRMS, INSTITUTIONAL INVESTORS, ASSET MANAGERS AND PROXY ADVISORS</w:t>
      </w:r>
    </w:p>
    <w:p w14:paraId="36CAE2F9" w14:textId="77777777" w:rsidR="00F35A56" w:rsidRDefault="00F35A56" w:rsidP="00F35A56">
      <w:pPr>
        <w:rPr>
          <w:color w:val="000000"/>
          <w:sz w:val="27"/>
          <w:szCs w:val="27"/>
        </w:rPr>
      </w:pPr>
      <w:r>
        <w:rPr>
          <w:i/>
          <w:iCs/>
          <w:color w:val="000000"/>
          <w:sz w:val="20"/>
        </w:rPr>
        <w:t>Amendment to the title of the Article:</w:t>
      </w:r>
    </w:p>
    <w:p w14:paraId="20723025" w14:textId="77777777" w:rsidR="00F35A56" w:rsidRDefault="00F35A56" w:rsidP="00F35A56">
      <w:pPr>
        <w:jc w:val="both"/>
        <w:rPr>
          <w:color w:val="000000"/>
          <w:sz w:val="27"/>
          <w:szCs w:val="27"/>
        </w:rPr>
      </w:pPr>
      <w:r>
        <w:rPr>
          <w:i/>
          <w:iCs/>
          <w:color w:val="000000"/>
          <w:sz w:val="20"/>
        </w:rPr>
        <w:t xml:space="preserve">No </w:t>
      </w:r>
      <w:hyperlink r:id="rId110" w:tgtFrame="_parent" w:history="1">
        <w:r>
          <w:rPr>
            <w:rStyle w:val="Hyperlink"/>
            <w:i/>
            <w:iCs/>
            <w:sz w:val="20"/>
          </w:rPr>
          <w:t>XIII-2252</w:t>
        </w:r>
      </w:hyperlink>
      <w:r>
        <w:rPr>
          <w:i/>
          <w:iCs/>
          <w:color w:val="000000"/>
          <w:sz w:val="20"/>
        </w:rPr>
        <w:t>, 27/06/2019, published in the RLA, 05/07/2019, ID code 2019-11172</w:t>
      </w:r>
    </w:p>
    <w:p w14:paraId="3A46F918" w14:textId="77777777" w:rsidR="00F35A56" w:rsidRPr="000550CF" w:rsidRDefault="00F35A56" w:rsidP="00F3494E">
      <w:pPr>
        <w:widowControl w:val="0"/>
        <w:ind w:firstLine="142"/>
        <w:jc w:val="center"/>
        <w:rPr>
          <w:szCs w:val="24"/>
          <w:lang w:eastAsia="lt-LT"/>
        </w:rPr>
      </w:pPr>
    </w:p>
    <w:p w14:paraId="01B58101" w14:textId="77777777" w:rsidR="00ED3A7E" w:rsidRPr="000550CF" w:rsidRDefault="00ED3A7E" w:rsidP="00F3494E">
      <w:pPr>
        <w:widowControl w:val="0"/>
        <w:ind w:firstLine="720"/>
        <w:jc w:val="both"/>
        <w:rPr>
          <w:szCs w:val="24"/>
          <w:lang w:eastAsia="lt-LT"/>
        </w:rPr>
      </w:pPr>
    </w:p>
    <w:p w14:paraId="2B22C214" w14:textId="77777777" w:rsidR="00ED3A7E" w:rsidRPr="000550CF" w:rsidRDefault="00ED3A7E" w:rsidP="00F3494E">
      <w:pPr>
        <w:widowControl w:val="0"/>
        <w:ind w:left="2127" w:hanging="1407"/>
        <w:jc w:val="both"/>
        <w:rPr>
          <w:szCs w:val="24"/>
        </w:rPr>
      </w:pPr>
      <w:r>
        <w:rPr>
          <w:b/>
          <w:szCs w:val="24"/>
        </w:rPr>
        <w:t xml:space="preserve">Article 40. </w:t>
      </w:r>
      <w:r>
        <w:rPr>
          <w:b/>
        </w:rPr>
        <w:t xml:space="preserve">Monitoring of compliance with operating rules and other established obligations of an MTF  </w:t>
      </w:r>
    </w:p>
    <w:p w14:paraId="6F7C5461" w14:textId="77777777" w:rsidR="00ED3A7E" w:rsidRPr="000550CF" w:rsidRDefault="00ED3A7E" w:rsidP="00F3494E">
      <w:pPr>
        <w:widowControl w:val="0"/>
        <w:ind w:firstLine="720"/>
        <w:jc w:val="both"/>
        <w:rPr>
          <w:szCs w:val="24"/>
        </w:rPr>
      </w:pPr>
      <w:r>
        <w:t xml:space="preserve">1. Financial brokerage firms and market operators operating an MTF or an OTF shall establish </w:t>
      </w:r>
      <w:r>
        <w:lastRenderedPageBreak/>
        <w:t>and maintain effective arrangements and procedures, relevant to the MTF or OTF, for the regular monitoring of the compliance by its members or participants or users with its rules. Financial brokerage firms and market operators operating an MTF or an OTF shall monitor the orders sent, including cancellations and the transactions undertaken by their members or participants or users under their systems, in order to identify infringements of those rules, disorderly trading conditions, conduct that may indicate behaviour that is prohibited under Regulation (EU) No 596/2014 or system disruptions in relation to a financial instrument and shall deploy the resource necessary to ensure that such monitoring is effective.</w:t>
      </w:r>
    </w:p>
    <w:p w14:paraId="0FBDF94A" w14:textId="77777777" w:rsidR="00ED3A7E" w:rsidRPr="000550CF" w:rsidRDefault="00ED3A7E" w:rsidP="00F3494E">
      <w:pPr>
        <w:ind w:firstLine="720"/>
        <w:jc w:val="both"/>
      </w:pPr>
      <w:r>
        <w:t>2. Financial brokerage firms and market operators operating an MTF or an OTF must inform the supervisory authority immediately of significant infringements of its rules or disorderly trading conditions or conduct that may indicate behaviour that is prohibited under Regulation (EU) No 596/2014 or system disruptions in relation to a financial instrument. Financial brokerage firms and market operators operating an MTF or an OTF must supply to the supervisory authority without undue delay the information relating to potential infringements and provide full assistance in investigating and prosecuting the cases of potential market abuse occurring on or through its systems.</w:t>
      </w:r>
    </w:p>
    <w:p w14:paraId="06113CAA" w14:textId="77777777" w:rsidR="00ED3A7E" w:rsidRPr="000550CF" w:rsidRDefault="00ED3A7E" w:rsidP="00F3494E">
      <w:pPr>
        <w:widowControl w:val="0"/>
        <w:ind w:firstLine="720"/>
        <w:jc w:val="both"/>
        <w:rPr>
          <w:szCs w:val="24"/>
        </w:rPr>
      </w:pPr>
      <w:r>
        <w:t>3. The supervisory authority shall transmit to the ESMA and supervisory authorities of other Member States the information referred to in paragraph 2 of this Article. In relation to conduct that may indicate behaviour that is prohibited under Regulation (EU) No 596/2014, the supervisory authority must be convinced that such behaviour is being or has been carried out before it notifies the ESMA.</w:t>
      </w:r>
    </w:p>
    <w:p w14:paraId="5E5102BF" w14:textId="77777777" w:rsidR="00ED3A7E" w:rsidRPr="000550CF" w:rsidRDefault="00ED3A7E" w:rsidP="00F3494E">
      <w:pPr>
        <w:widowControl w:val="0"/>
        <w:ind w:firstLine="720"/>
        <w:jc w:val="both"/>
        <w:rPr>
          <w:szCs w:val="24"/>
          <w:lang w:eastAsia="lt-LT"/>
        </w:rPr>
      </w:pPr>
    </w:p>
    <w:p w14:paraId="64E3540B" w14:textId="77777777" w:rsidR="00ED3A7E" w:rsidRPr="000550CF" w:rsidRDefault="00ED3A7E" w:rsidP="00F3494E">
      <w:pPr>
        <w:widowControl w:val="0"/>
        <w:ind w:left="2268" w:hanging="1548"/>
        <w:jc w:val="both"/>
        <w:rPr>
          <w:b/>
          <w:szCs w:val="24"/>
        </w:rPr>
      </w:pPr>
      <w:r>
        <w:rPr>
          <w:b/>
          <w:szCs w:val="24"/>
        </w:rPr>
        <w:t>Article 41.</w:t>
      </w:r>
      <w:r>
        <w:rPr>
          <w:b/>
          <w:i/>
          <w:szCs w:val="24"/>
        </w:rPr>
        <w:t xml:space="preserve"> </w:t>
      </w:r>
      <w:r>
        <w:rPr>
          <w:b/>
        </w:rPr>
        <w:t>Suspension and removal of financial instruments from trading on an MTF or an OTF</w:t>
      </w:r>
    </w:p>
    <w:p w14:paraId="001C111A" w14:textId="77777777" w:rsidR="00ED3A7E" w:rsidRPr="000550CF" w:rsidRDefault="00ED3A7E" w:rsidP="00F3494E">
      <w:pPr>
        <w:widowControl w:val="0"/>
        <w:ind w:firstLine="720"/>
        <w:jc w:val="both"/>
        <w:rPr>
          <w:szCs w:val="24"/>
        </w:rPr>
      </w:pPr>
      <w:r>
        <w:t>1. A financial brokerage firm or a market operator operating an MTF or an OTF may suspend or remove from trading a financial instrument which no longer complies with the rules of the MTF or OTF unless such suspension or removal would be likely to cause significant damage to the investors’ interests or the orderly functioning of the market.</w:t>
      </w:r>
    </w:p>
    <w:p w14:paraId="4FC8C386" w14:textId="77777777" w:rsidR="00ED3A7E" w:rsidRPr="000550CF" w:rsidRDefault="00ED3A7E" w:rsidP="00F3494E">
      <w:pPr>
        <w:widowControl w:val="0"/>
        <w:ind w:firstLine="720"/>
        <w:jc w:val="both"/>
        <w:rPr>
          <w:szCs w:val="24"/>
        </w:rPr>
      </w:pPr>
      <w:r>
        <w:t xml:space="preserve">2. A financial brokerage firm or a market operator operating an MTF or an OTF that suspends or removes from trading a financial instrument shall also suspend or remove derivatives referred to in Article 3(15)(4) to (10) of this Law that relate or are referenced to that financial instrument where necessary to support the objectives of the suspension or removal of the underlying financial instrument. </w:t>
      </w:r>
    </w:p>
    <w:p w14:paraId="6401C48B" w14:textId="77777777" w:rsidR="00ED3A7E" w:rsidRPr="000550CF" w:rsidRDefault="00ED3A7E" w:rsidP="00F3494E">
      <w:pPr>
        <w:widowControl w:val="0"/>
        <w:ind w:firstLine="720"/>
        <w:jc w:val="both"/>
        <w:rPr>
          <w:szCs w:val="24"/>
        </w:rPr>
      </w:pPr>
      <w:r>
        <w:t xml:space="preserve">3. A financial brokerage firm or a market operator operating an MTF or an OTF shall make public its decision on the suspension or removal of the financial instrument and of derivatives referred to in paragraph 2 of this Article and shall communicate the relevant decision to the supervisory authority. </w:t>
      </w:r>
    </w:p>
    <w:p w14:paraId="32DE010F" w14:textId="77777777" w:rsidR="00ED3A7E" w:rsidRPr="000550CF" w:rsidRDefault="00ED3A7E" w:rsidP="00F3494E">
      <w:pPr>
        <w:ind w:firstLine="720"/>
        <w:jc w:val="both"/>
      </w:pPr>
      <w:r>
        <w:t xml:space="preserve">4. The supervisory authority having established the suspension or removal of the financial instrument from trading in the Republic of Lithuania shall require that regulated markets, other MTFs, other </w:t>
      </w:r>
      <w:proofErr w:type="spellStart"/>
      <w:r>
        <w:t>OTFs</w:t>
      </w:r>
      <w:proofErr w:type="spellEnd"/>
      <w:r>
        <w:t xml:space="preserve"> and systematic </w:t>
      </w:r>
      <w:proofErr w:type="spellStart"/>
      <w:r>
        <w:t>internalisers</w:t>
      </w:r>
      <w:proofErr w:type="spellEnd"/>
      <w:r>
        <w:t>, which fall under its jurisdiction and trade the same financial instrument or derivatives referred to in paragraph 2 of this Article that relate or are referenced to that financial instrument, also suspend or remove that financial instrument or derivatives from trading, where the suspension or removal is due to suspected market abuse, a take-over bid or the non-disclosure of inside information about the issuer or financial instrument infringing Articles 7 and 17 of Regulation (EU) No 596/2014, except where such suspension or removal could cause significant damage to the investors’ interests or the orderly functioning of the market. The supervisory authority shall immediately make public and communicate to ESMA and supervisory authorities of the other Member States such a decision.</w:t>
      </w:r>
    </w:p>
    <w:p w14:paraId="09DB59E5" w14:textId="77777777" w:rsidR="00ED3A7E" w:rsidRPr="000550CF" w:rsidRDefault="00ED3A7E" w:rsidP="00F3494E">
      <w:pPr>
        <w:widowControl w:val="0"/>
        <w:ind w:firstLine="720"/>
        <w:jc w:val="both"/>
        <w:rPr>
          <w:szCs w:val="24"/>
        </w:rPr>
      </w:pPr>
      <w:r>
        <w:t xml:space="preserve">5. The supervisory authority having received from a supervisory authority of another Member State the information similar to that referred to in paragraph 4 of this Article shall require that regulated markets, other MTFs, other </w:t>
      </w:r>
      <w:proofErr w:type="spellStart"/>
      <w:r>
        <w:t>OTFs</w:t>
      </w:r>
      <w:proofErr w:type="spellEnd"/>
      <w:r>
        <w:t xml:space="preserve"> and systematic </w:t>
      </w:r>
      <w:proofErr w:type="spellStart"/>
      <w:r>
        <w:t>internalisers</w:t>
      </w:r>
      <w:proofErr w:type="spellEnd"/>
      <w:r>
        <w:t xml:space="preserve">, which fall under its jurisdiction and trade the same financial instrument or derivatives referred to in paragraph 2 of this Article shall also suspend or remove that financial instrument or derivatives from trading, where the </w:t>
      </w:r>
      <w:r>
        <w:lastRenderedPageBreak/>
        <w:t xml:space="preserve">suspension or removal is due to suspected market abuse, a take-over bid or the non-disclosure of inside information about the issuer or financial instrument infringing Articles 7 and 17 of Regulation (EU) No 596/2014 except where such suspension or removal could cause significant damage to the investor interests or the orderly functioning of the market. </w:t>
      </w:r>
    </w:p>
    <w:p w14:paraId="3F145792" w14:textId="77777777" w:rsidR="00ED3A7E" w:rsidRPr="000550CF" w:rsidRDefault="00ED3A7E" w:rsidP="00F3494E">
      <w:pPr>
        <w:widowControl w:val="0"/>
        <w:ind w:firstLine="720"/>
        <w:jc w:val="both"/>
        <w:rPr>
          <w:szCs w:val="24"/>
        </w:rPr>
      </w:pPr>
      <w:r>
        <w:t xml:space="preserve">6. The supervisory authority having received from a supervisory authority of another Member State the information referred to in paragraph 5 of this Article shall communicate its decision to ESMA and supervisory authorities of other Member States, including an explanation if the decision was not to suspend or remove from trading the financial instrument or derivatives referred to in paragraph 2 of this Article. </w:t>
      </w:r>
    </w:p>
    <w:p w14:paraId="0A704A6B" w14:textId="77777777" w:rsidR="00ED3A7E" w:rsidRPr="000550CF" w:rsidRDefault="00ED3A7E" w:rsidP="00F3494E">
      <w:pPr>
        <w:widowControl w:val="0"/>
        <w:ind w:firstLine="720"/>
        <w:jc w:val="both"/>
        <w:rPr>
          <w:szCs w:val="24"/>
        </w:rPr>
      </w:pPr>
      <w:r>
        <w:t>7. The requirements specified in this Article shall also apply when the suspension from trading of a financial instrument or derivatives referred to in paragraph 2 of this Article is lifted.</w:t>
      </w:r>
    </w:p>
    <w:p w14:paraId="10E39E33" w14:textId="77777777" w:rsidR="00ED3A7E" w:rsidRPr="000550CF" w:rsidRDefault="00ED3A7E" w:rsidP="00F3494E">
      <w:pPr>
        <w:widowControl w:val="0"/>
        <w:ind w:firstLine="720"/>
        <w:jc w:val="both"/>
        <w:rPr>
          <w:szCs w:val="24"/>
        </w:rPr>
      </w:pPr>
      <w:r>
        <w:t xml:space="preserve">8. Where the supervisory authority takes a decision to suspend or remove from trading the financial instrument or derivatives referred to in paragraph 2 of this Article in accordance with Article 102(3)(3) shall publish and notify such decision in accordance with the procedure set forth in paragraph 4 of this Article. </w:t>
      </w:r>
    </w:p>
    <w:p w14:paraId="0738CE44" w14:textId="68EE9B30" w:rsidR="00ED3A7E" w:rsidRDefault="00ED3A7E" w:rsidP="00F3494E">
      <w:pPr>
        <w:widowControl w:val="0"/>
        <w:ind w:firstLine="720"/>
        <w:jc w:val="both"/>
        <w:rPr>
          <w:szCs w:val="24"/>
          <w:lang w:eastAsia="lt-LT"/>
        </w:rPr>
      </w:pPr>
    </w:p>
    <w:p w14:paraId="5A927C51" w14:textId="77777777" w:rsidR="006002AA" w:rsidRDefault="006002AA" w:rsidP="006002AA">
      <w:pPr>
        <w:spacing w:line="360" w:lineRule="atLeast"/>
        <w:ind w:firstLine="720"/>
        <w:jc w:val="both"/>
        <w:rPr>
          <w:color w:val="000000"/>
        </w:rPr>
      </w:pPr>
      <w:r>
        <w:rPr>
          <w:b/>
          <w:bCs/>
          <w:color w:val="000000"/>
        </w:rPr>
        <w:t>Article 41</w:t>
      </w:r>
      <w:r>
        <w:rPr>
          <w:b/>
          <w:bCs/>
          <w:color w:val="000000"/>
          <w:vertAlign w:val="superscript"/>
        </w:rPr>
        <w:t>1</w:t>
      </w:r>
      <w:r>
        <w:rPr>
          <w:b/>
          <w:bCs/>
          <w:color w:val="000000"/>
        </w:rPr>
        <w:t>. Participation Policy</w:t>
      </w:r>
    </w:p>
    <w:p w14:paraId="40B80F1C" w14:textId="77777777" w:rsidR="006002AA" w:rsidRDefault="006002AA" w:rsidP="006002AA">
      <w:pPr>
        <w:spacing w:line="360" w:lineRule="atLeast"/>
        <w:ind w:firstLine="720"/>
        <w:jc w:val="both"/>
        <w:rPr>
          <w:color w:val="000000"/>
        </w:rPr>
      </w:pPr>
      <w:bookmarkStart w:id="138" w:name="part_5e558d0b95d947c1a92a46bf485f9ba1"/>
      <w:bookmarkEnd w:id="138"/>
      <w:r>
        <w:rPr>
          <w:color w:val="000000"/>
        </w:rPr>
        <w:t>1. Institutional investors and asset managers shall be required to comply with the requirements established in this section or to publicly announce a clear and reasonable explanation as to why they chose not to comply with at least one of the following requirements:</w:t>
      </w:r>
    </w:p>
    <w:p w14:paraId="70287D49" w14:textId="77777777" w:rsidR="006002AA" w:rsidRDefault="006002AA" w:rsidP="006002AA">
      <w:pPr>
        <w:spacing w:line="360" w:lineRule="atLeast"/>
        <w:ind w:firstLine="720"/>
        <w:jc w:val="both"/>
        <w:rPr>
          <w:color w:val="000000"/>
        </w:rPr>
      </w:pPr>
      <w:bookmarkStart w:id="139" w:name="part_595dea02677c44b5b5f70776c3c6fc0f"/>
      <w:bookmarkEnd w:id="139"/>
      <w:r>
        <w:rPr>
          <w:color w:val="000000"/>
        </w:rPr>
        <w:t>1) institutional investors and asset managers must draw-up and publicly announce a participation policy document that describes how they include the issue of shareholder participation in their investment strategy,</w:t>
      </w:r>
      <w:r>
        <w:rPr>
          <w:color w:val="000000"/>
          <w:shd w:val="clear" w:color="auto" w:fill="FFFFFF"/>
        </w:rPr>
        <w:t> also, how they monitor the general activities of the corporate enterprise in which they invest, including the operation strategy, financial and non-financial results, risks, capital structure, social and environmental impact and company governance, how they maintain a dialogue with corporate enterprises in which they invest, exercise their voting and other rights attached to the shares held, cooperate with other shareholders, maintain relations with relevant stakeholders of the corporate enterprises in which they invest and manage existing or potential conflicts of interest related to their participation;</w:t>
      </w:r>
    </w:p>
    <w:p w14:paraId="5C5B4ABC" w14:textId="77777777" w:rsidR="006002AA" w:rsidRDefault="006002AA" w:rsidP="006002AA">
      <w:pPr>
        <w:spacing w:line="360" w:lineRule="atLeast"/>
        <w:ind w:firstLine="720"/>
        <w:jc w:val="both"/>
        <w:rPr>
          <w:color w:val="000000"/>
        </w:rPr>
      </w:pPr>
      <w:bookmarkStart w:id="140" w:name="part_379c30ca238d412b84feb88e180e7a08"/>
      <w:bookmarkEnd w:id="140"/>
      <w:proofErr w:type="gramStart"/>
      <w:r>
        <w:rPr>
          <w:color w:val="000000"/>
        </w:rPr>
        <w:t>2) )</w:t>
      </w:r>
      <w:proofErr w:type="gramEnd"/>
      <w:r>
        <w:rPr>
          <w:color w:val="000000"/>
        </w:rPr>
        <w:t xml:space="preserve"> institutional investors and asset managers must publicly disclose, no later than within 4 months after the end of the previous calendar year, how their participation policy was implemented</w:t>
      </w:r>
      <w:r>
        <w:rPr>
          <w:color w:val="000000"/>
          <w:shd w:val="clear" w:color="auto" w:fill="FFFFFF"/>
        </w:rPr>
        <w:t xml:space="preserve">, including a general overview of their voting, an explanation of the most important </w:t>
      </w:r>
      <w:proofErr w:type="spellStart"/>
      <w:r>
        <w:rPr>
          <w:color w:val="000000"/>
          <w:shd w:val="clear" w:color="auto" w:fill="FFFFFF"/>
        </w:rPr>
        <w:t>votings</w:t>
      </w:r>
      <w:proofErr w:type="spellEnd"/>
      <w:r>
        <w:rPr>
          <w:color w:val="000000"/>
          <w:shd w:val="clear" w:color="auto" w:fill="FFFFFF"/>
        </w:rPr>
        <w:t xml:space="preserve"> and how they used the services of proxy advisors. I</w:t>
      </w:r>
      <w:r>
        <w:rPr>
          <w:color w:val="000000"/>
        </w:rPr>
        <w:t xml:space="preserve">nstitutional investors and asset </w:t>
      </w:r>
      <w:proofErr w:type="gramStart"/>
      <w:r>
        <w:rPr>
          <w:color w:val="000000"/>
        </w:rPr>
        <w:t xml:space="preserve">managers </w:t>
      </w:r>
      <w:r>
        <w:rPr>
          <w:color w:val="000000"/>
          <w:shd w:val="clear" w:color="auto" w:fill="FFFFFF"/>
        </w:rPr>
        <w:t> are</w:t>
      </w:r>
      <w:proofErr w:type="gramEnd"/>
      <w:r>
        <w:rPr>
          <w:color w:val="000000"/>
          <w:shd w:val="clear" w:color="auto" w:fill="FFFFFF"/>
        </w:rPr>
        <w:t xml:space="preserve"> also required to publicly disclose how they voted at the general meetings of shareholders of the companies in which they hold shares. When disclosing such information, </w:t>
      </w:r>
      <w:proofErr w:type="spellStart"/>
      <w:r>
        <w:rPr>
          <w:color w:val="000000"/>
          <w:shd w:val="clear" w:color="auto" w:fill="FFFFFF"/>
        </w:rPr>
        <w:t>votings</w:t>
      </w:r>
      <w:proofErr w:type="spellEnd"/>
      <w:r>
        <w:rPr>
          <w:color w:val="000000"/>
          <w:shd w:val="clear" w:color="auto" w:fill="FFFFFF"/>
        </w:rPr>
        <w:t xml:space="preserve"> considered insignificant according to the criteria established by investors and asset managers due to the subject matter of the vote or the number of shares of the corporate enterprise held may be excluded.</w:t>
      </w:r>
    </w:p>
    <w:p w14:paraId="354EF9D2" w14:textId="77777777" w:rsidR="006002AA" w:rsidRDefault="006002AA" w:rsidP="006002AA">
      <w:pPr>
        <w:spacing w:line="360" w:lineRule="atLeast"/>
        <w:ind w:firstLine="720"/>
        <w:jc w:val="both"/>
        <w:rPr>
          <w:color w:val="000000"/>
        </w:rPr>
      </w:pPr>
      <w:bookmarkStart w:id="141" w:name="part_3b3cce1540ce47dd8cba5aa7919586f4"/>
      <w:bookmarkEnd w:id="141"/>
      <w:r>
        <w:rPr>
          <w:color w:val="000000"/>
        </w:rPr>
        <w:t>2. The information referred to in paragraph 1 of this Article must be available free of charge on the website of the institutional investor or asset manager.  Where the asset manager implements a participation policy, including voting, on behalf of an institutional investor, the institutional investor shall provide a link to where the asset manager has published such voting information.</w:t>
      </w:r>
    </w:p>
    <w:p w14:paraId="31D2B9DE" w14:textId="77777777" w:rsidR="006002AA" w:rsidRDefault="006002AA" w:rsidP="006002AA">
      <w:pPr>
        <w:spacing w:line="360" w:lineRule="atLeast"/>
        <w:ind w:firstLine="720"/>
        <w:jc w:val="both"/>
        <w:rPr>
          <w:color w:val="000000"/>
        </w:rPr>
      </w:pPr>
      <w:bookmarkStart w:id="142" w:name="part_833f87dd085c428eaede09f791876497"/>
      <w:bookmarkEnd w:id="142"/>
      <w:r>
        <w:rPr>
          <w:color w:val="000000"/>
        </w:rPr>
        <w:t xml:space="preserve">3. When implementing the participation policy, institutional investors and asset managers shall be subject to the provisions of Article 28 of this Law shall apply mutatis mutandis, as well as the provisions for determination, prevention, </w:t>
      </w:r>
      <w:proofErr w:type="gramStart"/>
      <w:r>
        <w:rPr>
          <w:color w:val="000000"/>
        </w:rPr>
        <w:t>management</w:t>
      </w:r>
      <w:proofErr w:type="gramEnd"/>
      <w:r>
        <w:rPr>
          <w:color w:val="000000"/>
        </w:rPr>
        <w:t xml:space="preserve"> and monitoring of conflicts of interest set </w:t>
      </w:r>
      <w:r>
        <w:rPr>
          <w:color w:val="000000"/>
        </w:rPr>
        <w:lastRenderedPageBreak/>
        <w:t>out in Article 13(1)(6) of the Law on Managers of Alternative Collective Investment Undertakings and Article 11(1)(7) of the Law on Collective Investment Undertakings.</w:t>
      </w:r>
    </w:p>
    <w:p w14:paraId="7C31458C" w14:textId="77777777" w:rsidR="006002AA" w:rsidRDefault="006002AA" w:rsidP="006002AA">
      <w:pPr>
        <w:rPr>
          <w:color w:val="000000"/>
        </w:rPr>
      </w:pPr>
      <w:r>
        <w:rPr>
          <w:i/>
          <w:iCs/>
          <w:color w:val="000000"/>
          <w:sz w:val="20"/>
        </w:rPr>
        <w:t>Supplemented with an Article:</w:t>
      </w:r>
    </w:p>
    <w:p w14:paraId="09460C24" w14:textId="77777777" w:rsidR="006002AA" w:rsidRDefault="006002AA" w:rsidP="006002AA">
      <w:pPr>
        <w:jc w:val="both"/>
        <w:rPr>
          <w:color w:val="000000"/>
        </w:rPr>
      </w:pPr>
      <w:r>
        <w:rPr>
          <w:i/>
          <w:iCs/>
          <w:color w:val="000000"/>
          <w:sz w:val="20"/>
        </w:rPr>
        <w:t xml:space="preserve">No </w:t>
      </w:r>
      <w:hyperlink r:id="rId111" w:tgtFrame="_parent" w:history="1">
        <w:r>
          <w:rPr>
            <w:rStyle w:val="Hyperlink"/>
            <w:i/>
            <w:iCs/>
            <w:sz w:val="20"/>
          </w:rPr>
          <w:t>XIII-2252</w:t>
        </w:r>
      </w:hyperlink>
      <w:r>
        <w:rPr>
          <w:i/>
          <w:iCs/>
          <w:color w:val="000000"/>
          <w:sz w:val="20"/>
        </w:rPr>
        <w:t>, 27/06/2019, published in the RLA, 05/07/2019, ID code 2019-11172</w:t>
      </w:r>
    </w:p>
    <w:p w14:paraId="5F4C735A" w14:textId="58FCC5B1" w:rsidR="006002AA" w:rsidRDefault="006002AA" w:rsidP="006002AA">
      <w:pPr>
        <w:rPr>
          <w:color w:val="000000"/>
        </w:rPr>
      </w:pPr>
    </w:p>
    <w:p w14:paraId="12F23F54" w14:textId="77777777" w:rsidR="006002AA" w:rsidRDefault="006002AA" w:rsidP="006002AA">
      <w:pPr>
        <w:spacing w:line="360" w:lineRule="atLeast"/>
        <w:ind w:left="2552" w:hanging="1832"/>
        <w:jc w:val="both"/>
        <w:rPr>
          <w:color w:val="000000"/>
        </w:rPr>
      </w:pPr>
      <w:bookmarkStart w:id="143" w:name="part_c750255d17834869895286dd6cf46936"/>
      <w:bookmarkEnd w:id="143"/>
      <w:r>
        <w:rPr>
          <w:b/>
          <w:bCs/>
          <w:color w:val="000000"/>
        </w:rPr>
        <w:t>Article 41</w:t>
      </w:r>
      <w:r>
        <w:rPr>
          <w:b/>
          <w:bCs/>
          <w:color w:val="000000"/>
          <w:vertAlign w:val="superscript"/>
        </w:rPr>
        <w:t>2</w:t>
      </w:r>
      <w:r>
        <w:rPr>
          <w:b/>
          <w:bCs/>
          <w:color w:val="000000"/>
        </w:rPr>
        <w:t>. Institutional investors’ investment strategy and agreements with asset managers</w:t>
      </w:r>
    </w:p>
    <w:p w14:paraId="7274481D" w14:textId="77777777" w:rsidR="006002AA" w:rsidRDefault="006002AA" w:rsidP="006002AA">
      <w:pPr>
        <w:spacing w:line="360" w:lineRule="atLeast"/>
        <w:ind w:firstLine="720"/>
        <w:jc w:val="both"/>
        <w:rPr>
          <w:color w:val="000000"/>
        </w:rPr>
      </w:pPr>
      <w:bookmarkStart w:id="144" w:name="part_8a09a75fd7d240e8ba4758049b23291b"/>
      <w:bookmarkEnd w:id="144"/>
      <w:r>
        <w:rPr>
          <w:color w:val="000000"/>
        </w:rPr>
        <w:t>1. Institutional investors shall be required to publicly disclose how the main elements of their strategy for investing in the authorised capital of a corporate enterprise the shares of which are traded on a regulated market are compatible with the profile and maturity of their liabilities, especially long-term ones, and how they contribute to achieving the medium-term or long-term performance of their assets.</w:t>
      </w:r>
    </w:p>
    <w:p w14:paraId="71FF6F20" w14:textId="77777777" w:rsidR="006002AA" w:rsidRDefault="006002AA" w:rsidP="006002AA">
      <w:pPr>
        <w:spacing w:line="360" w:lineRule="atLeast"/>
        <w:ind w:firstLine="720"/>
        <w:jc w:val="both"/>
        <w:rPr>
          <w:color w:val="000000"/>
        </w:rPr>
      </w:pPr>
      <w:bookmarkStart w:id="145" w:name="part_59df6f81d364483f9a7128edc7321473"/>
      <w:bookmarkEnd w:id="145"/>
      <w:r>
        <w:rPr>
          <w:color w:val="000000"/>
        </w:rPr>
        <w:t xml:space="preserve">2. Where an asset manager invests on behalf of an institutional investor, </w:t>
      </w:r>
      <w:proofErr w:type="gramStart"/>
      <w:r>
        <w:rPr>
          <w:color w:val="000000"/>
        </w:rPr>
        <w:t>taking into account</w:t>
      </w:r>
      <w:proofErr w:type="gramEnd"/>
      <w:r>
        <w:rPr>
          <w:color w:val="000000"/>
        </w:rPr>
        <w:t xml:space="preserve"> each specific client or through a collective investment undertaking, the institutional investor shall publicly disclose the following information about agreements with the asset manager:</w:t>
      </w:r>
    </w:p>
    <w:p w14:paraId="6F5722B9" w14:textId="77777777" w:rsidR="006002AA" w:rsidRDefault="006002AA" w:rsidP="006002AA">
      <w:pPr>
        <w:spacing w:line="360" w:lineRule="atLeast"/>
        <w:ind w:firstLine="720"/>
        <w:jc w:val="both"/>
        <w:rPr>
          <w:color w:val="000000"/>
        </w:rPr>
      </w:pPr>
      <w:bookmarkStart w:id="146" w:name="part_c2360c16db1c4b82b79a6ad779704824"/>
      <w:bookmarkEnd w:id="146"/>
      <w:r>
        <w:rPr>
          <w:color w:val="000000"/>
        </w:rPr>
        <w:t xml:space="preserve">1) information on how the agreement with the asset manager encourages the asset manager to align its investment strategy and investment decisions with the profile and maturity of the institutional investor’s liabilities, especially long-term </w:t>
      </w:r>
      <w:proofErr w:type="gramStart"/>
      <w:r>
        <w:rPr>
          <w:color w:val="000000"/>
        </w:rPr>
        <w:t>ones;</w:t>
      </w:r>
      <w:proofErr w:type="gramEnd"/>
    </w:p>
    <w:p w14:paraId="7CDBF609" w14:textId="77777777" w:rsidR="006002AA" w:rsidRDefault="006002AA" w:rsidP="006002AA">
      <w:pPr>
        <w:spacing w:line="360" w:lineRule="atLeast"/>
        <w:ind w:firstLine="720"/>
        <w:jc w:val="both"/>
        <w:rPr>
          <w:color w:val="000000"/>
        </w:rPr>
      </w:pPr>
      <w:bookmarkStart w:id="147" w:name="part_b817d38325044d14955c07a010a9dbf6"/>
      <w:bookmarkEnd w:id="147"/>
      <w:r>
        <w:rPr>
          <w:color w:val="000000"/>
        </w:rPr>
        <w:t>2) information on how the agreement encourages the asset manager to make investment decisions based on the assessment of the medium-term or long-term financial and non-financial results of the corporate enterprise the shares of which are traded on the regulated market in which the investment is made and to participate in the activities of the corporate enterprise the shares of which are traded on the regulated market which is invested in, in order to improve its medium-term or long-term results;</w:t>
      </w:r>
    </w:p>
    <w:p w14:paraId="1D7AA797" w14:textId="77777777" w:rsidR="006002AA" w:rsidRDefault="006002AA" w:rsidP="006002AA">
      <w:pPr>
        <w:spacing w:line="360" w:lineRule="atLeast"/>
        <w:ind w:firstLine="720"/>
        <w:jc w:val="both"/>
        <w:rPr>
          <w:color w:val="000000"/>
        </w:rPr>
      </w:pPr>
      <w:bookmarkStart w:id="148" w:name="part_b48fe9f67fa4488f835bd46ccf2ebd03"/>
      <w:bookmarkEnd w:id="148"/>
      <w:r>
        <w:rPr>
          <w:color w:val="000000"/>
        </w:rPr>
        <w:t xml:space="preserve">3) information on how the method and period of assessment of the asset manager’s operating result and remuneration for asset management services are compatible with the profile and maturity of the institutional investor’s liabilities, especially long-term ones, and how absolute long-term results are taken into </w:t>
      </w:r>
      <w:proofErr w:type="gramStart"/>
      <w:r>
        <w:rPr>
          <w:color w:val="000000"/>
        </w:rPr>
        <w:t>account;</w:t>
      </w:r>
      <w:proofErr w:type="gramEnd"/>
    </w:p>
    <w:p w14:paraId="057C0A20" w14:textId="77777777" w:rsidR="006002AA" w:rsidRDefault="006002AA" w:rsidP="006002AA">
      <w:pPr>
        <w:spacing w:line="360" w:lineRule="atLeast"/>
        <w:ind w:firstLine="720"/>
        <w:jc w:val="both"/>
        <w:rPr>
          <w:color w:val="000000"/>
        </w:rPr>
      </w:pPr>
      <w:bookmarkStart w:id="149" w:name="part_c5c4508119ee4c04bf61009a94b837f8"/>
      <w:bookmarkEnd w:id="149"/>
      <w:r>
        <w:rPr>
          <w:color w:val="000000"/>
        </w:rPr>
        <w:t xml:space="preserve">4) information on how the institutional investor monitors the asset manager’s costs of the financial instruments portfolio turnover and how it defines and monitors the target turnover or turnover interval of the financial instruments </w:t>
      </w:r>
      <w:proofErr w:type="gramStart"/>
      <w:r>
        <w:rPr>
          <w:color w:val="000000"/>
        </w:rPr>
        <w:t>portfolio;</w:t>
      </w:r>
      <w:proofErr w:type="gramEnd"/>
    </w:p>
    <w:p w14:paraId="029D1EEF" w14:textId="77777777" w:rsidR="006002AA" w:rsidRDefault="006002AA" w:rsidP="006002AA">
      <w:pPr>
        <w:spacing w:line="360" w:lineRule="atLeast"/>
        <w:ind w:firstLine="720"/>
        <w:jc w:val="both"/>
        <w:rPr>
          <w:color w:val="000000"/>
        </w:rPr>
      </w:pPr>
      <w:bookmarkStart w:id="150" w:name="part_107f2b08f1d2458cbea9bbd22bc8a9e4"/>
      <w:bookmarkEnd w:id="150"/>
      <w:r>
        <w:rPr>
          <w:color w:val="000000"/>
        </w:rPr>
        <w:t>5) the duration of the agreement with the asset manager.</w:t>
      </w:r>
    </w:p>
    <w:p w14:paraId="60B857DE" w14:textId="77777777" w:rsidR="006002AA" w:rsidRDefault="006002AA" w:rsidP="006002AA">
      <w:pPr>
        <w:spacing w:line="360" w:lineRule="atLeast"/>
        <w:ind w:firstLine="720"/>
        <w:jc w:val="both"/>
        <w:rPr>
          <w:color w:val="000000"/>
        </w:rPr>
      </w:pPr>
      <w:bookmarkStart w:id="151" w:name="part_8fde34a0e6d14a45a00d6dfc104e9303"/>
      <w:bookmarkEnd w:id="151"/>
      <w:r>
        <w:rPr>
          <w:color w:val="000000"/>
        </w:rPr>
        <w:t>3. If at least one of the elements specified in sub-paragraphs 1 to 5 of paragraph 2 of this Article is not included in the agreement with the asset manager, the institutional investor shall be required to provide a clear and reasonable explanation.</w:t>
      </w:r>
    </w:p>
    <w:p w14:paraId="1B0FBD77" w14:textId="77777777" w:rsidR="006002AA" w:rsidRDefault="006002AA" w:rsidP="006002AA">
      <w:pPr>
        <w:spacing w:line="360" w:lineRule="atLeast"/>
        <w:ind w:firstLine="720"/>
        <w:jc w:val="both"/>
        <w:rPr>
          <w:color w:val="000000"/>
        </w:rPr>
      </w:pPr>
      <w:bookmarkStart w:id="152" w:name="part_baa926a6744d44bd9fa9f37982d80a9c"/>
      <w:bookmarkEnd w:id="152"/>
      <w:r>
        <w:rPr>
          <w:color w:val="000000"/>
        </w:rPr>
        <w:t>4. The information referred to in paragraphs 1, 2 and 3 of this Article must be available free of charge on the institutional investor’s website and must be updated every year, unless there are no substantial changes to it.  Institutional investors the activities of which are regulated by the Law on Insurance may include this information in the Statement of Solvency and Financial Position.</w:t>
      </w:r>
    </w:p>
    <w:p w14:paraId="45E4323B" w14:textId="77777777" w:rsidR="006002AA" w:rsidRDefault="006002AA" w:rsidP="006002AA">
      <w:pPr>
        <w:rPr>
          <w:color w:val="000000"/>
        </w:rPr>
      </w:pPr>
      <w:r>
        <w:rPr>
          <w:i/>
          <w:iCs/>
          <w:color w:val="000000"/>
          <w:sz w:val="20"/>
        </w:rPr>
        <w:t>Supplemented with an Article:</w:t>
      </w:r>
    </w:p>
    <w:p w14:paraId="5E67DD85" w14:textId="77777777" w:rsidR="006002AA" w:rsidRDefault="006002AA" w:rsidP="006002AA">
      <w:pPr>
        <w:jc w:val="both"/>
        <w:rPr>
          <w:color w:val="000000"/>
        </w:rPr>
      </w:pPr>
      <w:r>
        <w:rPr>
          <w:i/>
          <w:iCs/>
          <w:color w:val="000000"/>
          <w:sz w:val="20"/>
        </w:rPr>
        <w:t xml:space="preserve">No </w:t>
      </w:r>
      <w:hyperlink r:id="rId112" w:tgtFrame="_parent" w:history="1">
        <w:r>
          <w:rPr>
            <w:rStyle w:val="Hyperlink"/>
            <w:i/>
            <w:iCs/>
            <w:sz w:val="20"/>
          </w:rPr>
          <w:t>XIII-2252</w:t>
        </w:r>
      </w:hyperlink>
      <w:r>
        <w:rPr>
          <w:i/>
          <w:iCs/>
          <w:color w:val="000000"/>
          <w:sz w:val="20"/>
        </w:rPr>
        <w:t>, 27/06/2019, published in the RLA, 05/07/2019, ID code 2019-11172</w:t>
      </w:r>
    </w:p>
    <w:p w14:paraId="51AA1A39" w14:textId="7438EA78" w:rsidR="006002AA" w:rsidRDefault="006002AA" w:rsidP="006002AA">
      <w:pPr>
        <w:rPr>
          <w:color w:val="000000"/>
        </w:rPr>
      </w:pPr>
    </w:p>
    <w:p w14:paraId="05BCCD8F" w14:textId="77777777" w:rsidR="006002AA" w:rsidRDefault="006002AA" w:rsidP="006002AA">
      <w:pPr>
        <w:spacing w:line="360" w:lineRule="atLeast"/>
        <w:ind w:firstLine="720"/>
        <w:jc w:val="both"/>
        <w:rPr>
          <w:color w:val="000000"/>
        </w:rPr>
      </w:pPr>
      <w:bookmarkStart w:id="153" w:name="part_cba551a2bfaf4cc9a0d0abf3bafa6c7b"/>
      <w:bookmarkEnd w:id="153"/>
      <w:r>
        <w:rPr>
          <w:b/>
          <w:bCs/>
          <w:color w:val="000000"/>
        </w:rPr>
        <w:lastRenderedPageBreak/>
        <w:t>Article 41</w:t>
      </w:r>
      <w:r>
        <w:rPr>
          <w:b/>
          <w:bCs/>
          <w:color w:val="000000"/>
          <w:vertAlign w:val="superscript"/>
        </w:rPr>
        <w:t>3</w:t>
      </w:r>
      <w:r>
        <w:rPr>
          <w:b/>
          <w:bCs/>
          <w:color w:val="000000"/>
        </w:rPr>
        <w:t>. Transparency of asset managers</w:t>
      </w:r>
    </w:p>
    <w:p w14:paraId="37269A0D" w14:textId="77777777" w:rsidR="006002AA" w:rsidRDefault="006002AA" w:rsidP="006002AA">
      <w:pPr>
        <w:spacing w:line="360" w:lineRule="atLeast"/>
        <w:ind w:firstLine="720"/>
        <w:jc w:val="both"/>
        <w:rPr>
          <w:color w:val="000000"/>
        </w:rPr>
      </w:pPr>
      <w:bookmarkStart w:id="154" w:name="part_04deea677ebc49b895c148072f2cdda8"/>
      <w:bookmarkEnd w:id="154"/>
      <w:r>
        <w:rPr>
          <w:color w:val="000000"/>
        </w:rPr>
        <w:t>1. Asset managers shall, no later than within 4 months from the end of the previous calendar year, draw-up and disclose the transparency report for the past calendar year to the institutional investor with whom the agreement referred to in Article 41</w:t>
      </w:r>
      <w:r>
        <w:rPr>
          <w:color w:val="000000"/>
          <w:vertAlign w:val="superscript"/>
        </w:rPr>
        <w:t>2</w:t>
      </w:r>
      <w:r>
        <w:rPr>
          <w:color w:val="000000"/>
        </w:rPr>
        <w:t xml:space="preserve"> of this Law has been concluded, in accordance with the procedure specified in paragraph 2 of this Article.  The transparency report shall include:</w:t>
      </w:r>
    </w:p>
    <w:p w14:paraId="5EF0B9EA" w14:textId="77777777" w:rsidR="006002AA" w:rsidRDefault="006002AA" w:rsidP="006002AA">
      <w:pPr>
        <w:spacing w:line="360" w:lineRule="atLeast"/>
        <w:ind w:firstLine="720"/>
        <w:jc w:val="both"/>
        <w:rPr>
          <w:color w:val="000000"/>
        </w:rPr>
      </w:pPr>
      <w:bookmarkStart w:id="155" w:name="part_f1c2db40d920464da8ba7e87dc05ba3d"/>
      <w:bookmarkEnd w:id="155"/>
      <w:r>
        <w:rPr>
          <w:color w:val="000000"/>
        </w:rPr>
        <w:t>1) the information how the asset managers’ investment strategy and its implementation comply with the agreement between the asset manager and the institutional investor referred to in Article 41</w:t>
      </w:r>
      <w:r>
        <w:rPr>
          <w:color w:val="000000"/>
          <w:vertAlign w:val="superscript"/>
        </w:rPr>
        <w:t>2</w:t>
      </w:r>
      <w:r>
        <w:rPr>
          <w:color w:val="000000"/>
        </w:rPr>
        <w:t xml:space="preserve"> of this Law and how it contributes to the medium-term or long-term results of the institutional investor’s assets or </w:t>
      </w:r>
      <w:proofErr w:type="gramStart"/>
      <w:r>
        <w:rPr>
          <w:color w:val="000000"/>
        </w:rPr>
        <w:t>fund;</w:t>
      </w:r>
      <w:proofErr w:type="gramEnd"/>
    </w:p>
    <w:p w14:paraId="54193400" w14:textId="77777777" w:rsidR="006002AA" w:rsidRDefault="006002AA" w:rsidP="006002AA">
      <w:pPr>
        <w:spacing w:line="360" w:lineRule="atLeast"/>
        <w:ind w:firstLine="720"/>
        <w:jc w:val="both"/>
        <w:rPr>
          <w:color w:val="000000"/>
        </w:rPr>
      </w:pPr>
      <w:bookmarkStart w:id="156" w:name="part_c4d5137a41ad48b4b7bd72fe788d9c21"/>
      <w:bookmarkEnd w:id="156"/>
      <w:r>
        <w:rPr>
          <w:color w:val="000000"/>
        </w:rPr>
        <w:t>2) data on the underlying essential medium-term or long-term risks associated with investments, the granularity of the financial instruments portfolio, turnover and turnover costs, the use of the services of proxy advisors for the purposes of participation activities, the securities lending policy and how it is applied in order to carry out participation activities, if applicable, especially at the time when the general meeting of shareholders of the corporate enterprise in which the investment is held;</w:t>
      </w:r>
    </w:p>
    <w:p w14:paraId="65ECD6B7" w14:textId="77777777" w:rsidR="006002AA" w:rsidRDefault="006002AA" w:rsidP="006002AA">
      <w:pPr>
        <w:spacing w:line="360" w:lineRule="atLeast"/>
        <w:ind w:firstLine="720"/>
        <w:jc w:val="both"/>
        <w:rPr>
          <w:color w:val="000000"/>
        </w:rPr>
      </w:pPr>
      <w:bookmarkStart w:id="157" w:name="part_7f680eb16a644de2b6b85c859c088072"/>
      <w:bookmarkEnd w:id="157"/>
      <w:r>
        <w:rPr>
          <w:color w:val="000000"/>
        </w:rPr>
        <w:t xml:space="preserve">3) information on whether asset managers make investment decisions based on an assessment of the medium-term or long-term results of the corporate enterprise in which they invest, including non-financial results, and, if so, how asset managers make investment </w:t>
      </w:r>
      <w:proofErr w:type="gramStart"/>
      <w:r>
        <w:rPr>
          <w:color w:val="000000"/>
        </w:rPr>
        <w:t>decisions;</w:t>
      </w:r>
      <w:proofErr w:type="gramEnd"/>
    </w:p>
    <w:p w14:paraId="49F607D7" w14:textId="77777777" w:rsidR="006002AA" w:rsidRDefault="006002AA" w:rsidP="006002AA">
      <w:pPr>
        <w:spacing w:line="360" w:lineRule="atLeast"/>
        <w:ind w:firstLine="720"/>
        <w:jc w:val="both"/>
        <w:rPr>
          <w:color w:val="000000"/>
        </w:rPr>
      </w:pPr>
      <w:bookmarkStart w:id="158" w:name="part_5e1b950824f8450f8a88fcd467cb24a3"/>
      <w:bookmarkEnd w:id="158"/>
      <w:r>
        <w:rPr>
          <w:color w:val="000000"/>
        </w:rPr>
        <w:t>4) information about conflicts of interest that occurred during participation activities and how the asset manager resolved them, if any.</w:t>
      </w:r>
    </w:p>
    <w:p w14:paraId="7E97A961" w14:textId="77777777" w:rsidR="006002AA" w:rsidRDefault="006002AA" w:rsidP="006002AA">
      <w:pPr>
        <w:spacing w:line="360" w:lineRule="atLeast"/>
        <w:ind w:firstLine="720"/>
        <w:jc w:val="both"/>
        <w:rPr>
          <w:color w:val="000000"/>
        </w:rPr>
      </w:pPr>
      <w:bookmarkStart w:id="159" w:name="part_d24ebac2e1fc46419b4055d5e09dc885"/>
      <w:bookmarkEnd w:id="159"/>
      <w:r>
        <w:rPr>
          <w:color w:val="000000"/>
        </w:rPr>
        <w:t>2. The transparency report referred to in paragraph 1 of this Article must be publicly available on the asset manager’s website or must be submitted directly to the institutional investor with whom the agreement referred to in Article 41</w:t>
      </w:r>
      <w:r>
        <w:rPr>
          <w:color w:val="000000"/>
          <w:vertAlign w:val="superscript"/>
        </w:rPr>
        <w:t>2</w:t>
      </w:r>
      <w:r>
        <w:rPr>
          <w:color w:val="000000"/>
        </w:rPr>
        <w:t xml:space="preserve"> of this Law has been concluded.</w:t>
      </w:r>
    </w:p>
    <w:p w14:paraId="1B49EC1F" w14:textId="77777777" w:rsidR="006002AA" w:rsidRDefault="006002AA" w:rsidP="006002AA">
      <w:pPr>
        <w:rPr>
          <w:color w:val="000000"/>
        </w:rPr>
      </w:pPr>
      <w:r>
        <w:rPr>
          <w:i/>
          <w:iCs/>
          <w:color w:val="000000"/>
          <w:sz w:val="20"/>
        </w:rPr>
        <w:t>Supplemented with an Article:</w:t>
      </w:r>
    </w:p>
    <w:p w14:paraId="7DF41ABA" w14:textId="77777777" w:rsidR="006002AA" w:rsidRDefault="006002AA" w:rsidP="006002AA">
      <w:pPr>
        <w:jc w:val="both"/>
        <w:rPr>
          <w:color w:val="000000"/>
        </w:rPr>
      </w:pPr>
      <w:r>
        <w:rPr>
          <w:i/>
          <w:iCs/>
          <w:color w:val="000000"/>
          <w:sz w:val="20"/>
        </w:rPr>
        <w:t xml:space="preserve">No </w:t>
      </w:r>
      <w:hyperlink r:id="rId113" w:tgtFrame="_parent" w:history="1">
        <w:r>
          <w:rPr>
            <w:rStyle w:val="Hyperlink"/>
            <w:i/>
            <w:iCs/>
            <w:sz w:val="20"/>
          </w:rPr>
          <w:t>XIII-2252</w:t>
        </w:r>
      </w:hyperlink>
      <w:r>
        <w:rPr>
          <w:i/>
          <w:iCs/>
          <w:color w:val="000000"/>
          <w:sz w:val="20"/>
        </w:rPr>
        <w:t>, 27/06/2019, published in the RLA, 05/07/2019, ID code 2019-11172</w:t>
      </w:r>
    </w:p>
    <w:p w14:paraId="18B25DFD" w14:textId="4687EF43" w:rsidR="006002AA" w:rsidRDefault="006002AA" w:rsidP="006002AA">
      <w:pPr>
        <w:rPr>
          <w:color w:val="000000"/>
        </w:rPr>
      </w:pPr>
    </w:p>
    <w:p w14:paraId="0DCC75AD" w14:textId="77777777" w:rsidR="006002AA" w:rsidRDefault="006002AA" w:rsidP="006002AA">
      <w:pPr>
        <w:spacing w:line="360" w:lineRule="atLeast"/>
        <w:ind w:firstLine="720"/>
        <w:jc w:val="both"/>
        <w:rPr>
          <w:color w:val="000000"/>
        </w:rPr>
      </w:pPr>
      <w:bookmarkStart w:id="160" w:name="part_5cc42e6b4b3849fdbf3dc32a25339da0"/>
      <w:bookmarkEnd w:id="160"/>
      <w:r>
        <w:rPr>
          <w:b/>
          <w:bCs/>
          <w:color w:val="000000"/>
        </w:rPr>
        <w:t>Article 41</w:t>
      </w:r>
      <w:r>
        <w:rPr>
          <w:b/>
          <w:bCs/>
          <w:color w:val="000000"/>
          <w:vertAlign w:val="superscript"/>
        </w:rPr>
        <w:t>4</w:t>
      </w:r>
      <w:r>
        <w:rPr>
          <w:b/>
          <w:bCs/>
          <w:color w:val="000000"/>
        </w:rPr>
        <w:t>. Transparency of proxy advisors</w:t>
      </w:r>
    </w:p>
    <w:p w14:paraId="77CB1B40" w14:textId="77777777" w:rsidR="006002AA" w:rsidRDefault="006002AA" w:rsidP="006002AA">
      <w:pPr>
        <w:spacing w:line="360" w:lineRule="atLeast"/>
        <w:ind w:firstLine="720"/>
        <w:jc w:val="both"/>
        <w:rPr>
          <w:color w:val="000000"/>
        </w:rPr>
      </w:pPr>
      <w:bookmarkStart w:id="161" w:name="part_50d5d333ce96494f8a406548beb24e3b"/>
      <w:bookmarkEnd w:id="161"/>
      <w:r>
        <w:rPr>
          <w:color w:val="000000"/>
        </w:rPr>
        <w:t>1. Proxy advisors shall make publicly available a reference to the code of conduct they follow and annual reports on the application of the code of conduct.</w:t>
      </w:r>
    </w:p>
    <w:p w14:paraId="45E1694D" w14:textId="77777777" w:rsidR="006002AA" w:rsidRDefault="006002AA" w:rsidP="006002AA">
      <w:pPr>
        <w:spacing w:line="360" w:lineRule="atLeast"/>
        <w:ind w:firstLine="720"/>
        <w:jc w:val="both"/>
        <w:rPr>
          <w:color w:val="000000"/>
        </w:rPr>
      </w:pPr>
      <w:bookmarkStart w:id="162" w:name="part_49ae3096b9b84e689e2dc2d2bb1044f4"/>
      <w:bookmarkEnd w:id="162"/>
      <w:r>
        <w:rPr>
          <w:color w:val="000000"/>
        </w:rPr>
        <w:t>2. Where proxy advisors do not apply the code of conduct, they shall publish a clear and reasonable explanation as to why they do not do so.  Where proxy advisors apply the code of conduct but fail to comply with any of its recommendations, the proxy advisors shall be required to disclose which provisions of the code of conduct they are not complying with, provide an explanation as to why they are doing so, and specify, if applicable, any other measures taken.</w:t>
      </w:r>
    </w:p>
    <w:p w14:paraId="73917CF8" w14:textId="77777777" w:rsidR="006002AA" w:rsidRDefault="006002AA" w:rsidP="006002AA">
      <w:pPr>
        <w:spacing w:line="360" w:lineRule="atLeast"/>
        <w:ind w:firstLine="720"/>
        <w:jc w:val="both"/>
        <w:rPr>
          <w:color w:val="000000"/>
        </w:rPr>
      </w:pPr>
      <w:bookmarkStart w:id="163" w:name="part_6dad40641c70476da936b8abd48e562c"/>
      <w:bookmarkEnd w:id="163"/>
      <w:r>
        <w:rPr>
          <w:color w:val="000000"/>
        </w:rPr>
        <w:t>3. The information of the previous calendar year referred to in paragraphs 1 and 2 of this Article shall be made publicly available free of charge on the websites of proxy advisors no later than within 4 months after the end of the past calendar year.</w:t>
      </w:r>
    </w:p>
    <w:p w14:paraId="2F7439AB" w14:textId="77777777" w:rsidR="006002AA" w:rsidRDefault="006002AA" w:rsidP="006002AA">
      <w:pPr>
        <w:spacing w:line="360" w:lineRule="atLeast"/>
        <w:ind w:firstLine="720"/>
        <w:jc w:val="both"/>
        <w:rPr>
          <w:color w:val="000000"/>
        </w:rPr>
      </w:pPr>
      <w:bookmarkStart w:id="164" w:name="part_c342c6ee05b84f36903c4cf32b59f207"/>
      <w:bookmarkEnd w:id="164"/>
      <w:r>
        <w:rPr>
          <w:color w:val="000000"/>
        </w:rPr>
        <w:t xml:space="preserve">4. </w:t>
      </w:r>
      <w:proofErr w:type="gramStart"/>
      <w:r>
        <w:rPr>
          <w:color w:val="000000"/>
        </w:rPr>
        <w:t>In order for</w:t>
      </w:r>
      <w:proofErr w:type="gramEnd"/>
      <w:r>
        <w:rPr>
          <w:color w:val="000000"/>
        </w:rPr>
        <w:t xml:space="preserve"> proxy advisers to properly inform their clients about the accuracy and reliability of their activities, proxy advisors shall make public the following information related to the preparation of research, consultations and voting recommendations for the previous calendar year:</w:t>
      </w:r>
    </w:p>
    <w:p w14:paraId="18D52D77" w14:textId="77777777" w:rsidR="006002AA" w:rsidRDefault="006002AA" w:rsidP="006002AA">
      <w:pPr>
        <w:spacing w:line="360" w:lineRule="atLeast"/>
        <w:ind w:firstLine="720"/>
        <w:jc w:val="both"/>
        <w:rPr>
          <w:color w:val="000000"/>
        </w:rPr>
      </w:pPr>
      <w:bookmarkStart w:id="165" w:name="part_aafd6e9a580840f5940095bdfc100cba"/>
      <w:bookmarkEnd w:id="165"/>
      <w:r>
        <w:rPr>
          <w:color w:val="000000"/>
        </w:rPr>
        <w:lastRenderedPageBreak/>
        <w:t xml:space="preserve">1) key features of the applied methodology and </w:t>
      </w:r>
      <w:proofErr w:type="gramStart"/>
      <w:r>
        <w:rPr>
          <w:color w:val="000000"/>
        </w:rPr>
        <w:t>patterns;</w:t>
      </w:r>
      <w:proofErr w:type="gramEnd"/>
    </w:p>
    <w:p w14:paraId="453DE7A0" w14:textId="77777777" w:rsidR="006002AA" w:rsidRDefault="006002AA" w:rsidP="006002AA">
      <w:pPr>
        <w:spacing w:line="360" w:lineRule="atLeast"/>
        <w:ind w:firstLine="720"/>
        <w:jc w:val="both"/>
        <w:rPr>
          <w:color w:val="000000"/>
        </w:rPr>
      </w:pPr>
      <w:bookmarkStart w:id="166" w:name="part_fcd1b4929e034f09a112b2a135898948"/>
      <w:bookmarkEnd w:id="166"/>
      <w:r>
        <w:rPr>
          <w:color w:val="000000"/>
        </w:rPr>
        <w:t xml:space="preserve">2) the most relevant sources of information </w:t>
      </w:r>
      <w:proofErr w:type="gramStart"/>
      <w:r>
        <w:rPr>
          <w:color w:val="000000"/>
        </w:rPr>
        <w:t>used;</w:t>
      </w:r>
      <w:proofErr w:type="gramEnd"/>
    </w:p>
    <w:p w14:paraId="72EBC435" w14:textId="77777777" w:rsidR="006002AA" w:rsidRDefault="006002AA" w:rsidP="006002AA">
      <w:pPr>
        <w:spacing w:line="360" w:lineRule="atLeast"/>
        <w:ind w:firstLine="720"/>
        <w:jc w:val="both"/>
        <w:rPr>
          <w:color w:val="000000"/>
        </w:rPr>
      </w:pPr>
      <w:bookmarkStart w:id="167" w:name="part_18bf5dad1a4e43ff811c2bb816db992e"/>
      <w:bookmarkEnd w:id="167"/>
      <w:r>
        <w:rPr>
          <w:color w:val="000000"/>
        </w:rPr>
        <w:t xml:space="preserve">3) the applied procedure for ensuring the quality of research, consultations and voting recommendations and the qualifications of relevant </w:t>
      </w:r>
      <w:proofErr w:type="gramStart"/>
      <w:r>
        <w:rPr>
          <w:color w:val="000000"/>
        </w:rPr>
        <w:t>employees;</w:t>
      </w:r>
      <w:proofErr w:type="gramEnd"/>
    </w:p>
    <w:p w14:paraId="59D31259" w14:textId="77777777" w:rsidR="006002AA" w:rsidRDefault="006002AA" w:rsidP="006002AA">
      <w:pPr>
        <w:spacing w:line="360" w:lineRule="atLeast"/>
        <w:ind w:firstLine="720"/>
        <w:jc w:val="both"/>
        <w:rPr>
          <w:color w:val="000000"/>
        </w:rPr>
      </w:pPr>
      <w:bookmarkStart w:id="168" w:name="part_d5e518515bcc49d68e51d60545577b5f"/>
      <w:bookmarkEnd w:id="168"/>
      <w:r>
        <w:rPr>
          <w:color w:val="000000"/>
        </w:rPr>
        <w:t xml:space="preserve">4) information on whether and how proxy advisors take into account national market, legal, regulatory and company-specific </w:t>
      </w:r>
      <w:proofErr w:type="gramStart"/>
      <w:r>
        <w:rPr>
          <w:color w:val="000000"/>
        </w:rPr>
        <w:t>conditions;</w:t>
      </w:r>
      <w:proofErr w:type="gramEnd"/>
    </w:p>
    <w:p w14:paraId="1173CC28" w14:textId="77777777" w:rsidR="006002AA" w:rsidRDefault="006002AA" w:rsidP="006002AA">
      <w:pPr>
        <w:spacing w:line="360" w:lineRule="atLeast"/>
        <w:ind w:firstLine="720"/>
        <w:jc w:val="both"/>
        <w:rPr>
          <w:color w:val="000000"/>
        </w:rPr>
      </w:pPr>
      <w:bookmarkStart w:id="169" w:name="part_64b94e652aff48e987024869b1d34593"/>
      <w:bookmarkEnd w:id="169"/>
      <w:r>
        <w:rPr>
          <w:color w:val="000000"/>
        </w:rPr>
        <w:t xml:space="preserve">5) essential features of the voting policy applied to each </w:t>
      </w:r>
      <w:proofErr w:type="gramStart"/>
      <w:r>
        <w:rPr>
          <w:color w:val="000000"/>
        </w:rPr>
        <w:t>market;</w:t>
      </w:r>
      <w:proofErr w:type="gramEnd"/>
    </w:p>
    <w:p w14:paraId="226BDC9F" w14:textId="77777777" w:rsidR="006002AA" w:rsidRDefault="006002AA" w:rsidP="006002AA">
      <w:pPr>
        <w:spacing w:line="360" w:lineRule="atLeast"/>
        <w:ind w:firstLine="720"/>
        <w:jc w:val="both"/>
        <w:rPr>
          <w:color w:val="000000"/>
        </w:rPr>
      </w:pPr>
      <w:bookmarkStart w:id="170" w:name="part_047cfa90e08d40a5919b5d253df1777d"/>
      <w:bookmarkEnd w:id="170"/>
      <w:r>
        <w:rPr>
          <w:color w:val="000000"/>
        </w:rPr>
        <w:t xml:space="preserve">6) information on whether the proxy advisors maintain a dialogue with the companies that are the object of their research, consultations or voting recommendations and the company’s stakeholders, and, if so, information on the extent and nature of the </w:t>
      </w:r>
      <w:proofErr w:type="gramStart"/>
      <w:r>
        <w:rPr>
          <w:color w:val="000000"/>
        </w:rPr>
        <w:t>dialogue;</w:t>
      </w:r>
      <w:proofErr w:type="gramEnd"/>
    </w:p>
    <w:p w14:paraId="1EFB7B2F" w14:textId="77777777" w:rsidR="006002AA" w:rsidRDefault="006002AA" w:rsidP="006002AA">
      <w:pPr>
        <w:spacing w:line="360" w:lineRule="atLeast"/>
        <w:ind w:firstLine="720"/>
        <w:jc w:val="both"/>
        <w:rPr>
          <w:color w:val="000000"/>
        </w:rPr>
      </w:pPr>
      <w:bookmarkStart w:id="171" w:name="part_ff51c71f7daf462eaae8d22ac4cf6f93"/>
      <w:bookmarkEnd w:id="171"/>
      <w:r>
        <w:rPr>
          <w:color w:val="000000"/>
        </w:rPr>
        <w:t>7) policies related to the prevention and management of potential conflicts of interest.</w:t>
      </w:r>
    </w:p>
    <w:p w14:paraId="30B16F20" w14:textId="77777777" w:rsidR="006002AA" w:rsidRDefault="006002AA" w:rsidP="006002AA">
      <w:pPr>
        <w:spacing w:line="360" w:lineRule="atLeast"/>
        <w:ind w:firstLine="720"/>
        <w:jc w:val="both"/>
        <w:rPr>
          <w:color w:val="000000"/>
        </w:rPr>
      </w:pPr>
      <w:bookmarkStart w:id="172" w:name="part_684d9f2a868649a282f63e2a15b4b2d5"/>
      <w:bookmarkEnd w:id="172"/>
      <w:r>
        <w:rPr>
          <w:color w:val="000000"/>
        </w:rPr>
        <w:t>5. The information referred to in paragraph 4 of this Article shall be made publicly available by proxy advisors free of charge on their websites every year no later than within 4 months after the end of the previous calendar year and its availability shall be ensured for at least 3 years from the date of its publication.</w:t>
      </w:r>
    </w:p>
    <w:p w14:paraId="2200E92E" w14:textId="77777777" w:rsidR="006002AA" w:rsidRDefault="006002AA" w:rsidP="006002AA">
      <w:pPr>
        <w:spacing w:line="360" w:lineRule="atLeast"/>
        <w:ind w:firstLine="720"/>
        <w:jc w:val="both"/>
        <w:rPr>
          <w:color w:val="000000"/>
        </w:rPr>
      </w:pPr>
      <w:bookmarkStart w:id="173" w:name="part_3744c2826e414b02888a6726c4bf9be3"/>
      <w:bookmarkEnd w:id="173"/>
      <w:r>
        <w:rPr>
          <w:color w:val="000000"/>
        </w:rPr>
        <w:t>6. The information referred to in paragraph 4 of this Article may be exempted from publishing under paragraph 5 of this Article if it is published together with the information referred to in paragraph 1 or 2 of this Article.</w:t>
      </w:r>
    </w:p>
    <w:p w14:paraId="17FE594A" w14:textId="77777777" w:rsidR="006002AA" w:rsidRDefault="006002AA" w:rsidP="006002AA">
      <w:pPr>
        <w:spacing w:line="360" w:lineRule="atLeast"/>
        <w:ind w:firstLine="720"/>
        <w:jc w:val="both"/>
        <w:rPr>
          <w:color w:val="000000"/>
        </w:rPr>
      </w:pPr>
      <w:bookmarkStart w:id="174" w:name="part_02c48a427af34f018ed1bb08db0c8174"/>
      <w:bookmarkEnd w:id="174"/>
      <w:r>
        <w:rPr>
          <w:color w:val="000000"/>
        </w:rPr>
        <w:t>7. Proxy advisors shall be required to identify any existing or potential conflict of interest or business relationship that may affect the preparation of research, consultation or voting recommendations and to promptly notify their clients thereof.  They shall also be required to promptly inform their clients of the steps they have taken to eliminate, mitigate or manage an existing or potential conflict of interest.</w:t>
      </w:r>
    </w:p>
    <w:p w14:paraId="13B41B9D" w14:textId="77777777" w:rsidR="006002AA" w:rsidRDefault="006002AA" w:rsidP="006002AA">
      <w:pPr>
        <w:spacing w:line="360" w:lineRule="atLeast"/>
        <w:ind w:firstLine="720"/>
        <w:jc w:val="both"/>
        <w:rPr>
          <w:color w:val="000000"/>
        </w:rPr>
      </w:pPr>
      <w:bookmarkStart w:id="175" w:name="part_43a64d37b52b4551a459cf630ff1c53d"/>
      <w:bookmarkEnd w:id="175"/>
      <w:r>
        <w:rPr>
          <w:color w:val="000000"/>
        </w:rPr>
        <w:t xml:space="preserve">8. This article shall also apply to proxy advisors who have neither a registered office nor a headquarter in the European </w:t>
      </w:r>
      <w:proofErr w:type="gramStart"/>
      <w:r>
        <w:rPr>
          <w:color w:val="000000"/>
        </w:rPr>
        <w:t>Union, but</w:t>
      </w:r>
      <w:proofErr w:type="gramEnd"/>
      <w:r>
        <w:rPr>
          <w:color w:val="000000"/>
        </w:rPr>
        <w:t xml:space="preserve"> are established there.</w:t>
      </w:r>
    </w:p>
    <w:p w14:paraId="7F94248E" w14:textId="77777777" w:rsidR="006002AA" w:rsidRDefault="006002AA" w:rsidP="006002AA">
      <w:pPr>
        <w:rPr>
          <w:color w:val="000000"/>
        </w:rPr>
      </w:pPr>
      <w:r>
        <w:rPr>
          <w:i/>
          <w:iCs/>
          <w:color w:val="000000"/>
          <w:sz w:val="20"/>
        </w:rPr>
        <w:t>Supplemented with an Article:</w:t>
      </w:r>
    </w:p>
    <w:p w14:paraId="714B6993" w14:textId="77777777" w:rsidR="006002AA" w:rsidRDefault="006002AA" w:rsidP="006002AA">
      <w:pPr>
        <w:jc w:val="both"/>
        <w:rPr>
          <w:color w:val="000000"/>
        </w:rPr>
      </w:pPr>
      <w:r>
        <w:rPr>
          <w:i/>
          <w:iCs/>
          <w:color w:val="000000"/>
          <w:sz w:val="20"/>
        </w:rPr>
        <w:t xml:space="preserve">No </w:t>
      </w:r>
      <w:hyperlink r:id="rId114" w:tgtFrame="_parent" w:history="1">
        <w:r>
          <w:rPr>
            <w:rStyle w:val="Hyperlink"/>
            <w:i/>
            <w:iCs/>
            <w:sz w:val="20"/>
          </w:rPr>
          <w:t>XIII-2252</w:t>
        </w:r>
      </w:hyperlink>
      <w:r>
        <w:rPr>
          <w:i/>
          <w:iCs/>
          <w:color w:val="000000"/>
          <w:sz w:val="20"/>
        </w:rPr>
        <w:t>, 27/06/2019, published in the RLA, 05/07/2019, ID code 2019-11172</w:t>
      </w:r>
    </w:p>
    <w:p w14:paraId="24C47601" w14:textId="77777777" w:rsidR="006002AA" w:rsidRPr="000550CF" w:rsidRDefault="006002AA" w:rsidP="00F3494E">
      <w:pPr>
        <w:widowControl w:val="0"/>
        <w:ind w:firstLine="720"/>
        <w:jc w:val="both"/>
        <w:rPr>
          <w:szCs w:val="24"/>
          <w:lang w:eastAsia="lt-LT"/>
        </w:rPr>
      </w:pPr>
    </w:p>
    <w:p w14:paraId="294DC1F9" w14:textId="77777777" w:rsidR="00ED3A7E" w:rsidRPr="000550CF" w:rsidRDefault="00ED3A7E" w:rsidP="00F3494E">
      <w:pPr>
        <w:widowControl w:val="0"/>
        <w:jc w:val="center"/>
        <w:rPr>
          <w:szCs w:val="24"/>
        </w:rPr>
      </w:pPr>
      <w:r>
        <w:rPr>
          <w:b/>
          <w:szCs w:val="24"/>
        </w:rPr>
        <w:t>SECTION SIX</w:t>
      </w:r>
    </w:p>
    <w:p w14:paraId="27173AEF" w14:textId="77777777" w:rsidR="00ED3A7E" w:rsidRPr="000550CF" w:rsidRDefault="00ED3A7E" w:rsidP="00F3494E">
      <w:pPr>
        <w:widowControl w:val="0"/>
        <w:jc w:val="center"/>
        <w:rPr>
          <w:szCs w:val="24"/>
        </w:rPr>
      </w:pPr>
      <w:r>
        <w:rPr>
          <w:b/>
          <w:szCs w:val="24"/>
        </w:rPr>
        <w:t>RIGHTS OF FINANCIAL BROKERAGE FIRMS</w:t>
      </w:r>
    </w:p>
    <w:p w14:paraId="413CB59F" w14:textId="77777777" w:rsidR="00ED3A7E" w:rsidRPr="000550CF" w:rsidRDefault="00ED3A7E" w:rsidP="00F3494E">
      <w:pPr>
        <w:widowControl w:val="0"/>
        <w:ind w:firstLine="720"/>
        <w:rPr>
          <w:szCs w:val="24"/>
          <w:lang w:eastAsia="lt-LT"/>
        </w:rPr>
      </w:pPr>
    </w:p>
    <w:p w14:paraId="51106396" w14:textId="77777777" w:rsidR="00ED3A7E" w:rsidRPr="000550CF" w:rsidRDefault="00ED3A7E" w:rsidP="00F3494E">
      <w:pPr>
        <w:widowControl w:val="0"/>
        <w:ind w:left="2127" w:hanging="1407"/>
        <w:jc w:val="both"/>
        <w:rPr>
          <w:szCs w:val="24"/>
        </w:rPr>
      </w:pPr>
      <w:r>
        <w:rPr>
          <w:b/>
          <w:szCs w:val="24"/>
        </w:rPr>
        <w:t xml:space="preserve">Article 42. </w:t>
      </w:r>
      <w:r>
        <w:rPr>
          <w:b/>
          <w:szCs w:val="24"/>
        </w:rPr>
        <w:tab/>
        <w:t xml:space="preserve">Provision of investment services by financial brokerage firms established in the Republic of Lithuania in another Member State without establishing a </w:t>
      </w:r>
      <w:proofErr w:type="gramStart"/>
      <w:r>
        <w:rPr>
          <w:b/>
          <w:szCs w:val="24"/>
        </w:rPr>
        <w:t>branch</w:t>
      </w:r>
      <w:proofErr w:type="gramEnd"/>
    </w:p>
    <w:p w14:paraId="7CC94EA0" w14:textId="77777777" w:rsidR="00ED3A7E" w:rsidRPr="000550CF" w:rsidRDefault="00ED3A7E" w:rsidP="00F3494E">
      <w:pPr>
        <w:ind w:firstLine="720"/>
        <w:jc w:val="both"/>
      </w:pPr>
      <w:r>
        <w:t>1. A financial brokerage firm wishing to provide investment services in another Member State for the first time or to change the range of investment services provided in another Member State shall communicate to the supervisory authority the information about the Member State in which it intends to provide investment services or to change their range, as well as a programme of operations stating in particular the investment services as well as ancillary services which it intends to provide and whether it intends to do so through the use of tied agents registered in the public list of tied agents in the Republic of Lithuania and the identity of those tied agents.</w:t>
      </w:r>
    </w:p>
    <w:p w14:paraId="51DA47DC" w14:textId="77777777" w:rsidR="00ED3A7E" w:rsidRPr="000550CF" w:rsidRDefault="00ED3A7E" w:rsidP="00F3494E">
      <w:pPr>
        <w:widowControl w:val="0"/>
        <w:ind w:firstLine="720"/>
        <w:jc w:val="both"/>
        <w:rPr>
          <w:szCs w:val="24"/>
        </w:rPr>
      </w:pPr>
      <w:r>
        <w:t>2. Where a credit institution wishes to start providing investment services and ancillary services in another Member State and to using the services of tied agents registered in the public register of tied agents maintained by the supervisory authority, the credit institution shall communicate to the supervisory authority the identity of those tied agents.</w:t>
      </w:r>
    </w:p>
    <w:p w14:paraId="3E03A6F4" w14:textId="77777777" w:rsidR="00ED3A7E" w:rsidRPr="000550CF" w:rsidRDefault="00ED3A7E" w:rsidP="00F3494E">
      <w:pPr>
        <w:widowControl w:val="0"/>
        <w:ind w:firstLine="720"/>
        <w:jc w:val="both"/>
        <w:rPr>
          <w:szCs w:val="24"/>
        </w:rPr>
      </w:pPr>
      <w:r>
        <w:lastRenderedPageBreak/>
        <w:t xml:space="preserve">3. The supervisory authority shall, within one month of receiving the information referred to in paragraphs 1 and 2 of this Article, forward it to the supervisory authority of the host Member State. </w:t>
      </w:r>
    </w:p>
    <w:p w14:paraId="2D28A4ED" w14:textId="77777777" w:rsidR="00ED3A7E" w:rsidRPr="000550CF" w:rsidRDefault="00ED3A7E" w:rsidP="00F3494E">
      <w:pPr>
        <w:widowControl w:val="0"/>
        <w:ind w:firstLine="720"/>
        <w:jc w:val="both"/>
        <w:rPr>
          <w:szCs w:val="24"/>
        </w:rPr>
      </w:pPr>
      <w:r>
        <w:t>4.  In the event of a change in any of the particulars referred to in paragraphs 1 and 2 of this Article, a financial brokerage form or a credit institution must give written notice of that change to the supervisory authority at least one month before implementing the change. The supervisory authority shall inform the supervisory authority of the host Member State of that change.</w:t>
      </w:r>
    </w:p>
    <w:p w14:paraId="0B4BDA1D" w14:textId="77777777" w:rsidR="00ED3A7E" w:rsidRPr="000550CF" w:rsidRDefault="00ED3A7E" w:rsidP="00F3494E">
      <w:pPr>
        <w:widowControl w:val="0"/>
        <w:ind w:firstLine="720"/>
        <w:jc w:val="both"/>
        <w:rPr>
          <w:szCs w:val="24"/>
        </w:rPr>
      </w:pPr>
      <w:r>
        <w:t xml:space="preserve">5. Where a financial brokerage firm and a market operator established in the Republic of Lithuania operating an MTF and an OTF from other Member States intend to provide appropriate arrangements on the territory of other Member States </w:t>
      </w:r>
      <w:proofErr w:type="gramStart"/>
      <w:r>
        <w:t>so as to</w:t>
      </w:r>
      <w:proofErr w:type="gramEnd"/>
      <w:r>
        <w:t xml:space="preserve"> facilitate access to and trading on those markets by remote users, members or participants shall communicate to the supervisory authority the Member State in which it intends to provide such arrangements. The supervisory authority shall communicate, within one month, that information to the supervisory authority of the host Member State. On the request of the supervisory authority of the host Member State, the supervisory authority shall, without undue delay, communicate the identity of the members the MTF or of the OTF.</w:t>
      </w:r>
    </w:p>
    <w:p w14:paraId="77FB3EFB" w14:textId="77777777" w:rsidR="00ED3A7E" w:rsidRPr="000550CF" w:rsidRDefault="00ED3A7E" w:rsidP="00E3382C">
      <w:pPr>
        <w:widowControl w:val="0"/>
        <w:jc w:val="both"/>
        <w:rPr>
          <w:szCs w:val="24"/>
          <w:lang w:eastAsia="lt-LT"/>
        </w:rPr>
      </w:pPr>
    </w:p>
    <w:p w14:paraId="7CAC2914" w14:textId="77777777" w:rsidR="00ED3A7E" w:rsidRPr="000550CF" w:rsidRDefault="00ED3A7E" w:rsidP="00F3494E">
      <w:pPr>
        <w:widowControl w:val="0"/>
        <w:ind w:left="2127" w:hanging="1407"/>
        <w:jc w:val="both"/>
        <w:rPr>
          <w:szCs w:val="24"/>
        </w:rPr>
      </w:pPr>
      <w:r>
        <w:rPr>
          <w:b/>
          <w:szCs w:val="24"/>
        </w:rPr>
        <w:t xml:space="preserve">Article 43. </w:t>
      </w:r>
      <w:r>
        <w:rPr>
          <w:b/>
          <w:szCs w:val="24"/>
        </w:rPr>
        <w:tab/>
        <w:t xml:space="preserve">Right of financial brokerage firms established in another Member State to provide investment services by in the Republic of Lithuania without establishing a </w:t>
      </w:r>
      <w:proofErr w:type="gramStart"/>
      <w:r>
        <w:rPr>
          <w:b/>
          <w:szCs w:val="24"/>
        </w:rPr>
        <w:t>branch</w:t>
      </w:r>
      <w:proofErr w:type="gramEnd"/>
    </w:p>
    <w:p w14:paraId="73B0D4E1" w14:textId="77777777" w:rsidR="00ED3A7E" w:rsidRPr="000550CF" w:rsidRDefault="00ED3A7E" w:rsidP="00F3494E">
      <w:pPr>
        <w:widowControl w:val="0"/>
        <w:ind w:firstLine="720"/>
        <w:jc w:val="both"/>
        <w:rPr>
          <w:szCs w:val="24"/>
        </w:rPr>
      </w:pPr>
      <w:r>
        <w:t>1. A financial brokerage firm or a credit institution established in another Member State shall have the right to provide investment services and ancillary services in the Republic of Lithuania without establishing a branch where the right to provide the particular investment services and ancillary is granted by the financial brokerage firm license of the credit institution licence issued by the supervisory authority. Ancillary services may only be provided together with at least one investment service.</w:t>
      </w:r>
    </w:p>
    <w:p w14:paraId="61E3BC3D" w14:textId="77777777" w:rsidR="00ED3A7E" w:rsidRPr="000550CF" w:rsidRDefault="00ED3A7E" w:rsidP="00F3494E">
      <w:pPr>
        <w:widowControl w:val="0"/>
        <w:ind w:firstLine="720"/>
        <w:jc w:val="both"/>
        <w:rPr>
          <w:szCs w:val="24"/>
        </w:rPr>
      </w:pPr>
      <w:r>
        <w:t>2. A financial brokerage firm established in another Member State shall have the right to start providing investment services in the Republic of Lithuania without establishing a branch or to change the range of investment services provided in Republic of Lithuania when the supervisory authority received a notification from the financial brokerage firm’s supervisory authority specifying that the financial brokerage firm intends to provide investment services in the Republic of Lithuania or to change their range, as well as a programme of operations stating in particular the investment services as well as ancillary services which it intends to provide and whether it intends to do so through the use of tied agents and the identities (forenames and surnames) of the appointed tied agents. The supervisory authority shall publish this information no later than within three working days.</w:t>
      </w:r>
    </w:p>
    <w:p w14:paraId="78B95DC7" w14:textId="77777777" w:rsidR="00ED3A7E" w:rsidRPr="000550CF" w:rsidRDefault="00ED3A7E" w:rsidP="00F3494E">
      <w:pPr>
        <w:widowControl w:val="0"/>
        <w:ind w:firstLine="720"/>
        <w:jc w:val="both"/>
        <w:rPr>
          <w:szCs w:val="24"/>
        </w:rPr>
      </w:pPr>
      <w:r>
        <w:t xml:space="preserve">3. A licensed credit institution established in another Member State shall have the right to start providing investment services and ancillary services in the Republic of Lithuania </w:t>
      </w:r>
      <w:proofErr w:type="gramStart"/>
      <w:r>
        <w:t>through the use of</w:t>
      </w:r>
      <w:proofErr w:type="gramEnd"/>
      <w:r>
        <w:t xml:space="preserve"> tied agents established in another Member State after the supervisory authority receives from the credit institution’s supervisory authority the information about the identities (forenames and surnames) of the tied agents. The supervisory authority shall publish this information no later than within three working days.</w:t>
      </w:r>
    </w:p>
    <w:p w14:paraId="7A4F9187" w14:textId="77777777" w:rsidR="00ED3A7E" w:rsidRPr="000550CF" w:rsidRDefault="00ED3A7E" w:rsidP="00F3494E">
      <w:pPr>
        <w:widowControl w:val="0"/>
        <w:ind w:firstLine="720"/>
        <w:jc w:val="both"/>
        <w:rPr>
          <w:szCs w:val="24"/>
        </w:rPr>
      </w:pPr>
      <w:r>
        <w:t>4. Where the particulars and information referred to in paragraphs 2 and 3 of this Article change, the financial brokerage firm or the credit institution must notify the envisaged changes to the supervisory authority of their home Member State. The supervisory authority shall have the right to receive the documents supporting the change of such information.</w:t>
      </w:r>
    </w:p>
    <w:p w14:paraId="598EDA28" w14:textId="77777777" w:rsidR="00ED3A7E" w:rsidRPr="000550CF" w:rsidRDefault="00ED3A7E" w:rsidP="00F3494E">
      <w:pPr>
        <w:widowControl w:val="0"/>
        <w:ind w:firstLine="720"/>
        <w:jc w:val="both"/>
        <w:rPr>
          <w:szCs w:val="24"/>
        </w:rPr>
      </w:pPr>
      <w:r>
        <w:t xml:space="preserve">5. A financial brokerage firm and a market operator licensed in another Member State operating an MTF shall have the right to take appropriate arrangements in the Republic of Lithuania </w:t>
      </w:r>
      <w:proofErr w:type="gramStart"/>
      <w:r>
        <w:t>so as to</w:t>
      </w:r>
      <w:proofErr w:type="gramEnd"/>
      <w:r>
        <w:t xml:space="preserve"> facilitate for legal persons established in the Republic of Lithuania the access to and the remote use of the MTF.</w:t>
      </w:r>
    </w:p>
    <w:p w14:paraId="585422F2" w14:textId="77777777" w:rsidR="00ED3A7E" w:rsidRPr="000550CF" w:rsidRDefault="00ED3A7E" w:rsidP="00F3494E">
      <w:pPr>
        <w:ind w:left="2268" w:hanging="1548"/>
        <w:jc w:val="both"/>
        <w:rPr>
          <w:szCs w:val="24"/>
          <w:lang w:eastAsia="lt-LT"/>
        </w:rPr>
      </w:pPr>
    </w:p>
    <w:p w14:paraId="2ECD85C4" w14:textId="77777777" w:rsidR="00ED3A7E" w:rsidRPr="000550CF" w:rsidRDefault="00ED3A7E" w:rsidP="00F3494E">
      <w:pPr>
        <w:ind w:left="2268" w:hanging="1548"/>
        <w:jc w:val="both"/>
        <w:rPr>
          <w:b/>
        </w:rPr>
      </w:pPr>
      <w:r>
        <w:rPr>
          <w:b/>
        </w:rPr>
        <w:t xml:space="preserve">Article 44. Right </w:t>
      </w:r>
      <w:r>
        <w:rPr>
          <w:b/>
          <w:szCs w:val="24"/>
        </w:rPr>
        <w:t xml:space="preserve">of financial brokerage firms established in the Republic of Lithuania to provide investment services by in another Member State having established a </w:t>
      </w:r>
      <w:proofErr w:type="gramStart"/>
      <w:r>
        <w:rPr>
          <w:b/>
          <w:szCs w:val="24"/>
        </w:rPr>
        <w:t>branch</w:t>
      </w:r>
      <w:proofErr w:type="gramEnd"/>
    </w:p>
    <w:p w14:paraId="1D91809B" w14:textId="77777777" w:rsidR="00ED3A7E" w:rsidRPr="000550CF" w:rsidRDefault="00ED3A7E" w:rsidP="00F3494E">
      <w:pPr>
        <w:widowControl w:val="0"/>
        <w:ind w:firstLine="720"/>
        <w:jc w:val="both"/>
        <w:rPr>
          <w:szCs w:val="24"/>
        </w:rPr>
      </w:pPr>
      <w:r>
        <w:t xml:space="preserve">1. A financial brokerage firm, wishing to establish a branch in another Member State or to </w:t>
      </w:r>
      <w:r>
        <w:lastRenderedPageBreak/>
        <w:t xml:space="preserve">provide investment services and ancillary services </w:t>
      </w:r>
      <w:proofErr w:type="gramStart"/>
      <w:r>
        <w:t>by the use of</w:t>
      </w:r>
      <w:proofErr w:type="gramEnd"/>
      <w:r>
        <w:t xml:space="preserve"> tied agents established in another Member State shall notify the supervisory authority providing it with the following information:</w:t>
      </w:r>
    </w:p>
    <w:p w14:paraId="71FF69F6" w14:textId="77777777" w:rsidR="00ED3A7E" w:rsidRPr="000550CF" w:rsidRDefault="00ED3A7E" w:rsidP="00F3494E">
      <w:pPr>
        <w:widowControl w:val="0"/>
        <w:ind w:firstLine="720"/>
        <w:jc w:val="both"/>
        <w:rPr>
          <w:szCs w:val="24"/>
        </w:rPr>
      </w:pPr>
      <w:r>
        <w:t xml:space="preserve">1) the Member State within the territory of which it plans to establish a branch or the Member State in which it has not established a branch but plans to provide investment services and ancillary services by the use of tied agents established </w:t>
      </w:r>
      <w:proofErr w:type="gramStart"/>
      <w:r>
        <w:t>there;</w:t>
      </w:r>
      <w:proofErr w:type="gramEnd"/>
    </w:p>
    <w:p w14:paraId="6E90F049" w14:textId="77777777" w:rsidR="00ED3A7E" w:rsidRPr="000550CF" w:rsidRDefault="00ED3A7E" w:rsidP="00F3494E">
      <w:pPr>
        <w:widowControl w:val="0"/>
        <w:ind w:firstLine="720"/>
        <w:jc w:val="both"/>
        <w:rPr>
          <w:szCs w:val="24"/>
        </w:rPr>
      </w:pPr>
      <w:r>
        <w:t xml:space="preserve">2) a programme of operations setting out, inter alia, the investment services and ancillary services to be </w:t>
      </w:r>
      <w:proofErr w:type="gramStart"/>
      <w:r>
        <w:t>offered;</w:t>
      </w:r>
      <w:proofErr w:type="gramEnd"/>
      <w:r>
        <w:t xml:space="preserve"> </w:t>
      </w:r>
    </w:p>
    <w:p w14:paraId="495F0C57" w14:textId="77777777" w:rsidR="00ED3A7E" w:rsidRPr="000550CF" w:rsidRDefault="00ED3A7E" w:rsidP="00F3494E">
      <w:pPr>
        <w:ind w:firstLine="720"/>
        <w:jc w:val="both"/>
      </w:pPr>
      <w:r>
        <w:t xml:space="preserve">3) when planning to establish a branch – the organisational structure of the branch and the information indicating whether the branch intends to use tied agents and the identity of those tied </w:t>
      </w:r>
      <w:proofErr w:type="gramStart"/>
      <w:r>
        <w:t>agents;</w:t>
      </w:r>
      <w:proofErr w:type="gramEnd"/>
    </w:p>
    <w:p w14:paraId="5E694E21" w14:textId="77777777" w:rsidR="00ED3A7E" w:rsidRPr="000550CF" w:rsidRDefault="00ED3A7E" w:rsidP="00F3494E">
      <w:pPr>
        <w:widowControl w:val="0"/>
        <w:ind w:firstLine="720"/>
        <w:jc w:val="both"/>
        <w:rPr>
          <w:szCs w:val="24"/>
        </w:rPr>
      </w:pPr>
      <w:r>
        <w:t xml:space="preserve">4) the address in the host Member State from which documents may be </w:t>
      </w:r>
      <w:proofErr w:type="gramStart"/>
      <w:r>
        <w:t>obtained;</w:t>
      </w:r>
      <w:proofErr w:type="gramEnd"/>
    </w:p>
    <w:p w14:paraId="08E730BE" w14:textId="77777777" w:rsidR="00ED3A7E" w:rsidRPr="000550CF" w:rsidRDefault="00ED3A7E" w:rsidP="00F3494E">
      <w:pPr>
        <w:widowControl w:val="0"/>
        <w:ind w:firstLine="720"/>
        <w:jc w:val="both"/>
        <w:rPr>
          <w:szCs w:val="24"/>
        </w:rPr>
      </w:pPr>
      <w:r>
        <w:t xml:space="preserve">5) the forenames and surnames of the managers of the </w:t>
      </w:r>
      <w:proofErr w:type="gramStart"/>
      <w:r>
        <w:t>branch;</w:t>
      </w:r>
      <w:proofErr w:type="gramEnd"/>
    </w:p>
    <w:p w14:paraId="284599F4" w14:textId="77777777" w:rsidR="00ED3A7E" w:rsidRPr="000550CF" w:rsidRDefault="00ED3A7E" w:rsidP="00F3494E">
      <w:pPr>
        <w:widowControl w:val="0"/>
        <w:ind w:firstLine="720"/>
        <w:jc w:val="both"/>
        <w:rPr>
          <w:szCs w:val="24"/>
        </w:rPr>
      </w:pPr>
      <w:r>
        <w:t>6) when tied agents are to be used for the provision of the investment services and ancillary services in a Member State in which a branch is not established – a description of the organisational structure of the tied agents and activities planned to be carried out, including reporting lines of the tied agents and how they fit into the corporate structure of the financial brokerage firm.</w:t>
      </w:r>
    </w:p>
    <w:p w14:paraId="112FF092" w14:textId="77777777" w:rsidR="00ED3A7E" w:rsidRPr="000550CF" w:rsidRDefault="00ED3A7E" w:rsidP="00F3494E">
      <w:pPr>
        <w:widowControl w:val="0"/>
        <w:ind w:firstLine="720"/>
        <w:jc w:val="both"/>
        <w:rPr>
          <w:szCs w:val="24"/>
        </w:rPr>
      </w:pPr>
      <w:r>
        <w:t>2. Where a financial brokerage firm established in the Republic of Lithuania uses a tied agent established in another Member State, such tied agent shall be assimilated to the branch, where one is established, and shall in any event be subject to the provisions of this Law relating to branches.</w:t>
      </w:r>
    </w:p>
    <w:p w14:paraId="772CDD17" w14:textId="77777777" w:rsidR="00ED3A7E" w:rsidRPr="000550CF" w:rsidRDefault="00ED3A7E" w:rsidP="00F3494E">
      <w:pPr>
        <w:widowControl w:val="0"/>
        <w:ind w:firstLine="720"/>
        <w:jc w:val="both"/>
        <w:rPr>
          <w:szCs w:val="24"/>
        </w:rPr>
      </w:pPr>
      <w:r>
        <w:t xml:space="preserve">3. Where credit institutions intending to provide the investment services and ancillary services in another Member State without establishing a branch, but </w:t>
      </w:r>
      <w:proofErr w:type="gramStart"/>
      <w:r>
        <w:t>by the use of</w:t>
      </w:r>
      <w:proofErr w:type="gramEnd"/>
      <w:r>
        <w:t xml:space="preserve"> the tied agents established within the territory of that Member state, provisions of paragraphs 1 and 2 of this Article shall apply mutatis mutandis.</w:t>
      </w:r>
    </w:p>
    <w:p w14:paraId="0F2AA336" w14:textId="77777777" w:rsidR="00ED3A7E" w:rsidRPr="000550CF" w:rsidRDefault="00ED3A7E" w:rsidP="00F3494E">
      <w:pPr>
        <w:widowControl w:val="0"/>
        <w:ind w:firstLine="720"/>
        <w:jc w:val="both"/>
        <w:rPr>
          <w:szCs w:val="24"/>
        </w:rPr>
      </w:pPr>
      <w:r>
        <w:t xml:space="preserve">4. Unless the supervisory authority has reason to doubt the adequacy of the administrative structure or the financial situation of a financial brokerage firm, </w:t>
      </w:r>
      <w:proofErr w:type="gramStart"/>
      <w:r>
        <w:t>taking into account</w:t>
      </w:r>
      <w:proofErr w:type="gramEnd"/>
      <w:r>
        <w:t xml:space="preserve"> the activities envisaged, it shall, within three months of receiving all the information, communicate that information to the supervisory authority of the host Member State and inform the investment firm concerned accordingly. In addition, the supervisory authority shall communicate details of the accredited compensation scheme of which the financial brokerage firm is a member.</w:t>
      </w:r>
    </w:p>
    <w:p w14:paraId="71C3F8CD" w14:textId="77777777" w:rsidR="00ED3A7E" w:rsidRPr="000550CF" w:rsidRDefault="00ED3A7E" w:rsidP="00F3494E">
      <w:pPr>
        <w:widowControl w:val="0"/>
        <w:ind w:firstLine="720"/>
        <w:jc w:val="both"/>
        <w:rPr>
          <w:szCs w:val="24"/>
        </w:rPr>
      </w:pPr>
      <w:r>
        <w:t>5. In the event of a change in the particulars referred to in paragraph 1 of this Article, a financial brokerage firm or a credit institution shall give written notice of that change to the supervisory authority at least one month before implementing the change. The supervisory authority of the host Member State shall also be informed of that change by the supervisory authority.</w:t>
      </w:r>
    </w:p>
    <w:p w14:paraId="062CB46E" w14:textId="77777777" w:rsidR="00ED3A7E" w:rsidRPr="000550CF" w:rsidRDefault="00ED3A7E" w:rsidP="00F3494E">
      <w:pPr>
        <w:widowControl w:val="0"/>
        <w:ind w:firstLine="720"/>
        <w:jc w:val="both"/>
        <w:rPr>
          <w:szCs w:val="24"/>
        </w:rPr>
      </w:pPr>
      <w:r>
        <w:t>6. Where the supervisory authority establishes that the administrative structure or the financial situation of a financial brokerage firm or a credit institution taking into account the activities envisaged is inadequate, the supervisory authority shall refuse to communicate the information referred to in paragraph 1 of this Article to the supervisory authority of the host Member State and shall inform accordingly the financial brokerage firm or the credit institution that submitted the notification, giving reasons for its refusal within the time limit fixed in paragraph 4 of this Article.</w:t>
      </w:r>
    </w:p>
    <w:p w14:paraId="0A3CA04E" w14:textId="071CF523" w:rsidR="006002AA" w:rsidRDefault="006002AA" w:rsidP="006002AA">
      <w:pPr>
        <w:spacing w:line="360" w:lineRule="atLeast"/>
        <w:ind w:firstLine="720"/>
        <w:jc w:val="both"/>
        <w:rPr>
          <w:color w:val="000000"/>
          <w:lang w:val="lt-LT" w:eastAsia="lt-LT"/>
        </w:rPr>
      </w:pPr>
    </w:p>
    <w:p w14:paraId="52DE884E" w14:textId="77777777" w:rsidR="006002AA" w:rsidRPr="00BE49BD" w:rsidRDefault="006002AA" w:rsidP="006002AA">
      <w:pPr>
        <w:spacing w:line="360" w:lineRule="atLeast"/>
        <w:ind w:firstLine="720"/>
        <w:jc w:val="both"/>
        <w:rPr>
          <w:color w:val="000000"/>
        </w:rPr>
      </w:pPr>
      <w:bookmarkStart w:id="176" w:name="part_73aed23bd11f4abfb223ce08fcd1fcfe"/>
      <w:bookmarkEnd w:id="176"/>
      <w:r>
        <w:rPr>
          <w:b/>
          <w:bCs/>
          <w:color w:val="000000"/>
        </w:rPr>
        <w:t>Article 44</w:t>
      </w:r>
      <w:r>
        <w:rPr>
          <w:b/>
          <w:bCs/>
          <w:color w:val="000000"/>
          <w:vertAlign w:val="superscript"/>
        </w:rPr>
        <w:t>1</w:t>
      </w:r>
      <w:r>
        <w:rPr>
          <w:b/>
          <w:bCs/>
          <w:color w:val="000000"/>
        </w:rPr>
        <w:t>.</w:t>
      </w:r>
      <w:r>
        <w:rPr>
          <w:color w:val="000000"/>
        </w:rPr>
        <w:t> </w:t>
      </w:r>
      <w:r>
        <w:rPr>
          <w:b/>
          <w:bCs/>
          <w:color w:val="000000"/>
        </w:rPr>
        <w:t>Disclosure of information</w:t>
      </w:r>
    </w:p>
    <w:p w14:paraId="3E200C7A" w14:textId="77777777" w:rsidR="006002AA" w:rsidRPr="00BE49BD" w:rsidRDefault="006002AA" w:rsidP="006002AA">
      <w:pPr>
        <w:spacing w:line="360" w:lineRule="atLeast"/>
        <w:ind w:firstLine="720"/>
        <w:jc w:val="both"/>
        <w:rPr>
          <w:color w:val="000000"/>
        </w:rPr>
      </w:pPr>
      <w:bookmarkStart w:id="177" w:name="part_b011c2ddc0ef4713ab9b1ccccb1803c7"/>
      <w:bookmarkEnd w:id="177"/>
      <w:r>
        <w:rPr>
          <w:color w:val="000000"/>
        </w:rPr>
        <w:t>1. Every year, a financial brokerage firm shall publish information about each branch or subsidiary of the financial brokerage firm operating in any country, including a Member State, which is a financial institution as defined in Article 4(1)(26) of Regulation (EU) No 575/2013.</w:t>
      </w:r>
    </w:p>
    <w:p w14:paraId="6E8B6CA0" w14:textId="77777777" w:rsidR="006002AA" w:rsidRPr="00BE49BD" w:rsidRDefault="006002AA" w:rsidP="006002AA">
      <w:pPr>
        <w:spacing w:line="360" w:lineRule="atLeast"/>
        <w:ind w:firstLine="720"/>
        <w:jc w:val="both"/>
        <w:rPr>
          <w:color w:val="000000"/>
        </w:rPr>
      </w:pPr>
      <w:bookmarkStart w:id="178" w:name="part_2f9fe30b2af444b399c923d1ef12f007"/>
      <w:bookmarkEnd w:id="178"/>
      <w:r>
        <w:rPr>
          <w:color w:val="000000"/>
        </w:rPr>
        <w:t xml:space="preserve">2. The information referred to in paragraph 1 of this Article shall include the name of the branch or subsidiary, nature of activity and geographical location, turnover, number of employees expressed in full-time equivalent positions, </w:t>
      </w:r>
      <w:proofErr w:type="gramStart"/>
      <w:r>
        <w:rPr>
          <w:color w:val="000000"/>
        </w:rPr>
        <w:t>profit</w:t>
      </w:r>
      <w:proofErr w:type="gramEnd"/>
      <w:r>
        <w:rPr>
          <w:color w:val="000000"/>
        </w:rPr>
        <w:t xml:space="preserve"> or loss before tax, paid corporate income tax, received public subsidies.  The information shall be published on a country-by-country basis.</w:t>
      </w:r>
    </w:p>
    <w:p w14:paraId="75D31AD3" w14:textId="77777777" w:rsidR="006002AA" w:rsidRPr="00BE49BD" w:rsidRDefault="006002AA" w:rsidP="006002AA">
      <w:pPr>
        <w:spacing w:line="360" w:lineRule="atLeast"/>
        <w:ind w:firstLine="720"/>
        <w:jc w:val="both"/>
        <w:rPr>
          <w:color w:val="000000"/>
        </w:rPr>
      </w:pPr>
      <w:bookmarkStart w:id="179" w:name="part_e8067d07185348128b9633016458c3be"/>
      <w:bookmarkEnd w:id="179"/>
      <w:r>
        <w:rPr>
          <w:color w:val="000000"/>
        </w:rPr>
        <w:lastRenderedPageBreak/>
        <w:t>3. The information referred to in paragraph 2 of this Article shall be audited and, when possible, published as an appendix to annual financial statements or as an appendix to consolidated financial statements, where drawn-up.</w:t>
      </w:r>
    </w:p>
    <w:p w14:paraId="3EB915A7" w14:textId="77777777" w:rsidR="006002AA" w:rsidRPr="00BE49BD" w:rsidRDefault="006002AA" w:rsidP="006002AA">
      <w:pPr>
        <w:spacing w:line="360" w:lineRule="atLeast"/>
        <w:ind w:firstLine="720"/>
        <w:jc w:val="both"/>
        <w:rPr>
          <w:color w:val="000000"/>
        </w:rPr>
      </w:pPr>
      <w:bookmarkStart w:id="180" w:name="part_a049ace6b7f9435c907c42d306b8e046"/>
      <w:bookmarkEnd w:id="180"/>
      <w:r>
        <w:rPr>
          <w:color w:val="000000"/>
        </w:rPr>
        <w:t>4. A financial brokerage firm that meets the conditions referred to in Article 15</w:t>
      </w:r>
      <w:r>
        <w:rPr>
          <w:color w:val="000000"/>
          <w:vertAlign w:val="superscript"/>
        </w:rPr>
        <w:t>4</w:t>
      </w:r>
      <w:r>
        <w:rPr>
          <w:color w:val="000000"/>
        </w:rPr>
        <w:t>(7) of this Law shall be required to make the information referred to in Article 52 of Regulation (EU) 2019/2033 publicly available in accordance with the procedure established in that Article.</w:t>
      </w:r>
    </w:p>
    <w:p w14:paraId="5D806B07" w14:textId="77777777" w:rsidR="006002AA" w:rsidRDefault="006002AA" w:rsidP="006002AA">
      <w:pPr>
        <w:rPr>
          <w:color w:val="000000"/>
        </w:rPr>
      </w:pPr>
      <w:r>
        <w:rPr>
          <w:i/>
          <w:iCs/>
          <w:color w:val="000000"/>
          <w:sz w:val="20"/>
        </w:rPr>
        <w:t>Supplemented with an Article:</w:t>
      </w:r>
    </w:p>
    <w:p w14:paraId="2296D0B3" w14:textId="77777777" w:rsidR="006002AA" w:rsidRDefault="006002AA" w:rsidP="006002AA">
      <w:pPr>
        <w:jc w:val="both"/>
        <w:rPr>
          <w:color w:val="000000"/>
        </w:rPr>
      </w:pPr>
      <w:r>
        <w:rPr>
          <w:i/>
          <w:iCs/>
          <w:color w:val="000000"/>
          <w:sz w:val="20"/>
        </w:rPr>
        <w:t xml:space="preserve">No </w:t>
      </w:r>
      <w:hyperlink r:id="rId115" w:tgtFrame="_parent" w:history="1">
        <w:r>
          <w:rPr>
            <w:rStyle w:val="Hyperlink"/>
            <w:i/>
            <w:iCs/>
            <w:sz w:val="20"/>
          </w:rPr>
          <w:t>XIV-821</w:t>
        </w:r>
      </w:hyperlink>
      <w:r>
        <w:rPr>
          <w:i/>
          <w:iCs/>
          <w:color w:val="000000"/>
          <w:sz w:val="20"/>
        </w:rPr>
        <w:t>, 23/12/2021, published in the RLA, 30/12/2021, ID code 2021-27710</w:t>
      </w:r>
    </w:p>
    <w:p w14:paraId="7C129F6C" w14:textId="77777777" w:rsidR="00ED3A7E" w:rsidRPr="000550CF" w:rsidRDefault="00ED3A7E" w:rsidP="00F3494E">
      <w:pPr>
        <w:widowControl w:val="0"/>
        <w:ind w:firstLine="720"/>
        <w:jc w:val="both"/>
        <w:rPr>
          <w:szCs w:val="24"/>
          <w:lang w:eastAsia="lt-LT"/>
        </w:rPr>
      </w:pPr>
    </w:p>
    <w:p w14:paraId="717AECAA" w14:textId="77777777" w:rsidR="00ED3A7E" w:rsidRPr="000550CF" w:rsidRDefault="00ED3A7E" w:rsidP="00F3494E">
      <w:pPr>
        <w:widowControl w:val="0"/>
        <w:ind w:left="2127" w:hanging="1407"/>
        <w:jc w:val="both"/>
        <w:rPr>
          <w:szCs w:val="24"/>
        </w:rPr>
      </w:pPr>
      <w:r>
        <w:rPr>
          <w:b/>
          <w:szCs w:val="24"/>
        </w:rPr>
        <w:t xml:space="preserve">Article 45. </w:t>
      </w:r>
      <w:r>
        <w:rPr>
          <w:b/>
          <w:szCs w:val="24"/>
        </w:rPr>
        <w:tab/>
        <w:t xml:space="preserve">Right of financial brokerage firms established in other Member States to provide investment services in the Republic of Lithuania having established a </w:t>
      </w:r>
      <w:proofErr w:type="gramStart"/>
      <w:r>
        <w:rPr>
          <w:b/>
          <w:szCs w:val="24"/>
        </w:rPr>
        <w:t>branch</w:t>
      </w:r>
      <w:proofErr w:type="gramEnd"/>
    </w:p>
    <w:p w14:paraId="13D62E78" w14:textId="77777777" w:rsidR="00ED3A7E" w:rsidRPr="000550CF" w:rsidRDefault="00ED3A7E" w:rsidP="00F3494E">
      <w:pPr>
        <w:widowControl w:val="0"/>
        <w:ind w:firstLine="720"/>
        <w:jc w:val="both"/>
        <w:rPr>
          <w:szCs w:val="24"/>
        </w:rPr>
      </w:pPr>
      <w:r>
        <w:t xml:space="preserve">1. A financial brokerage firm or a credit institution established in another Member State shall have the right to provide investment services and ancillary services in the Republic of Lithuania through a branch or </w:t>
      </w:r>
      <w:proofErr w:type="gramStart"/>
      <w:r>
        <w:t>by the use of</w:t>
      </w:r>
      <w:proofErr w:type="gramEnd"/>
      <w:r>
        <w:t xml:space="preserve"> tied agents established in the Republic of Lithuania where the right to provide the particular investment services and ancillary is granted by a financial brokerage firm license or by a credit institution licence. Ancillary services may only be provided together with at least one investment service.</w:t>
      </w:r>
    </w:p>
    <w:p w14:paraId="1AC17D0D" w14:textId="77777777" w:rsidR="00ED3A7E" w:rsidRPr="000550CF" w:rsidRDefault="00ED3A7E" w:rsidP="00F3494E">
      <w:pPr>
        <w:widowControl w:val="0"/>
        <w:ind w:firstLine="720"/>
        <w:jc w:val="both"/>
        <w:rPr>
          <w:szCs w:val="24"/>
        </w:rPr>
      </w:pPr>
      <w:r>
        <w:t xml:space="preserve">2. A branch of a financial brokerage firm may be established and commence its operations, as well as a tied agent may commence its operations in the Republic of Lithuania after the supervisory authority of the financial brokerage firm communicates to the supervisory authority the notification containing the information specified in Article 44(1) of this Law. Upon the receipt of this notification, the supervisory authority shall </w:t>
      </w:r>
      <w:proofErr w:type="gramStart"/>
      <w:r>
        <w:t>make arrangements</w:t>
      </w:r>
      <w:proofErr w:type="gramEnd"/>
      <w:r>
        <w:t xml:space="preserve"> for the supervision, instruct the financial brokerage firm or the credit institution on the operational requirements established in public interest they will have to comply with and shall notify the financial brokerage firm or the credit institution accordingly not later than within two months. The branch may be </w:t>
      </w:r>
      <w:proofErr w:type="gramStart"/>
      <w:r>
        <w:t>established</w:t>
      </w:r>
      <w:proofErr w:type="gramEnd"/>
      <w:r>
        <w:t xml:space="preserve"> and the tied intermediary may commence its operations after the financial brokerage firm or the credit institution receives such notification of the supervisory authority and in case it does not receive such notification – within two months after the supervisory authority of the financial brokerage firm or the credit institution communicates the information specified in this paragraph to the supervisory authority.</w:t>
      </w:r>
    </w:p>
    <w:p w14:paraId="0BE70BD5" w14:textId="77777777" w:rsidR="00ED3A7E" w:rsidRPr="000550CF" w:rsidRDefault="00ED3A7E" w:rsidP="00F3494E">
      <w:pPr>
        <w:widowControl w:val="0"/>
        <w:ind w:firstLine="720"/>
        <w:jc w:val="both"/>
        <w:rPr>
          <w:szCs w:val="24"/>
          <w:lang w:eastAsia="lt-LT"/>
        </w:rPr>
      </w:pPr>
    </w:p>
    <w:p w14:paraId="39BD8F05" w14:textId="77777777" w:rsidR="00ED3A7E" w:rsidRPr="000550CF" w:rsidRDefault="00ED3A7E" w:rsidP="00F3494E">
      <w:pPr>
        <w:ind w:left="2127" w:hanging="1407"/>
        <w:jc w:val="both"/>
        <w:rPr>
          <w:b/>
        </w:rPr>
      </w:pPr>
      <w:r>
        <w:rPr>
          <w:b/>
        </w:rPr>
        <w:t xml:space="preserve">Article 46. </w:t>
      </w:r>
      <w:r>
        <w:rPr>
          <w:b/>
        </w:rPr>
        <w:tab/>
        <w:t xml:space="preserve">Right of a financial brokerage firm to become a member of a regulated market of another Member State </w:t>
      </w:r>
    </w:p>
    <w:p w14:paraId="382485D6" w14:textId="77777777" w:rsidR="00ED3A7E" w:rsidRPr="000550CF" w:rsidRDefault="00ED3A7E" w:rsidP="00F3494E">
      <w:pPr>
        <w:widowControl w:val="0"/>
        <w:ind w:firstLine="720"/>
        <w:jc w:val="both"/>
        <w:rPr>
          <w:szCs w:val="24"/>
        </w:rPr>
      </w:pPr>
      <w:r>
        <w:t>1. A financial brokerage firm established in another Member State which is licensed to execute client orders or to deal on own account shall have the right to become a member of a regulated market established in the Republic of Lithuania both – directly, by setting up a branch, and indirectly, without setting up a branch, by becoming a remote member of or having remote access to the regulated market, unless the trading procedures and systems of the regulated market require a physical presence for conclusion of transactions on that market.</w:t>
      </w:r>
    </w:p>
    <w:p w14:paraId="6C2F4678" w14:textId="77777777" w:rsidR="00ED3A7E" w:rsidRPr="000550CF" w:rsidRDefault="00ED3A7E" w:rsidP="00F3494E">
      <w:pPr>
        <w:widowControl w:val="0"/>
        <w:ind w:firstLine="720"/>
        <w:jc w:val="both"/>
        <w:rPr>
          <w:szCs w:val="24"/>
        </w:rPr>
      </w:pPr>
      <w:r>
        <w:t>2. Provisions of paragraph 1 of this Article shall apply mutatis mutandis to any financial brokerage firm established in the Republic of Lithuania and seeking membership of the regulated market of another Member State.</w:t>
      </w:r>
    </w:p>
    <w:p w14:paraId="6CAF60BA" w14:textId="77777777" w:rsidR="00ED3A7E" w:rsidRPr="000550CF" w:rsidRDefault="00ED3A7E" w:rsidP="00F3494E">
      <w:pPr>
        <w:widowControl w:val="0"/>
        <w:ind w:firstLine="720"/>
        <w:jc w:val="both"/>
        <w:rPr>
          <w:szCs w:val="24"/>
          <w:lang w:eastAsia="lt-LT"/>
        </w:rPr>
      </w:pPr>
    </w:p>
    <w:p w14:paraId="1F1EB895" w14:textId="77777777" w:rsidR="00ED3A7E" w:rsidRPr="000550CF" w:rsidRDefault="00ED3A7E" w:rsidP="00F3494E">
      <w:pPr>
        <w:widowControl w:val="0"/>
        <w:ind w:left="2127" w:hanging="1407"/>
        <w:jc w:val="both"/>
        <w:rPr>
          <w:szCs w:val="24"/>
        </w:rPr>
      </w:pPr>
      <w:r>
        <w:rPr>
          <w:b/>
          <w:szCs w:val="24"/>
        </w:rPr>
        <w:t xml:space="preserve">Article 47. </w:t>
      </w:r>
      <w:r>
        <w:rPr>
          <w:b/>
          <w:szCs w:val="24"/>
        </w:rPr>
        <w:tab/>
      </w:r>
      <w:r>
        <w:rPr>
          <w:b/>
        </w:rPr>
        <w:t xml:space="preserve">Right of a financial brokerage firm to become a member of a </w:t>
      </w:r>
      <w:proofErr w:type="spellStart"/>
      <w:r>
        <w:rPr>
          <w:b/>
        </w:rPr>
        <w:t>CCP</w:t>
      </w:r>
      <w:proofErr w:type="spellEnd"/>
      <w:r>
        <w:rPr>
          <w:b/>
        </w:rPr>
        <w:t xml:space="preserve"> and of a clearing and settlement systems and right to designate a settlement </w:t>
      </w:r>
      <w:proofErr w:type="gramStart"/>
      <w:r>
        <w:rPr>
          <w:b/>
        </w:rPr>
        <w:t>system</w:t>
      </w:r>
      <w:proofErr w:type="gramEnd"/>
    </w:p>
    <w:p w14:paraId="789BED17" w14:textId="77777777" w:rsidR="00ED3A7E" w:rsidRPr="000550CF" w:rsidRDefault="00ED3A7E" w:rsidP="00F3494E">
      <w:pPr>
        <w:widowControl w:val="0"/>
        <w:ind w:firstLine="720"/>
        <w:jc w:val="both"/>
        <w:rPr>
          <w:szCs w:val="24"/>
        </w:rPr>
      </w:pPr>
      <w:r>
        <w:t xml:space="preserve">1. A financial brokerage firm from another Member State shall have the right of access to </w:t>
      </w:r>
      <w:proofErr w:type="spellStart"/>
      <w:r>
        <w:t>CCP</w:t>
      </w:r>
      <w:proofErr w:type="spellEnd"/>
      <w:r>
        <w:t xml:space="preserve">, clearing and settlement systems of the Republic of Lithuania for the purposes of finalising or arranging the finalisation of transactions in financial instruments. Those rights shall be subject to the same non-discriminatory, </w:t>
      </w:r>
      <w:proofErr w:type="gramStart"/>
      <w:r>
        <w:t>transparent</w:t>
      </w:r>
      <w:proofErr w:type="gramEnd"/>
      <w:r>
        <w:t xml:space="preserve"> and objective criteria as apply to financial brokerage firms established in the Republic of Lithuania. Membership in those systems shall not be restricted to the </w:t>
      </w:r>
      <w:r>
        <w:lastRenderedPageBreak/>
        <w:t>clearing and settlement of transactions in financial instruments undertaken on a regulated market or an MTF in the territory of the Republic of Lithuania.</w:t>
      </w:r>
    </w:p>
    <w:p w14:paraId="10E377B4" w14:textId="77777777" w:rsidR="00ED3A7E" w:rsidRPr="000550CF" w:rsidRDefault="00ED3A7E" w:rsidP="00F3494E">
      <w:pPr>
        <w:widowControl w:val="0"/>
        <w:ind w:firstLine="720"/>
        <w:jc w:val="both"/>
        <w:rPr>
          <w:szCs w:val="24"/>
        </w:rPr>
      </w:pPr>
      <w:r>
        <w:t>2. Members of the regulated market in the territory of the Republic of Lithuania shall be offered the right to designate the system for the settlement of transactions in financial instruments undertaken on that regulated market, subject to the following conditions:</w:t>
      </w:r>
    </w:p>
    <w:p w14:paraId="0174010C" w14:textId="77777777" w:rsidR="00ED3A7E" w:rsidRPr="000550CF" w:rsidRDefault="00ED3A7E" w:rsidP="00F3494E">
      <w:pPr>
        <w:widowControl w:val="0"/>
        <w:ind w:firstLine="720"/>
        <w:jc w:val="both"/>
        <w:rPr>
          <w:szCs w:val="24"/>
        </w:rPr>
      </w:pPr>
      <w:r>
        <w:t>1) such links and arrangements between the designated settlement system and any other system or facility as are necessary to ensure the efficient and economic settlement of the transaction in question; and</w:t>
      </w:r>
    </w:p>
    <w:p w14:paraId="5A58D5DE" w14:textId="77777777" w:rsidR="00ED3A7E" w:rsidRPr="000550CF" w:rsidRDefault="00ED3A7E" w:rsidP="00F3494E">
      <w:pPr>
        <w:widowControl w:val="0"/>
        <w:ind w:firstLine="720"/>
        <w:jc w:val="both"/>
        <w:rPr>
          <w:szCs w:val="24"/>
        </w:rPr>
      </w:pPr>
      <w:r>
        <w:t>2) approval by the supervisory that technical conditions of the designated system for settlement of transactions concluded on the regulated market are such as to allow the smooth and orderly functioning of the market.</w:t>
      </w:r>
    </w:p>
    <w:p w14:paraId="1D117B72" w14:textId="77777777" w:rsidR="00ED3A7E" w:rsidRPr="000550CF" w:rsidRDefault="00ED3A7E" w:rsidP="00F3494E">
      <w:pPr>
        <w:widowControl w:val="0"/>
        <w:ind w:firstLine="720"/>
        <w:jc w:val="both"/>
        <w:rPr>
          <w:szCs w:val="24"/>
        </w:rPr>
      </w:pPr>
      <w:r>
        <w:t xml:space="preserve">3. The approval of the supervisory authority referred to in point 2 of paragraph 2 of this Article shall be without prejudice to the competencies of the central banks of other Member States or other supervisory authorities as overseers of settlement systems with competence in relation to such systems. </w:t>
      </w:r>
      <w:proofErr w:type="gramStart"/>
      <w:r>
        <w:t>In order to</w:t>
      </w:r>
      <w:proofErr w:type="gramEnd"/>
      <w:r>
        <w:t xml:space="preserve"> avoid undue duplication of control, the supervisory authority shall take into account the supervision already exercised by the central banks of Member States as overseers of settlement systems and other relevant aspects with competence in relation to the supervision of settlement systems exercised by them.</w:t>
      </w:r>
    </w:p>
    <w:p w14:paraId="42B98288" w14:textId="77777777" w:rsidR="00ED3A7E" w:rsidRPr="000550CF" w:rsidRDefault="00ED3A7E" w:rsidP="00F3494E">
      <w:pPr>
        <w:widowControl w:val="0"/>
        <w:ind w:firstLine="720"/>
        <w:jc w:val="both"/>
        <w:rPr>
          <w:szCs w:val="24"/>
        </w:rPr>
      </w:pPr>
      <w:r>
        <w:t xml:space="preserve">4. The rights of financial brokerage firms established in this Article shall be without prejudice to the right of </w:t>
      </w:r>
      <w:proofErr w:type="spellStart"/>
      <w:r>
        <w:t>CCP</w:t>
      </w:r>
      <w:proofErr w:type="spellEnd"/>
      <w:r>
        <w:t>, clearing and settlement system operators to refuse a financial brokerage firm the access to services offered by them, where such refusal is based on legitimate business interests.</w:t>
      </w:r>
    </w:p>
    <w:p w14:paraId="61D16522" w14:textId="77777777" w:rsidR="00ED3A7E" w:rsidRPr="000550CF" w:rsidRDefault="00ED3A7E" w:rsidP="00F3494E">
      <w:pPr>
        <w:widowControl w:val="0"/>
        <w:ind w:firstLine="720"/>
        <w:jc w:val="both"/>
        <w:rPr>
          <w:szCs w:val="24"/>
          <w:lang w:eastAsia="lt-LT"/>
        </w:rPr>
      </w:pPr>
    </w:p>
    <w:p w14:paraId="3921BF5D" w14:textId="77777777" w:rsidR="00ED3A7E" w:rsidRPr="000550CF" w:rsidRDefault="00ED3A7E" w:rsidP="00F3494E">
      <w:pPr>
        <w:widowControl w:val="0"/>
        <w:ind w:left="2127" w:hanging="1407"/>
        <w:jc w:val="both"/>
        <w:rPr>
          <w:b/>
          <w:szCs w:val="24"/>
        </w:rPr>
      </w:pPr>
      <w:r>
        <w:rPr>
          <w:b/>
          <w:szCs w:val="24"/>
        </w:rPr>
        <w:t xml:space="preserve">Article 48. </w:t>
      </w:r>
      <w:r>
        <w:rPr>
          <w:b/>
          <w:szCs w:val="24"/>
        </w:rPr>
        <w:tab/>
        <w:t xml:space="preserve">Right of financial brokerage firms and market operators operating an MTF to designate a </w:t>
      </w:r>
      <w:proofErr w:type="spellStart"/>
      <w:r>
        <w:rPr>
          <w:b/>
        </w:rPr>
        <w:t>CCP</w:t>
      </w:r>
      <w:proofErr w:type="spellEnd"/>
      <w:r>
        <w:rPr>
          <w:b/>
        </w:rPr>
        <w:t xml:space="preserve"> and a clearing and settlement </w:t>
      </w:r>
      <w:proofErr w:type="gramStart"/>
      <w:r>
        <w:rPr>
          <w:b/>
        </w:rPr>
        <w:t>system</w:t>
      </w:r>
      <w:proofErr w:type="gramEnd"/>
      <w:r>
        <w:rPr>
          <w:b/>
        </w:rPr>
        <w:t xml:space="preserve"> </w:t>
      </w:r>
    </w:p>
    <w:p w14:paraId="5EB72FD8" w14:textId="77777777" w:rsidR="00ED3A7E" w:rsidRPr="000550CF" w:rsidRDefault="00ED3A7E" w:rsidP="00F3494E">
      <w:pPr>
        <w:ind w:firstLine="720"/>
        <w:jc w:val="both"/>
      </w:pPr>
      <w:r>
        <w:t xml:space="preserve">1. A financial brokerage firm established in the Republic of Lithuania and a market operator operating an MTF may </w:t>
      </w:r>
      <w:proofErr w:type="gramStart"/>
      <w:r>
        <w:t>enter into</w:t>
      </w:r>
      <w:proofErr w:type="gramEnd"/>
      <w:r>
        <w:t xml:space="preserve"> arrangements with a </w:t>
      </w:r>
      <w:proofErr w:type="spellStart"/>
      <w:r>
        <w:t>CCP</w:t>
      </w:r>
      <w:proofErr w:type="spellEnd"/>
      <w:r>
        <w:t xml:space="preserve"> or clearing house and a settlement system of another Member State with a view to providing for the clearing and/or settlement of some or all trades concluded by market participants under their systems.</w:t>
      </w:r>
    </w:p>
    <w:p w14:paraId="34B3623D" w14:textId="77777777" w:rsidR="00ED3A7E" w:rsidRPr="000550CF" w:rsidRDefault="00ED3A7E" w:rsidP="00F3494E">
      <w:pPr>
        <w:widowControl w:val="0"/>
        <w:ind w:firstLine="720"/>
        <w:jc w:val="both"/>
        <w:rPr>
          <w:szCs w:val="24"/>
        </w:rPr>
      </w:pPr>
      <w:r>
        <w:t xml:space="preserve">2. The supervisory authority may not oppose the use of </w:t>
      </w:r>
      <w:proofErr w:type="spellStart"/>
      <w:r>
        <w:t>CCP</w:t>
      </w:r>
      <w:proofErr w:type="spellEnd"/>
      <w:r>
        <w:t xml:space="preserve">, clearing houses and/or settlement systems by a financial brokerage firm established in the Republic of Lithuania and a market operator operating an MTF in another Member State except where demonstrably necessary </w:t>
      </w:r>
      <w:proofErr w:type="gramStart"/>
      <w:r>
        <w:t>in order to</w:t>
      </w:r>
      <w:proofErr w:type="gramEnd"/>
      <w:r>
        <w:t xml:space="preserve"> maintain the orderly functioning of that MTF and taking into account the conditions for settlement systems established in Article 47(2) of this Law.</w:t>
      </w:r>
    </w:p>
    <w:p w14:paraId="60CC7FCC" w14:textId="77777777" w:rsidR="00ED3A7E" w:rsidRPr="000550CF" w:rsidRDefault="00ED3A7E" w:rsidP="00F3494E">
      <w:pPr>
        <w:widowControl w:val="0"/>
        <w:ind w:firstLine="720"/>
        <w:jc w:val="both"/>
        <w:rPr>
          <w:szCs w:val="24"/>
        </w:rPr>
      </w:pPr>
      <w:r>
        <w:t xml:space="preserve">3. </w:t>
      </w:r>
      <w:proofErr w:type="gramStart"/>
      <w:r>
        <w:t>In order to</w:t>
      </w:r>
      <w:proofErr w:type="gramEnd"/>
      <w:r>
        <w:t xml:space="preserve"> avoid undue duplication of supervision, the supervisory authority shall take into account the oversight and supervision of the clearing and settlement systems already exercised by the central banks of Member States or by other supervisory authorities.</w:t>
      </w:r>
    </w:p>
    <w:p w14:paraId="204F9372" w14:textId="77777777" w:rsidR="00ED3A7E" w:rsidRPr="000550CF" w:rsidRDefault="00ED3A7E" w:rsidP="00F3494E">
      <w:pPr>
        <w:widowControl w:val="0"/>
        <w:ind w:firstLine="720"/>
        <w:jc w:val="both"/>
        <w:rPr>
          <w:szCs w:val="24"/>
          <w:lang w:eastAsia="lt-LT"/>
        </w:rPr>
      </w:pPr>
    </w:p>
    <w:p w14:paraId="27D84A31" w14:textId="77777777" w:rsidR="00ED3A7E" w:rsidRPr="000550CF" w:rsidRDefault="00ED3A7E" w:rsidP="00F3494E">
      <w:pPr>
        <w:widowControl w:val="0"/>
        <w:jc w:val="center"/>
        <w:rPr>
          <w:szCs w:val="24"/>
        </w:rPr>
      </w:pPr>
      <w:r>
        <w:rPr>
          <w:b/>
          <w:szCs w:val="24"/>
        </w:rPr>
        <w:t>SECTION SEVEN</w:t>
      </w:r>
    </w:p>
    <w:p w14:paraId="2FA3021C" w14:textId="77777777" w:rsidR="00ED3A7E" w:rsidRPr="000550CF" w:rsidRDefault="00ED3A7E" w:rsidP="00F3494E">
      <w:pPr>
        <w:widowControl w:val="0"/>
        <w:jc w:val="center"/>
        <w:rPr>
          <w:szCs w:val="24"/>
        </w:rPr>
      </w:pPr>
      <w:r>
        <w:rPr>
          <w:b/>
          <w:szCs w:val="24"/>
        </w:rPr>
        <w:t>ACTIVITIES BY THIRD COUNTRY FIRMS IN THE REPUBLIC OF LITHUANIA</w:t>
      </w:r>
    </w:p>
    <w:p w14:paraId="1B94AA84" w14:textId="77777777" w:rsidR="00ED3A7E" w:rsidRPr="000550CF" w:rsidRDefault="00ED3A7E" w:rsidP="00F3494E">
      <w:pPr>
        <w:widowControl w:val="0"/>
        <w:ind w:firstLine="720"/>
        <w:jc w:val="center"/>
        <w:rPr>
          <w:szCs w:val="24"/>
          <w:lang w:eastAsia="lt-LT"/>
        </w:rPr>
      </w:pPr>
    </w:p>
    <w:p w14:paraId="315E423A" w14:textId="77777777" w:rsidR="00ED3A7E" w:rsidRPr="000550CF" w:rsidRDefault="00ED3A7E" w:rsidP="00F3494E">
      <w:pPr>
        <w:widowControl w:val="0"/>
        <w:ind w:firstLine="720"/>
        <w:jc w:val="both"/>
        <w:rPr>
          <w:szCs w:val="24"/>
        </w:rPr>
      </w:pPr>
      <w:r>
        <w:rPr>
          <w:b/>
          <w:szCs w:val="24"/>
        </w:rPr>
        <w:t xml:space="preserve">Article 49. Authorisation to perform activities of a </w:t>
      </w:r>
      <w:proofErr w:type="gramStart"/>
      <w:r>
        <w:rPr>
          <w:b/>
          <w:szCs w:val="24"/>
        </w:rPr>
        <w:t>branch</w:t>
      </w:r>
      <w:proofErr w:type="gramEnd"/>
    </w:p>
    <w:p w14:paraId="081F6E5C" w14:textId="77777777" w:rsidR="00ED3A7E" w:rsidRPr="000550CF" w:rsidRDefault="00ED3A7E" w:rsidP="00F3494E">
      <w:pPr>
        <w:widowControl w:val="0"/>
        <w:ind w:firstLine="720"/>
        <w:jc w:val="both"/>
        <w:rPr>
          <w:szCs w:val="24"/>
        </w:rPr>
      </w:pPr>
      <w:r>
        <w:t xml:space="preserve">1. A third-country firm shall have the right to provide investment services to retail clients or to clients who may be treated as professionals on request within the meaning of Article 38 of this Law in the Republic of Lithuania only through the establishment of a branch in the Republic of Lithuania. </w:t>
      </w:r>
    </w:p>
    <w:p w14:paraId="38D9773F" w14:textId="77777777" w:rsidR="00ED3A7E" w:rsidRPr="000550CF" w:rsidRDefault="00ED3A7E" w:rsidP="00F3494E">
      <w:pPr>
        <w:ind w:firstLine="720"/>
        <w:jc w:val="both"/>
      </w:pPr>
      <w:r>
        <w:t>2. Branches of third-country firms shall be subject to the same operating and supervisory requirements as financial brokerage firms of the Republic of Lithuania, taking account of the exemptions provided for in this Section and characteristics of the legal status and operations of the branch.</w:t>
      </w:r>
    </w:p>
    <w:p w14:paraId="09C06BBB" w14:textId="77777777" w:rsidR="00ED3A7E" w:rsidRPr="000550CF" w:rsidRDefault="00ED3A7E" w:rsidP="00F3494E">
      <w:pPr>
        <w:widowControl w:val="0"/>
        <w:ind w:firstLine="720"/>
        <w:jc w:val="both"/>
        <w:rPr>
          <w:szCs w:val="24"/>
        </w:rPr>
      </w:pPr>
      <w:r>
        <w:t xml:space="preserve">3. A branch of a third-country firm shall have the right to provide investment services in the Republic of Lithuania only when the third-country firm obtains the supervisory authority’s authorisation for the performance of activities of the branch and when the branch is registered with </w:t>
      </w:r>
      <w:r>
        <w:lastRenderedPageBreak/>
        <w:t>the Register of Legal Entities. The fact of registration of a branch of a third-country firm must be notified to the supervisory authority by the Registrar of the Register of Legal Entities within five business days.</w:t>
      </w:r>
    </w:p>
    <w:p w14:paraId="35F18F1F" w14:textId="77777777" w:rsidR="00ED3A7E" w:rsidRPr="000550CF" w:rsidRDefault="00ED3A7E" w:rsidP="00F3494E">
      <w:pPr>
        <w:widowControl w:val="0"/>
        <w:ind w:firstLine="720"/>
        <w:jc w:val="both"/>
        <w:rPr>
          <w:szCs w:val="24"/>
        </w:rPr>
      </w:pPr>
      <w:r>
        <w:t>4. The authorisation to perform activities of a branch shall be granted for an unlimited term and shall be valid only in the territory of the Republic of Lithuania. The authorisation shall not entitle a branch of a third-country firm to provide services in other Member States.</w:t>
      </w:r>
    </w:p>
    <w:p w14:paraId="0F0C55DB" w14:textId="77777777" w:rsidR="00ED3A7E" w:rsidRPr="000550CF" w:rsidRDefault="00ED3A7E" w:rsidP="00F3494E">
      <w:pPr>
        <w:widowControl w:val="0"/>
        <w:ind w:firstLine="720"/>
        <w:jc w:val="both"/>
        <w:rPr>
          <w:szCs w:val="24"/>
        </w:rPr>
      </w:pPr>
      <w:r>
        <w:t xml:space="preserve">5. The authorisation for the performance activities of a branch shall be granted only to the </w:t>
      </w:r>
      <w:proofErr w:type="gramStart"/>
      <w:r>
        <w:t>particular third-country</w:t>
      </w:r>
      <w:proofErr w:type="gramEnd"/>
      <w:r>
        <w:t xml:space="preserve"> firm and may not be disposed or transfer to another entity.</w:t>
      </w:r>
    </w:p>
    <w:p w14:paraId="674671DF" w14:textId="77777777" w:rsidR="00ED3A7E" w:rsidRPr="000550CF" w:rsidRDefault="00ED3A7E" w:rsidP="00F3494E">
      <w:pPr>
        <w:widowControl w:val="0"/>
        <w:ind w:firstLine="720"/>
        <w:jc w:val="both"/>
        <w:rPr>
          <w:szCs w:val="24"/>
        </w:rPr>
      </w:pPr>
      <w:r>
        <w:t>6. The authorisation shall be granted only for activities of one branch. Structural units of a branch shall be set up and operate in the Republic of Lithuania in accordance with the procedure laid down by the supervisory authority.</w:t>
      </w:r>
    </w:p>
    <w:p w14:paraId="148B6483" w14:textId="77777777" w:rsidR="00ED3A7E" w:rsidRPr="000550CF" w:rsidRDefault="00ED3A7E" w:rsidP="00F3494E">
      <w:pPr>
        <w:widowControl w:val="0"/>
        <w:ind w:firstLine="720"/>
        <w:jc w:val="both"/>
        <w:rPr>
          <w:szCs w:val="24"/>
        </w:rPr>
      </w:pPr>
      <w:r>
        <w:t>7. A third-country firm that applies for granting of an authorisation for the performance of activities of a branch in the Republic of Lithuania and the branch being established by it shall meet the following requirements:</w:t>
      </w:r>
    </w:p>
    <w:p w14:paraId="429BA9AA" w14:textId="77777777" w:rsidR="00ED3A7E" w:rsidRPr="000550CF" w:rsidRDefault="00ED3A7E" w:rsidP="00F3494E">
      <w:pPr>
        <w:widowControl w:val="0"/>
        <w:ind w:firstLine="720"/>
        <w:jc w:val="both"/>
        <w:rPr>
          <w:szCs w:val="24"/>
        </w:rPr>
      </w:pPr>
      <w:r>
        <w:t xml:space="preserve">1) the provision of investment services for which the third-country firm requests authorisation is subject to authorisation and supervision in the third country where the firm is established and the requesting firm is properly authorised, whereby the supervisory authority pays due regard to any FATF recommendations in the context of anti-money laundering and countering the financing of </w:t>
      </w:r>
      <w:proofErr w:type="gramStart"/>
      <w:r>
        <w:t>terrorism;</w:t>
      </w:r>
      <w:proofErr w:type="gramEnd"/>
      <w:r>
        <w:t xml:space="preserve"> </w:t>
      </w:r>
    </w:p>
    <w:p w14:paraId="68C8C1D0" w14:textId="77777777" w:rsidR="00ED3A7E" w:rsidRPr="000550CF" w:rsidRDefault="00ED3A7E" w:rsidP="00F3494E">
      <w:pPr>
        <w:widowControl w:val="0"/>
        <w:ind w:firstLine="720"/>
        <w:jc w:val="both"/>
        <w:rPr>
          <w:szCs w:val="24"/>
        </w:rPr>
      </w:pPr>
      <w:r>
        <w:t xml:space="preserve">2) members of the third-country firm’s management and supervisory bodies are of good repute, qualified and </w:t>
      </w:r>
      <w:proofErr w:type="gramStart"/>
      <w:r>
        <w:t>experienced;</w:t>
      </w:r>
      <w:proofErr w:type="gramEnd"/>
    </w:p>
    <w:p w14:paraId="78C02758" w14:textId="77777777" w:rsidR="00ED3A7E" w:rsidRPr="000550CF" w:rsidRDefault="00ED3A7E" w:rsidP="00F3494E">
      <w:pPr>
        <w:widowControl w:val="0"/>
        <w:ind w:firstLine="720"/>
        <w:jc w:val="both"/>
        <w:rPr>
          <w:szCs w:val="24"/>
        </w:rPr>
      </w:pPr>
      <w:r>
        <w:t xml:space="preserve">3) the holder of the qualifying holding of the third-country firm’s capital and/or of the voting rights, the subsidiaries of such firm as well as the entities and persons participating in it are of good repute and the third-country firm’s financial condition is stable and </w:t>
      </w:r>
      <w:proofErr w:type="gramStart"/>
      <w:r>
        <w:t>good;</w:t>
      </w:r>
      <w:proofErr w:type="gramEnd"/>
    </w:p>
    <w:p w14:paraId="7EB2528D" w14:textId="77777777" w:rsidR="00ED3A7E" w:rsidRPr="000550CF" w:rsidRDefault="00ED3A7E" w:rsidP="00F3494E">
      <w:pPr>
        <w:widowControl w:val="0"/>
        <w:ind w:firstLine="720"/>
        <w:jc w:val="both"/>
        <w:rPr>
          <w:szCs w:val="24"/>
        </w:rPr>
      </w:pPr>
      <w:r>
        <w:t xml:space="preserve">4) cooperation arrangements, that include provisions regulating the exchange of information for the purpose of preserving the integrity of the market and protecting investors, are in place between the supervisory authority and the supervisory authorities of the third </w:t>
      </w:r>
      <w:proofErr w:type="gramStart"/>
      <w:r>
        <w:t>country;</w:t>
      </w:r>
      <w:proofErr w:type="gramEnd"/>
    </w:p>
    <w:p w14:paraId="1A15E788" w14:textId="77777777" w:rsidR="00ED3A7E" w:rsidRPr="000550CF" w:rsidRDefault="00ED3A7E" w:rsidP="00F3494E">
      <w:pPr>
        <w:widowControl w:val="0"/>
        <w:ind w:firstLine="720"/>
        <w:jc w:val="both"/>
        <w:rPr>
          <w:szCs w:val="24"/>
        </w:rPr>
      </w:pPr>
      <w:r>
        <w:t xml:space="preserve">5) the branch has at its free disposal initial capital in the amount sufficient for the provision of investment services and not smaller than referred Article 14 of this </w:t>
      </w:r>
      <w:proofErr w:type="gramStart"/>
      <w:r>
        <w:t>Law;</w:t>
      </w:r>
      <w:proofErr w:type="gramEnd"/>
      <w:r>
        <w:t xml:space="preserve"> </w:t>
      </w:r>
    </w:p>
    <w:p w14:paraId="55600D12" w14:textId="77777777" w:rsidR="00ED3A7E" w:rsidRPr="000550CF" w:rsidRDefault="00ED3A7E" w:rsidP="00F3494E">
      <w:pPr>
        <w:widowControl w:val="0"/>
        <w:ind w:firstLine="720"/>
        <w:jc w:val="both"/>
        <w:rPr>
          <w:szCs w:val="24"/>
        </w:rPr>
      </w:pPr>
      <w:r>
        <w:t xml:space="preserve">6) the origin of funds allocated to the capital of the branch is </w:t>
      </w:r>
      <w:proofErr w:type="gramStart"/>
      <w:r>
        <w:t>lawful;</w:t>
      </w:r>
      <w:proofErr w:type="gramEnd"/>
    </w:p>
    <w:p w14:paraId="60E23C03" w14:textId="77777777" w:rsidR="00ED3A7E" w:rsidRPr="000550CF" w:rsidRDefault="00ED3A7E" w:rsidP="00F3494E">
      <w:pPr>
        <w:ind w:firstLine="720"/>
        <w:jc w:val="both"/>
      </w:pPr>
      <w:r>
        <w:t xml:space="preserve">7) the third-country firm has appointed the manager of the branch who meets the requirements of Article 9(1) of this Law and has sufficient powers to be able to create rights and obligations for the third-country firm, to represent this firm before a court and other bodies of state power and administration of the Republic of </w:t>
      </w:r>
      <w:proofErr w:type="gramStart"/>
      <w:r>
        <w:t>Lithuania;</w:t>
      </w:r>
      <w:proofErr w:type="gramEnd"/>
      <w:r>
        <w:t xml:space="preserve"> </w:t>
      </w:r>
    </w:p>
    <w:p w14:paraId="62251C13" w14:textId="77777777" w:rsidR="00ED3A7E" w:rsidRPr="000550CF" w:rsidRDefault="00ED3A7E" w:rsidP="00F3494E">
      <w:pPr>
        <w:widowControl w:val="0"/>
        <w:ind w:firstLine="720"/>
        <w:jc w:val="both"/>
        <w:rPr>
          <w:szCs w:val="24"/>
        </w:rPr>
      </w:pPr>
      <w:r>
        <w:t xml:space="preserve">8) the third country where the third-country firm is established has signed an agreement with the Republic of Lithuania, which fully complies with the standards laid down in Article 26 of the OECD Model Tax Convention on Income and on Capital and ensures an effective exchange of information in tax matters, including, if any, multilateral tax </w:t>
      </w:r>
      <w:proofErr w:type="gramStart"/>
      <w:r>
        <w:t>agreements;</w:t>
      </w:r>
      <w:proofErr w:type="gramEnd"/>
    </w:p>
    <w:p w14:paraId="44B2EEB3" w14:textId="77777777" w:rsidR="00ED3A7E" w:rsidRPr="000550CF" w:rsidRDefault="00ED3A7E" w:rsidP="00F3494E">
      <w:pPr>
        <w:widowControl w:val="0"/>
        <w:ind w:firstLine="720"/>
        <w:jc w:val="both"/>
        <w:rPr>
          <w:szCs w:val="24"/>
        </w:rPr>
      </w:pPr>
      <w:r>
        <w:t xml:space="preserve">9) the third-country firm belongs to an investor-compensation </w:t>
      </w:r>
      <w:proofErr w:type="gramStart"/>
      <w:r>
        <w:t>scheme;</w:t>
      </w:r>
      <w:proofErr w:type="gramEnd"/>
      <w:r>
        <w:t xml:space="preserve"> </w:t>
      </w:r>
    </w:p>
    <w:p w14:paraId="1F7C3527" w14:textId="77777777" w:rsidR="00ED3A7E" w:rsidRPr="000550CF" w:rsidRDefault="00ED3A7E" w:rsidP="00F3494E">
      <w:pPr>
        <w:widowControl w:val="0"/>
        <w:ind w:firstLine="720"/>
        <w:jc w:val="both"/>
        <w:rPr>
          <w:szCs w:val="24"/>
        </w:rPr>
      </w:pPr>
      <w:r>
        <w:t>10) the branch of the third-country firm will be able to fulfil the requirements of Article 50 of this Law and there is no reason to believe that the sound and prudential management of the branch, the protection of investor interests and the continuity of provision of investment services will not be ensured.</w:t>
      </w:r>
    </w:p>
    <w:p w14:paraId="7B0FD0C3" w14:textId="77777777" w:rsidR="00ED3A7E" w:rsidRPr="000550CF" w:rsidRDefault="00ED3A7E" w:rsidP="00F3494E">
      <w:pPr>
        <w:ind w:firstLine="720"/>
        <w:jc w:val="both"/>
      </w:pPr>
      <w:r>
        <w:t xml:space="preserve">8. A third-country firm shall </w:t>
      </w:r>
      <w:proofErr w:type="gramStart"/>
      <w:r>
        <w:t>submit an application</w:t>
      </w:r>
      <w:proofErr w:type="gramEnd"/>
      <w:r>
        <w:t xml:space="preserve"> to the supervisory authority for granting an authorisation for the performance of activities of a branch in the Republic of Lithuania. The application submitted by the third-country firm to the supervisory authority shall be accompanied by the following information and documents:</w:t>
      </w:r>
    </w:p>
    <w:p w14:paraId="28C8C081" w14:textId="77777777" w:rsidR="00ED3A7E" w:rsidRPr="000550CF" w:rsidRDefault="00ED3A7E" w:rsidP="00F3494E">
      <w:pPr>
        <w:widowControl w:val="0"/>
        <w:ind w:firstLine="720"/>
        <w:jc w:val="both"/>
        <w:rPr>
          <w:szCs w:val="24"/>
        </w:rPr>
      </w:pPr>
      <w:r>
        <w:t xml:space="preserve">1) the information about the third-country supervisory authority indicating its name; when more than one supervisory authority is responsible for supervision of the third-country firm – the details of the functions the performance of which is assigned to each of those supervisory </w:t>
      </w:r>
      <w:proofErr w:type="gramStart"/>
      <w:r>
        <w:t>authorities;</w:t>
      </w:r>
      <w:proofErr w:type="gramEnd"/>
    </w:p>
    <w:p w14:paraId="388DCB7D" w14:textId="77777777" w:rsidR="00ED3A7E" w:rsidRPr="000550CF" w:rsidRDefault="00ED3A7E" w:rsidP="00F3494E">
      <w:pPr>
        <w:widowControl w:val="0"/>
        <w:ind w:firstLine="720"/>
        <w:jc w:val="both"/>
        <w:rPr>
          <w:szCs w:val="24"/>
        </w:rPr>
      </w:pPr>
      <w:r>
        <w:t xml:space="preserve">2) the written confirmation of the third-country supervisory authority that the third-country firm and the third-country supervisory authority meets the requirements of points 1, 2 and 3 of </w:t>
      </w:r>
      <w:r>
        <w:lastRenderedPageBreak/>
        <w:t xml:space="preserve">paragraph 7 of this </w:t>
      </w:r>
      <w:proofErr w:type="gramStart"/>
      <w:r>
        <w:t>Article;</w:t>
      </w:r>
      <w:proofErr w:type="gramEnd"/>
      <w:r>
        <w:t xml:space="preserve"> </w:t>
      </w:r>
    </w:p>
    <w:p w14:paraId="32C43DD9" w14:textId="77777777" w:rsidR="00ED3A7E" w:rsidRPr="000550CF" w:rsidRDefault="00ED3A7E" w:rsidP="00F3494E">
      <w:pPr>
        <w:widowControl w:val="0"/>
        <w:ind w:firstLine="720"/>
        <w:jc w:val="both"/>
        <w:rPr>
          <w:szCs w:val="24"/>
        </w:rPr>
      </w:pPr>
      <w:r>
        <w:t xml:space="preserve">3) the information in the format specified by the supervisory authority about the holders of the third-country firm’s qualifying holding of the capital and/or of the voting rights, the firm’s subsidiaries, the entities or persons participating in the firm, the members of supervisory and management </w:t>
      </w:r>
      <w:proofErr w:type="gramStart"/>
      <w:r>
        <w:t>bodies;</w:t>
      </w:r>
      <w:proofErr w:type="gramEnd"/>
    </w:p>
    <w:p w14:paraId="2D857397" w14:textId="77777777" w:rsidR="00ED3A7E" w:rsidRPr="000550CF" w:rsidRDefault="00ED3A7E" w:rsidP="00F3494E">
      <w:pPr>
        <w:widowControl w:val="0"/>
        <w:ind w:firstLine="720"/>
        <w:jc w:val="both"/>
        <w:rPr>
          <w:szCs w:val="24"/>
        </w:rPr>
      </w:pPr>
      <w:r>
        <w:t xml:space="preserve">4) the third-country supervisory authority’s consent to the establishment of the branch in the Republic of Lithuania or the information that the third-country supervisory authority does not object to establishment of the branch in the Republic of </w:t>
      </w:r>
      <w:proofErr w:type="gramStart"/>
      <w:r>
        <w:t>Lithuania;</w:t>
      </w:r>
      <w:proofErr w:type="gramEnd"/>
    </w:p>
    <w:p w14:paraId="73B045D0" w14:textId="77777777" w:rsidR="00ED3A7E" w:rsidRPr="000550CF" w:rsidRDefault="00ED3A7E" w:rsidP="00F3494E">
      <w:pPr>
        <w:widowControl w:val="0"/>
        <w:ind w:firstLine="720"/>
        <w:jc w:val="both"/>
        <w:rPr>
          <w:szCs w:val="24"/>
        </w:rPr>
      </w:pPr>
      <w:r>
        <w:t xml:space="preserve">5) the third-country supervisory authority’s confirmation that the third-country firm during the last three years complied with the operating requirements established by legal acts of the third country and the details on investment services which the third-country firm is authorised to provide. Where the third-country firm is operating for less than three years, the third-country supervisory authority shall provide the confirmation regarding the period of operations of the </w:t>
      </w:r>
      <w:proofErr w:type="gramStart"/>
      <w:r>
        <w:t>third-country</w:t>
      </w:r>
      <w:proofErr w:type="gramEnd"/>
      <w:r>
        <w:t xml:space="preserve"> firm;</w:t>
      </w:r>
    </w:p>
    <w:p w14:paraId="4C733439" w14:textId="77777777" w:rsidR="00ED3A7E" w:rsidRPr="000550CF" w:rsidRDefault="00ED3A7E" w:rsidP="00F3494E">
      <w:pPr>
        <w:widowControl w:val="0"/>
        <w:ind w:firstLine="720"/>
        <w:jc w:val="both"/>
        <w:rPr>
          <w:szCs w:val="24"/>
        </w:rPr>
      </w:pPr>
      <w:r>
        <w:t xml:space="preserve">6) the decision of the management body of the third-country firm to establish a branch in the Republic of Lithuania, to approve the regulations of the branch and to appoint its manager, including the written undertaking of the management body that the established branch will maintain and keep accounting records and other documents related to the activities of the branch at the head office of the </w:t>
      </w:r>
      <w:proofErr w:type="gramStart"/>
      <w:r>
        <w:t>branch;</w:t>
      </w:r>
      <w:proofErr w:type="gramEnd"/>
    </w:p>
    <w:p w14:paraId="7AA74BB1" w14:textId="77777777" w:rsidR="00ED3A7E" w:rsidRPr="000550CF" w:rsidRDefault="00ED3A7E" w:rsidP="00F3494E">
      <w:pPr>
        <w:widowControl w:val="0"/>
        <w:ind w:firstLine="720"/>
        <w:jc w:val="both"/>
        <w:rPr>
          <w:szCs w:val="24"/>
        </w:rPr>
      </w:pPr>
      <w:r>
        <w:t>7) the information in the format specified by the supervisory authority about the person appointed the manager of the branch and the documents demonstrating that the person meets the requirements of Article 9(1) of this Law and has sufficient powers to be able to create rights and obligations for the third-country firm, to represent this firm before a court and other bodies of state power and administration of the Republic of Lithuania;</w:t>
      </w:r>
    </w:p>
    <w:p w14:paraId="7F0FAF19" w14:textId="77777777" w:rsidR="00ED3A7E" w:rsidRPr="000550CF" w:rsidRDefault="00ED3A7E" w:rsidP="00F3494E">
      <w:pPr>
        <w:widowControl w:val="0"/>
        <w:ind w:firstLine="720"/>
        <w:jc w:val="both"/>
        <w:rPr>
          <w:szCs w:val="24"/>
        </w:rPr>
      </w:pPr>
      <w:r>
        <w:t>8) the documents demonstrating that the organisational structure and management system of the third-country firm’s branch meets the requirements of this Law and legal acts of the supervisory authority;</w:t>
      </w:r>
    </w:p>
    <w:p w14:paraId="17BD3E35" w14:textId="77777777" w:rsidR="00ED3A7E" w:rsidRPr="000550CF" w:rsidRDefault="00ED3A7E" w:rsidP="00F3494E">
      <w:pPr>
        <w:widowControl w:val="0"/>
        <w:ind w:firstLine="720"/>
        <w:jc w:val="both"/>
        <w:rPr>
          <w:szCs w:val="24"/>
        </w:rPr>
      </w:pPr>
      <w:r>
        <w:t xml:space="preserve">9) the regulations of the </w:t>
      </w:r>
      <w:proofErr w:type="gramStart"/>
      <w:r>
        <w:t>branch;</w:t>
      </w:r>
      <w:proofErr w:type="gramEnd"/>
    </w:p>
    <w:p w14:paraId="52082EED" w14:textId="77777777" w:rsidR="00ED3A7E" w:rsidRPr="000550CF" w:rsidRDefault="00ED3A7E" w:rsidP="00F3494E">
      <w:pPr>
        <w:widowControl w:val="0"/>
        <w:ind w:firstLine="720"/>
        <w:jc w:val="both"/>
        <w:rPr>
          <w:szCs w:val="24"/>
        </w:rPr>
      </w:pPr>
      <w:r>
        <w:t xml:space="preserve">10) the agreements on the outsourcing of operations, if </w:t>
      </w:r>
      <w:proofErr w:type="gramStart"/>
      <w:r>
        <w:t>any;</w:t>
      </w:r>
      <w:proofErr w:type="gramEnd"/>
    </w:p>
    <w:p w14:paraId="1EFD125E" w14:textId="77777777" w:rsidR="00ED3A7E" w:rsidRPr="000550CF" w:rsidRDefault="00ED3A7E" w:rsidP="00F3494E">
      <w:pPr>
        <w:widowControl w:val="0"/>
        <w:ind w:firstLine="720"/>
        <w:jc w:val="both"/>
        <w:rPr>
          <w:szCs w:val="24"/>
        </w:rPr>
      </w:pPr>
      <w:r>
        <w:t xml:space="preserve">11) the programme of operations operating supervisory authority in the format specified by the supervisory authority, setting out, inter alia, the investment services to be provided, together with of the third-country firm’s audited financial statements of the last three years. The third-country firm operating for less than three years shall </w:t>
      </w:r>
      <w:proofErr w:type="spellStart"/>
      <w:r>
        <w:t>provided</w:t>
      </w:r>
      <w:proofErr w:type="spellEnd"/>
      <w:r>
        <w:t xml:space="preserve"> audited financial statements as of the end of each financial year of such period of </w:t>
      </w:r>
      <w:proofErr w:type="gramStart"/>
      <w:r>
        <w:t>operations;</w:t>
      </w:r>
      <w:proofErr w:type="gramEnd"/>
    </w:p>
    <w:p w14:paraId="6DB65293" w14:textId="77777777" w:rsidR="00ED3A7E" w:rsidRPr="000550CF" w:rsidRDefault="00ED3A7E" w:rsidP="00F3494E">
      <w:pPr>
        <w:widowControl w:val="0"/>
        <w:ind w:firstLine="720"/>
        <w:jc w:val="both"/>
        <w:rPr>
          <w:szCs w:val="24"/>
        </w:rPr>
      </w:pPr>
      <w:r>
        <w:t xml:space="preserve">12) the details on the initial capital at free disposal of the branch and the documents demonstrating the third-country firm’s commitment to provide the funds necessary for the operations of the </w:t>
      </w:r>
      <w:proofErr w:type="gramStart"/>
      <w:r>
        <w:t>branch;</w:t>
      </w:r>
      <w:proofErr w:type="gramEnd"/>
    </w:p>
    <w:p w14:paraId="068AB49C" w14:textId="77777777" w:rsidR="00ED3A7E" w:rsidRPr="000550CF" w:rsidRDefault="00ED3A7E" w:rsidP="00F3494E">
      <w:pPr>
        <w:widowControl w:val="0"/>
        <w:ind w:firstLine="720"/>
        <w:jc w:val="both"/>
        <w:rPr>
          <w:szCs w:val="24"/>
        </w:rPr>
      </w:pPr>
      <w:r>
        <w:t xml:space="preserve">13) the documents demonstrating that the third-country firm belongs to an authorised scheme of insurance of obligations to investors or to investor-compensation </w:t>
      </w:r>
      <w:proofErr w:type="gramStart"/>
      <w:r>
        <w:t>schemes;</w:t>
      </w:r>
      <w:proofErr w:type="gramEnd"/>
    </w:p>
    <w:p w14:paraId="123F8B08" w14:textId="77777777" w:rsidR="00ED3A7E" w:rsidRPr="000550CF" w:rsidRDefault="00ED3A7E" w:rsidP="00F3494E">
      <w:pPr>
        <w:widowControl w:val="0"/>
        <w:ind w:firstLine="720"/>
        <w:jc w:val="both"/>
        <w:rPr>
          <w:szCs w:val="24"/>
        </w:rPr>
      </w:pPr>
      <w:r>
        <w:t xml:space="preserve">14) the documents demonstrating that the branch will be able to fulfil the requirements of Article 50 of this </w:t>
      </w:r>
      <w:proofErr w:type="gramStart"/>
      <w:r>
        <w:t>Law;</w:t>
      </w:r>
      <w:proofErr w:type="gramEnd"/>
    </w:p>
    <w:p w14:paraId="2AC57AE3" w14:textId="77777777" w:rsidR="00ED3A7E" w:rsidRPr="000550CF" w:rsidRDefault="00ED3A7E" w:rsidP="00F3494E">
      <w:pPr>
        <w:widowControl w:val="0"/>
        <w:ind w:firstLine="720"/>
        <w:jc w:val="both"/>
        <w:rPr>
          <w:szCs w:val="24"/>
        </w:rPr>
      </w:pPr>
      <w:r>
        <w:t>15) other information set out by the supervisory authority necessary for assessing the compliance of the third-country firm and its branch with the requirements of this Section.</w:t>
      </w:r>
    </w:p>
    <w:p w14:paraId="65E68A06" w14:textId="4D20B642" w:rsidR="006002AA" w:rsidRDefault="00ED3A7E" w:rsidP="006002AA">
      <w:pPr>
        <w:spacing w:line="360" w:lineRule="atLeast"/>
        <w:ind w:firstLine="720"/>
        <w:jc w:val="both"/>
        <w:rPr>
          <w:color w:val="000000"/>
          <w:sz w:val="27"/>
          <w:szCs w:val="27"/>
        </w:rPr>
      </w:pPr>
      <w:r>
        <w:t xml:space="preserve">9. </w:t>
      </w:r>
      <w:r>
        <w:rPr>
          <w:color w:val="000000"/>
          <w:szCs w:val="24"/>
        </w:rPr>
        <w:t>The supervisory authority shall issue an authorisation for activities of a branch of a third-country firm only upon obtaining assurance that the third-country firm and its branch meet the requirements set forth in paragraph 7 of this Article. Each year, the supervisory authority shall submit to the European Securities and Markets Authority a list of branches of third-country companies operating in the Republic of Lithuania.</w:t>
      </w:r>
    </w:p>
    <w:p w14:paraId="584A004A" w14:textId="77777777" w:rsidR="006002AA" w:rsidRDefault="006002AA" w:rsidP="006002AA">
      <w:pPr>
        <w:rPr>
          <w:color w:val="000000"/>
          <w:sz w:val="27"/>
          <w:szCs w:val="27"/>
        </w:rPr>
      </w:pPr>
      <w:r>
        <w:rPr>
          <w:i/>
          <w:iCs/>
          <w:color w:val="000000"/>
          <w:sz w:val="20"/>
        </w:rPr>
        <w:t>Amendments to the paragraph of the Article:</w:t>
      </w:r>
    </w:p>
    <w:p w14:paraId="29F9F73E" w14:textId="77777777" w:rsidR="006002AA" w:rsidRDefault="006002AA" w:rsidP="006002AA">
      <w:pPr>
        <w:jc w:val="both"/>
        <w:rPr>
          <w:color w:val="000000"/>
          <w:sz w:val="27"/>
          <w:szCs w:val="27"/>
        </w:rPr>
      </w:pPr>
      <w:r>
        <w:rPr>
          <w:i/>
          <w:iCs/>
          <w:color w:val="000000"/>
          <w:sz w:val="20"/>
        </w:rPr>
        <w:t xml:space="preserve">No </w:t>
      </w:r>
      <w:hyperlink r:id="rId116" w:tgtFrame="_parent" w:history="1">
        <w:r>
          <w:rPr>
            <w:rStyle w:val="Hyperlink"/>
            <w:i/>
            <w:iCs/>
            <w:sz w:val="20"/>
          </w:rPr>
          <w:t>XIV-821</w:t>
        </w:r>
      </w:hyperlink>
      <w:r>
        <w:rPr>
          <w:i/>
          <w:iCs/>
          <w:color w:val="000000"/>
          <w:sz w:val="20"/>
        </w:rPr>
        <w:t>, 23/12/2021, published in the RLA, 30/12/2021, ID code 2021-27710</w:t>
      </w:r>
    </w:p>
    <w:p w14:paraId="75082D27" w14:textId="758ECFA0" w:rsidR="00ED3A7E" w:rsidRPr="000550CF" w:rsidRDefault="00ED3A7E" w:rsidP="00F3494E">
      <w:pPr>
        <w:widowControl w:val="0"/>
        <w:ind w:firstLine="720"/>
        <w:jc w:val="both"/>
        <w:rPr>
          <w:szCs w:val="24"/>
          <w:lang w:eastAsia="lt-LT"/>
        </w:rPr>
      </w:pPr>
    </w:p>
    <w:p w14:paraId="598DC41A" w14:textId="361548CD" w:rsidR="006002AA" w:rsidRPr="006002AA" w:rsidRDefault="00ED3A7E" w:rsidP="006002AA">
      <w:pPr>
        <w:spacing w:line="360" w:lineRule="atLeast"/>
        <w:ind w:firstLine="720"/>
        <w:jc w:val="both"/>
        <w:rPr>
          <w:color w:val="000000"/>
          <w:szCs w:val="24"/>
        </w:rPr>
      </w:pPr>
      <w:r>
        <w:lastRenderedPageBreak/>
        <w:t xml:space="preserve">10.  </w:t>
      </w:r>
      <w:r>
        <w:rPr>
          <w:color w:val="000000"/>
          <w:szCs w:val="24"/>
        </w:rPr>
        <w:t>The supervisory authority shall refuse to issue an authorisation for activities of a branch of a third-country firm if the third-country firm and/or its branch does not meet the requirements set forth in paragraph 7 of this Article and/or does not submit the documents specified in paragraph 8 of this Article and Article 50(3) of this Law, as well as on other grounds specified in Article 7 of this Law.</w:t>
      </w:r>
    </w:p>
    <w:p w14:paraId="2EA8F48F" w14:textId="77777777" w:rsidR="006002AA" w:rsidRDefault="006002AA" w:rsidP="006002AA">
      <w:pPr>
        <w:rPr>
          <w:color w:val="000000"/>
          <w:sz w:val="27"/>
          <w:szCs w:val="27"/>
        </w:rPr>
      </w:pPr>
      <w:r>
        <w:rPr>
          <w:i/>
          <w:iCs/>
          <w:color w:val="000000"/>
          <w:sz w:val="20"/>
        </w:rPr>
        <w:t>Amendments to the paragraph of the Article:</w:t>
      </w:r>
    </w:p>
    <w:p w14:paraId="22BAE6FF" w14:textId="77777777" w:rsidR="006002AA" w:rsidRDefault="006002AA" w:rsidP="006002AA">
      <w:pPr>
        <w:jc w:val="both"/>
        <w:rPr>
          <w:color w:val="000000"/>
          <w:sz w:val="27"/>
          <w:szCs w:val="27"/>
        </w:rPr>
      </w:pPr>
      <w:r>
        <w:rPr>
          <w:i/>
          <w:iCs/>
          <w:color w:val="000000"/>
          <w:sz w:val="20"/>
        </w:rPr>
        <w:t xml:space="preserve">No </w:t>
      </w:r>
      <w:hyperlink r:id="rId117" w:tgtFrame="_parent" w:history="1">
        <w:r>
          <w:rPr>
            <w:rStyle w:val="Hyperlink"/>
            <w:i/>
            <w:iCs/>
            <w:sz w:val="20"/>
          </w:rPr>
          <w:t>XIV-821</w:t>
        </w:r>
      </w:hyperlink>
      <w:r>
        <w:rPr>
          <w:i/>
          <w:iCs/>
          <w:color w:val="000000"/>
          <w:sz w:val="20"/>
        </w:rPr>
        <w:t>, 23/12/2021, published in the RLA, 30/12/2021, ID code 2021-27710</w:t>
      </w:r>
    </w:p>
    <w:p w14:paraId="55B93770" w14:textId="773C7E54" w:rsidR="00ED3A7E" w:rsidRPr="000550CF" w:rsidRDefault="00ED3A7E" w:rsidP="00F3494E">
      <w:pPr>
        <w:ind w:firstLine="720"/>
        <w:jc w:val="both"/>
        <w:rPr>
          <w:lang w:eastAsia="lt-LT"/>
        </w:rPr>
      </w:pPr>
    </w:p>
    <w:p w14:paraId="3D90B0B5" w14:textId="77777777" w:rsidR="00ED3A7E" w:rsidRPr="000550CF" w:rsidRDefault="00ED3A7E" w:rsidP="00F3494E">
      <w:pPr>
        <w:widowControl w:val="0"/>
        <w:ind w:firstLine="720"/>
        <w:jc w:val="both"/>
        <w:rPr>
          <w:szCs w:val="24"/>
        </w:rPr>
      </w:pPr>
      <w:r>
        <w:t>11. The supervisory authority must examine the submitted documents and take a decision on the granting of an authorisation not later than within six months from the date of receipt of the application. Where the supervisory authority requests additional documents or data, the decision shall be taken within six months from the date of receipt of the additional documents and data.</w:t>
      </w:r>
    </w:p>
    <w:p w14:paraId="72D7F49B" w14:textId="77777777" w:rsidR="00ED3A7E" w:rsidRPr="000550CF" w:rsidRDefault="00ED3A7E" w:rsidP="00F3494E">
      <w:pPr>
        <w:widowControl w:val="0"/>
        <w:ind w:firstLine="720"/>
        <w:jc w:val="both"/>
        <w:rPr>
          <w:szCs w:val="24"/>
        </w:rPr>
      </w:pPr>
      <w:r>
        <w:t>12. The supervisory authority shall establish the rules for granting authorisations for the performance of activities of a third-country firm’s branch.</w:t>
      </w:r>
    </w:p>
    <w:p w14:paraId="61CFCAE1" w14:textId="77777777" w:rsidR="00ED3A7E" w:rsidRPr="000550CF" w:rsidRDefault="00ED3A7E" w:rsidP="00F3494E">
      <w:pPr>
        <w:widowControl w:val="0"/>
        <w:ind w:firstLine="720"/>
        <w:jc w:val="both"/>
        <w:rPr>
          <w:szCs w:val="24"/>
          <w:lang w:eastAsia="lt-LT"/>
        </w:rPr>
      </w:pPr>
    </w:p>
    <w:p w14:paraId="7BA6FB37" w14:textId="77777777" w:rsidR="00ED3A7E" w:rsidRPr="000550CF" w:rsidRDefault="00ED3A7E" w:rsidP="00F3494E">
      <w:pPr>
        <w:widowControl w:val="0"/>
        <w:ind w:firstLine="720"/>
        <w:jc w:val="both"/>
        <w:rPr>
          <w:szCs w:val="24"/>
        </w:rPr>
      </w:pPr>
      <w:r>
        <w:rPr>
          <w:b/>
          <w:szCs w:val="24"/>
        </w:rPr>
        <w:t xml:space="preserve">Article 50. Requirements for a branch </w:t>
      </w:r>
    </w:p>
    <w:p w14:paraId="5000793F" w14:textId="77777777" w:rsidR="00ED3A7E" w:rsidRPr="000550CF" w:rsidRDefault="00ED3A7E" w:rsidP="00F3494E">
      <w:pPr>
        <w:widowControl w:val="0"/>
        <w:ind w:firstLine="720"/>
        <w:jc w:val="both"/>
        <w:rPr>
          <w:szCs w:val="24"/>
        </w:rPr>
      </w:pPr>
      <w:r>
        <w:t>1. A third-country firm’s branch authorised in accordance with Article 49 of this Law shall comply with requirements of Articles 16, 21 to 24, 28 to 31 and 33, Article 34(1), and Articles 35, 39, 40 and 41 of this Law, and Articles 3 to 26 of Regulation (EU) No 600/2014 and their implementing legislation.</w:t>
      </w:r>
    </w:p>
    <w:p w14:paraId="3D3840ED" w14:textId="19317C92" w:rsidR="00ED3A7E" w:rsidRDefault="00ED3A7E" w:rsidP="00F3494E">
      <w:pPr>
        <w:ind w:firstLine="720"/>
        <w:jc w:val="both"/>
      </w:pPr>
      <w:r>
        <w:t>2. The supervisory authority shall monitor the compliance of a third-country firm’s branch with requirements of paragraph 1 of this Article.</w:t>
      </w:r>
    </w:p>
    <w:p w14:paraId="76CD6C24" w14:textId="77777777" w:rsidR="006002AA" w:rsidRPr="006002AA" w:rsidRDefault="006002AA" w:rsidP="006002AA">
      <w:pPr>
        <w:spacing w:line="360" w:lineRule="atLeast"/>
        <w:ind w:firstLine="720"/>
        <w:jc w:val="both"/>
        <w:rPr>
          <w:color w:val="000000"/>
          <w:szCs w:val="24"/>
        </w:rPr>
      </w:pPr>
      <w:r>
        <w:rPr>
          <w:color w:val="000000"/>
          <w:szCs w:val="24"/>
        </w:rPr>
        <w:t>3. A third-country firm which has been authorised in accordance with Article 49 of this Law shall submit the following information to the supervisory authority every year:</w:t>
      </w:r>
    </w:p>
    <w:p w14:paraId="41BA9A63" w14:textId="77777777" w:rsidR="006002AA" w:rsidRDefault="006002AA" w:rsidP="006002AA">
      <w:pPr>
        <w:spacing w:line="360" w:lineRule="atLeast"/>
        <w:ind w:firstLine="720"/>
        <w:jc w:val="both"/>
        <w:rPr>
          <w:color w:val="000000"/>
          <w:szCs w:val="24"/>
        </w:rPr>
      </w:pPr>
      <w:bookmarkStart w:id="181" w:name="part_bbf3b2ae2dcc48e998c064290d6c5d5d"/>
      <w:bookmarkEnd w:id="181"/>
      <w:r>
        <w:rPr>
          <w:color w:val="000000"/>
        </w:rPr>
        <w:t xml:space="preserve">1) data on the scope of services provided and activities performed by the branch in the Republic of </w:t>
      </w:r>
      <w:proofErr w:type="gramStart"/>
      <w:r>
        <w:rPr>
          <w:color w:val="000000"/>
        </w:rPr>
        <w:t>Lithuania;</w:t>
      </w:r>
      <w:proofErr w:type="gramEnd"/>
    </w:p>
    <w:p w14:paraId="2EC1A4CD" w14:textId="77777777" w:rsidR="006002AA" w:rsidRDefault="006002AA" w:rsidP="006002AA">
      <w:pPr>
        <w:spacing w:line="360" w:lineRule="atLeast"/>
        <w:ind w:firstLine="720"/>
        <w:jc w:val="both"/>
        <w:rPr>
          <w:color w:val="000000"/>
        </w:rPr>
      </w:pPr>
      <w:bookmarkStart w:id="182" w:name="part_d3aeee1778da49648b062b1c143b2963"/>
      <w:bookmarkEnd w:id="182"/>
      <w:r>
        <w:rPr>
          <w:color w:val="000000"/>
        </w:rPr>
        <w:t xml:space="preserve">2) the monthly minimum, average and maximum positions of that firm with counterparties of the European Union, where the third-country firm carries out the activities referred to in Article 3(26)(3) of this </w:t>
      </w:r>
      <w:proofErr w:type="gramStart"/>
      <w:r>
        <w:rPr>
          <w:color w:val="000000"/>
        </w:rPr>
        <w:t>Law;</w:t>
      </w:r>
      <w:proofErr w:type="gramEnd"/>
    </w:p>
    <w:p w14:paraId="55DC2855" w14:textId="77777777" w:rsidR="006002AA" w:rsidRDefault="006002AA" w:rsidP="006002AA">
      <w:pPr>
        <w:spacing w:line="360" w:lineRule="atLeast"/>
        <w:ind w:firstLine="720"/>
        <w:jc w:val="both"/>
        <w:rPr>
          <w:color w:val="000000"/>
        </w:rPr>
      </w:pPr>
      <w:bookmarkStart w:id="183" w:name="part_2e4480f93a074f0bbe208b5c21196bad"/>
      <w:bookmarkEnd w:id="183"/>
      <w:r>
        <w:rPr>
          <w:color w:val="000000"/>
        </w:rPr>
        <w:t xml:space="preserve">3) the total value of financial instruments issued by counterparties of the European Union over the past 12 months which were underwritten or placed on a commitment basis, where the third-country firm provides one or both of the services referred to in Article 3(26)(6) of this </w:t>
      </w:r>
      <w:proofErr w:type="gramStart"/>
      <w:r>
        <w:rPr>
          <w:color w:val="000000"/>
        </w:rPr>
        <w:t>Law;</w:t>
      </w:r>
      <w:proofErr w:type="gramEnd"/>
    </w:p>
    <w:p w14:paraId="7A04393D" w14:textId="77777777" w:rsidR="006002AA" w:rsidRDefault="006002AA" w:rsidP="006002AA">
      <w:pPr>
        <w:spacing w:line="360" w:lineRule="atLeast"/>
        <w:ind w:firstLine="720"/>
        <w:jc w:val="both"/>
        <w:rPr>
          <w:color w:val="000000"/>
        </w:rPr>
      </w:pPr>
      <w:bookmarkStart w:id="184" w:name="part_eeafe3250ca54dd5806f1c252c081b22"/>
      <w:bookmarkEnd w:id="184"/>
      <w:r>
        <w:rPr>
          <w:color w:val="000000"/>
        </w:rPr>
        <w:t xml:space="preserve">4) the turnover and aggregated value of assets, by each service provided or activity performed in the Republic of </w:t>
      </w:r>
      <w:proofErr w:type="gramStart"/>
      <w:r>
        <w:rPr>
          <w:color w:val="000000"/>
        </w:rPr>
        <w:t>Lithuania;</w:t>
      </w:r>
      <w:proofErr w:type="gramEnd"/>
    </w:p>
    <w:p w14:paraId="0F14DCBD" w14:textId="77777777" w:rsidR="006002AA" w:rsidRDefault="006002AA" w:rsidP="006002AA">
      <w:pPr>
        <w:spacing w:line="360" w:lineRule="atLeast"/>
        <w:ind w:firstLine="720"/>
        <w:jc w:val="both"/>
        <w:rPr>
          <w:color w:val="000000"/>
        </w:rPr>
      </w:pPr>
      <w:bookmarkStart w:id="185" w:name="part_dfb208dd27914853be5052d5c06297da"/>
      <w:bookmarkEnd w:id="185"/>
      <w:r>
        <w:rPr>
          <w:color w:val="000000"/>
        </w:rPr>
        <w:t xml:space="preserve">5) a detailed description of the investor safety net measures applied to the clients of the branch, including the rights of those clients under the system of insurance of liabilities to investors referred to in Article 12 of this </w:t>
      </w:r>
      <w:proofErr w:type="gramStart"/>
      <w:r>
        <w:rPr>
          <w:color w:val="000000"/>
        </w:rPr>
        <w:t>Law;</w:t>
      </w:r>
      <w:proofErr w:type="gramEnd"/>
    </w:p>
    <w:p w14:paraId="2E64F0A4" w14:textId="77777777" w:rsidR="006002AA" w:rsidRDefault="006002AA" w:rsidP="006002AA">
      <w:pPr>
        <w:spacing w:line="360" w:lineRule="atLeast"/>
        <w:ind w:firstLine="720"/>
        <w:jc w:val="both"/>
        <w:rPr>
          <w:color w:val="000000"/>
        </w:rPr>
      </w:pPr>
      <w:bookmarkStart w:id="186" w:name="part_78f3e180f5a54f5e85b711e9d1c834fa"/>
      <w:bookmarkEnd w:id="186"/>
      <w:r>
        <w:rPr>
          <w:color w:val="000000"/>
        </w:rPr>
        <w:t xml:space="preserve">6) the risk management policy and measures applied by the branch to the services and activities referred to in sub-paragraph 1 of this </w:t>
      </w:r>
      <w:proofErr w:type="gramStart"/>
      <w:r>
        <w:rPr>
          <w:color w:val="000000"/>
        </w:rPr>
        <w:t>paragraph;</w:t>
      </w:r>
      <w:proofErr w:type="gramEnd"/>
    </w:p>
    <w:p w14:paraId="71707CF8" w14:textId="77777777" w:rsidR="006002AA" w:rsidRDefault="006002AA" w:rsidP="006002AA">
      <w:pPr>
        <w:spacing w:line="360" w:lineRule="atLeast"/>
        <w:ind w:firstLine="720"/>
        <w:jc w:val="both"/>
        <w:rPr>
          <w:color w:val="000000"/>
        </w:rPr>
      </w:pPr>
      <w:bookmarkStart w:id="187" w:name="part_c6378dbee8f94cf7a0042e551779c265"/>
      <w:bookmarkEnd w:id="187"/>
      <w:r>
        <w:rPr>
          <w:color w:val="000000"/>
        </w:rPr>
        <w:t xml:space="preserve">7) data on governance arrangements, also by specifying the persons (first name, surname) holding key positions in the </w:t>
      </w:r>
      <w:proofErr w:type="gramStart"/>
      <w:r>
        <w:rPr>
          <w:color w:val="000000"/>
        </w:rPr>
        <w:t>branch;</w:t>
      </w:r>
      <w:proofErr w:type="gramEnd"/>
    </w:p>
    <w:p w14:paraId="03773B8C" w14:textId="77777777" w:rsidR="006002AA" w:rsidRDefault="006002AA" w:rsidP="006002AA">
      <w:pPr>
        <w:spacing w:line="360" w:lineRule="atLeast"/>
        <w:ind w:firstLine="720"/>
        <w:jc w:val="both"/>
        <w:rPr>
          <w:color w:val="000000"/>
        </w:rPr>
      </w:pPr>
      <w:bookmarkStart w:id="188" w:name="part_477338131cfc4ff193e25d1187c549ff"/>
      <w:bookmarkEnd w:id="188"/>
      <w:r>
        <w:rPr>
          <w:color w:val="000000"/>
        </w:rPr>
        <w:t>8) other information considered by the supervisory authority necessary for enabling thorough monitoring of the activities of the branch.</w:t>
      </w:r>
    </w:p>
    <w:p w14:paraId="10340A4E" w14:textId="77777777" w:rsidR="006002AA" w:rsidRDefault="006002AA" w:rsidP="006002AA">
      <w:pPr>
        <w:rPr>
          <w:color w:val="000000"/>
          <w:sz w:val="27"/>
          <w:szCs w:val="27"/>
        </w:rPr>
      </w:pPr>
      <w:r>
        <w:rPr>
          <w:i/>
          <w:iCs/>
          <w:color w:val="000000"/>
          <w:sz w:val="20"/>
        </w:rPr>
        <w:t>Supplemented with the paragraph to the Article:</w:t>
      </w:r>
    </w:p>
    <w:p w14:paraId="377C1EC3" w14:textId="77777777" w:rsidR="006002AA" w:rsidRDefault="006002AA" w:rsidP="006002AA">
      <w:pPr>
        <w:jc w:val="both"/>
        <w:rPr>
          <w:color w:val="000000"/>
          <w:sz w:val="27"/>
          <w:szCs w:val="27"/>
        </w:rPr>
      </w:pPr>
      <w:r>
        <w:rPr>
          <w:i/>
          <w:iCs/>
          <w:color w:val="000000"/>
          <w:sz w:val="20"/>
        </w:rPr>
        <w:t xml:space="preserve">No </w:t>
      </w:r>
      <w:hyperlink r:id="rId118" w:tgtFrame="_parent" w:history="1">
        <w:r>
          <w:rPr>
            <w:rStyle w:val="Hyperlink"/>
            <w:i/>
            <w:iCs/>
            <w:sz w:val="20"/>
          </w:rPr>
          <w:t>XIV-821</w:t>
        </w:r>
      </w:hyperlink>
      <w:r>
        <w:rPr>
          <w:i/>
          <w:iCs/>
          <w:color w:val="000000"/>
          <w:sz w:val="20"/>
        </w:rPr>
        <w:t>, 23/12/2021, published in the RLA, 30/12/2021, ID code 2021-27710</w:t>
      </w:r>
    </w:p>
    <w:p w14:paraId="469C87D9" w14:textId="77777777" w:rsidR="006002AA" w:rsidRPr="006002AA" w:rsidRDefault="006002AA" w:rsidP="006002AA">
      <w:pPr>
        <w:spacing w:line="360" w:lineRule="atLeast"/>
        <w:ind w:firstLine="720"/>
        <w:jc w:val="both"/>
        <w:rPr>
          <w:color w:val="000000"/>
          <w:szCs w:val="24"/>
        </w:rPr>
      </w:pPr>
      <w:r>
        <w:rPr>
          <w:color w:val="000000"/>
          <w:szCs w:val="24"/>
        </w:rPr>
        <w:lastRenderedPageBreak/>
        <w:t>4. Upon receipt of a request from the European Securities and Markets Authority, the supervisory authority shall provide it with the following information:</w:t>
      </w:r>
    </w:p>
    <w:p w14:paraId="7E14797A" w14:textId="77777777" w:rsidR="006002AA" w:rsidRPr="00BE49BD" w:rsidRDefault="006002AA" w:rsidP="006002AA">
      <w:pPr>
        <w:spacing w:line="360" w:lineRule="atLeast"/>
        <w:ind w:firstLine="720"/>
        <w:jc w:val="both"/>
        <w:rPr>
          <w:color w:val="000000"/>
          <w:szCs w:val="24"/>
        </w:rPr>
      </w:pPr>
      <w:bookmarkStart w:id="189" w:name="part_7d67571134264c79a0f4fa2cc3e7c2ab"/>
      <w:bookmarkEnd w:id="189"/>
      <w:r>
        <w:rPr>
          <w:color w:val="000000"/>
        </w:rPr>
        <w:t xml:space="preserve">1) data on all authorisations of branches to which an authorisation has been granted in accordance with Article 49 of this Law, and any subsequent changes to such </w:t>
      </w:r>
      <w:proofErr w:type="gramStart"/>
      <w:r>
        <w:rPr>
          <w:color w:val="000000"/>
        </w:rPr>
        <w:t>authorisations;</w:t>
      </w:r>
      <w:proofErr w:type="gramEnd"/>
    </w:p>
    <w:p w14:paraId="728541DE" w14:textId="77777777" w:rsidR="006002AA" w:rsidRPr="00BE49BD" w:rsidRDefault="006002AA" w:rsidP="006002AA">
      <w:pPr>
        <w:spacing w:line="360" w:lineRule="atLeast"/>
        <w:ind w:firstLine="720"/>
        <w:jc w:val="both"/>
        <w:rPr>
          <w:color w:val="000000"/>
        </w:rPr>
      </w:pPr>
      <w:bookmarkStart w:id="190" w:name="part_8a6b3a3dbde5478785ea76ce9eef9443"/>
      <w:bookmarkEnd w:id="190"/>
      <w:r>
        <w:rPr>
          <w:color w:val="000000"/>
        </w:rPr>
        <w:t xml:space="preserve">2) data on the extent and scope of the services provided and activities performed by the branch, to which an authorisation has been granted, in the Republic of </w:t>
      </w:r>
      <w:proofErr w:type="gramStart"/>
      <w:r>
        <w:rPr>
          <w:color w:val="000000"/>
        </w:rPr>
        <w:t>Lithuania;</w:t>
      </w:r>
      <w:proofErr w:type="gramEnd"/>
    </w:p>
    <w:p w14:paraId="7D3CC7EC" w14:textId="77777777" w:rsidR="006002AA" w:rsidRDefault="006002AA" w:rsidP="006002AA">
      <w:pPr>
        <w:spacing w:line="360" w:lineRule="atLeast"/>
        <w:ind w:firstLine="720"/>
        <w:jc w:val="both"/>
        <w:rPr>
          <w:color w:val="000000"/>
        </w:rPr>
      </w:pPr>
      <w:bookmarkStart w:id="191" w:name="part_c3e2c09fdaf34bf9be2af2bd7414fd66"/>
      <w:bookmarkEnd w:id="191"/>
      <w:r>
        <w:rPr>
          <w:color w:val="000000"/>
        </w:rPr>
        <w:t xml:space="preserve">3) data on the turnover and aggregated value of assets, where services and activities referred to in sub-paragraph 2 of paragraph 3 of this Article are </w:t>
      </w:r>
      <w:proofErr w:type="gramStart"/>
      <w:r>
        <w:rPr>
          <w:color w:val="000000"/>
        </w:rPr>
        <w:t>performed;</w:t>
      </w:r>
      <w:proofErr w:type="gramEnd"/>
    </w:p>
    <w:p w14:paraId="1FCEA6B1" w14:textId="77777777" w:rsidR="006002AA" w:rsidRDefault="006002AA" w:rsidP="006002AA">
      <w:pPr>
        <w:spacing w:line="360" w:lineRule="atLeast"/>
        <w:ind w:firstLine="720"/>
        <w:jc w:val="both"/>
        <w:rPr>
          <w:color w:val="000000"/>
        </w:rPr>
      </w:pPr>
      <w:bookmarkStart w:id="192" w:name="part_ec5e7cbffbc04198bc4c7663271cb7c5"/>
      <w:bookmarkEnd w:id="192"/>
      <w:r>
        <w:rPr>
          <w:color w:val="000000"/>
        </w:rPr>
        <w:t>4) the name of the third-country group to which the branch holding the authorisation belongs.</w:t>
      </w:r>
    </w:p>
    <w:p w14:paraId="55DD94D0" w14:textId="77777777" w:rsidR="006002AA" w:rsidRDefault="006002AA" w:rsidP="006002AA">
      <w:pPr>
        <w:rPr>
          <w:color w:val="000000"/>
          <w:sz w:val="27"/>
          <w:szCs w:val="27"/>
        </w:rPr>
      </w:pPr>
      <w:r>
        <w:rPr>
          <w:i/>
          <w:iCs/>
          <w:color w:val="000000"/>
          <w:sz w:val="20"/>
        </w:rPr>
        <w:t>Supplemented with the paragraph to the Article:</w:t>
      </w:r>
    </w:p>
    <w:p w14:paraId="30A2D877" w14:textId="77777777" w:rsidR="006002AA" w:rsidRDefault="006002AA" w:rsidP="006002AA">
      <w:pPr>
        <w:jc w:val="both"/>
        <w:rPr>
          <w:color w:val="000000"/>
          <w:sz w:val="27"/>
          <w:szCs w:val="27"/>
        </w:rPr>
      </w:pPr>
      <w:r>
        <w:rPr>
          <w:i/>
          <w:iCs/>
          <w:color w:val="000000"/>
          <w:sz w:val="20"/>
        </w:rPr>
        <w:t xml:space="preserve">No </w:t>
      </w:r>
      <w:hyperlink r:id="rId119" w:tgtFrame="_parent" w:history="1">
        <w:r>
          <w:rPr>
            <w:rStyle w:val="Hyperlink"/>
            <w:i/>
            <w:iCs/>
            <w:sz w:val="20"/>
          </w:rPr>
          <w:t>XIV-821</w:t>
        </w:r>
      </w:hyperlink>
      <w:r>
        <w:rPr>
          <w:i/>
          <w:iCs/>
          <w:color w:val="000000"/>
          <w:sz w:val="20"/>
        </w:rPr>
        <w:t>, 23/12/2021, published in the RLA, 30/12/2021, ID code 2021-27710</w:t>
      </w:r>
    </w:p>
    <w:p w14:paraId="1A849C3F" w14:textId="77777777" w:rsidR="006002AA" w:rsidRPr="000550CF" w:rsidRDefault="006002AA" w:rsidP="006002AA">
      <w:pPr>
        <w:jc w:val="both"/>
        <w:rPr>
          <w:lang w:eastAsia="lt-LT"/>
        </w:rPr>
      </w:pPr>
    </w:p>
    <w:p w14:paraId="321F922D" w14:textId="77777777" w:rsidR="00ED3A7E" w:rsidRPr="000550CF" w:rsidRDefault="00ED3A7E" w:rsidP="0081284E">
      <w:pPr>
        <w:widowControl w:val="0"/>
        <w:jc w:val="both"/>
        <w:rPr>
          <w:szCs w:val="24"/>
          <w:lang w:eastAsia="lt-LT"/>
        </w:rPr>
      </w:pPr>
    </w:p>
    <w:p w14:paraId="0037862B" w14:textId="77777777" w:rsidR="00ED3A7E" w:rsidRPr="000550CF" w:rsidRDefault="00ED3A7E" w:rsidP="00F3494E">
      <w:pPr>
        <w:widowControl w:val="0"/>
        <w:ind w:firstLine="720"/>
        <w:jc w:val="both"/>
        <w:rPr>
          <w:szCs w:val="24"/>
        </w:rPr>
      </w:pPr>
      <w:r>
        <w:rPr>
          <w:b/>
          <w:szCs w:val="24"/>
        </w:rPr>
        <w:t xml:space="preserve">Article 51. </w:t>
      </w:r>
      <w:r>
        <w:rPr>
          <w:b/>
        </w:rPr>
        <w:t>Provision of investment services at the exclusive initiative of a client</w:t>
      </w:r>
      <w:r>
        <w:rPr>
          <w:b/>
          <w:szCs w:val="24"/>
        </w:rPr>
        <w:t xml:space="preserve"> </w:t>
      </w:r>
    </w:p>
    <w:p w14:paraId="63AFDB3D" w14:textId="115FA8E1" w:rsidR="006002AA" w:rsidRPr="006002AA" w:rsidRDefault="00ED3A7E" w:rsidP="006002AA">
      <w:pPr>
        <w:spacing w:line="360" w:lineRule="atLeast"/>
        <w:ind w:firstLine="720"/>
        <w:jc w:val="both"/>
        <w:rPr>
          <w:color w:val="000000"/>
          <w:szCs w:val="24"/>
        </w:rPr>
      </w:pPr>
      <w:r>
        <w:t xml:space="preserve">1. </w:t>
      </w:r>
      <w:r>
        <w:rPr>
          <w:color w:val="000000"/>
          <w:szCs w:val="24"/>
        </w:rPr>
        <w:t xml:space="preserve">Where a client or an </w:t>
      </w:r>
      <w:proofErr w:type="gramStart"/>
      <w:r>
        <w:rPr>
          <w:color w:val="000000"/>
          <w:szCs w:val="24"/>
        </w:rPr>
        <w:t>eligible counterparty initiates</w:t>
      </w:r>
      <w:proofErr w:type="gramEnd"/>
      <w:r>
        <w:rPr>
          <w:color w:val="000000"/>
          <w:szCs w:val="24"/>
        </w:rPr>
        <w:t xml:space="preserve"> at its own exclusive initiative the provision of investment services by a third-country firm, the requirement for authorisation under Article 49 of this Law shall not apply to the provision of the investment services by the third country firm to those persons, including a relationship specifically relating to the provision of such investment services.  Where a third-country firm, through an entity acting on its behalf or having close ties with it, or through any other person acting on behalf of such an entity, seeks customers or potential customers in the European Union, without affecting the internal relations within the group of undertakings, it shall not </w:t>
      </w:r>
      <w:proofErr w:type="gramStart"/>
      <w:r>
        <w:rPr>
          <w:color w:val="000000"/>
          <w:szCs w:val="24"/>
        </w:rPr>
        <w:t>be considered to be</w:t>
      </w:r>
      <w:proofErr w:type="gramEnd"/>
      <w:r>
        <w:rPr>
          <w:color w:val="000000"/>
          <w:szCs w:val="24"/>
        </w:rPr>
        <w:t xml:space="preserve"> the service provided at the customer’s own exclusive initiative.</w:t>
      </w:r>
    </w:p>
    <w:p w14:paraId="6C7AAA38" w14:textId="77777777" w:rsidR="006002AA" w:rsidRDefault="006002AA" w:rsidP="006002AA">
      <w:pPr>
        <w:rPr>
          <w:color w:val="000000"/>
          <w:sz w:val="27"/>
          <w:szCs w:val="27"/>
        </w:rPr>
      </w:pPr>
      <w:r>
        <w:rPr>
          <w:i/>
          <w:iCs/>
          <w:color w:val="000000"/>
          <w:sz w:val="20"/>
        </w:rPr>
        <w:t>Amendments to the paragraph of the Article:</w:t>
      </w:r>
    </w:p>
    <w:p w14:paraId="38E1183C" w14:textId="77777777" w:rsidR="006002AA" w:rsidRDefault="006002AA" w:rsidP="006002AA">
      <w:pPr>
        <w:jc w:val="both"/>
        <w:rPr>
          <w:color w:val="000000"/>
          <w:sz w:val="27"/>
          <w:szCs w:val="27"/>
        </w:rPr>
      </w:pPr>
      <w:r>
        <w:rPr>
          <w:i/>
          <w:iCs/>
          <w:color w:val="000000"/>
          <w:sz w:val="20"/>
        </w:rPr>
        <w:t xml:space="preserve">No </w:t>
      </w:r>
      <w:hyperlink r:id="rId120" w:tgtFrame="_parent" w:history="1">
        <w:r>
          <w:rPr>
            <w:rStyle w:val="Hyperlink"/>
            <w:i/>
            <w:iCs/>
            <w:sz w:val="20"/>
          </w:rPr>
          <w:t>XIV-821</w:t>
        </w:r>
      </w:hyperlink>
      <w:r>
        <w:rPr>
          <w:i/>
          <w:iCs/>
          <w:color w:val="000000"/>
          <w:sz w:val="20"/>
        </w:rPr>
        <w:t>, 23/12/2021, published in the RLA, 30/12/2021, ID code 2021-27710</w:t>
      </w:r>
    </w:p>
    <w:p w14:paraId="6D22CD7A" w14:textId="2E6B933C" w:rsidR="00ED3A7E" w:rsidRPr="000550CF" w:rsidRDefault="00ED3A7E" w:rsidP="00F3494E">
      <w:pPr>
        <w:widowControl w:val="0"/>
        <w:ind w:firstLine="720"/>
        <w:jc w:val="both"/>
        <w:rPr>
          <w:szCs w:val="24"/>
          <w:lang w:eastAsia="lt-LT"/>
        </w:rPr>
      </w:pPr>
    </w:p>
    <w:p w14:paraId="6B31A174" w14:textId="77777777" w:rsidR="00ED3A7E" w:rsidRPr="000550CF" w:rsidRDefault="00ED3A7E" w:rsidP="00F3494E">
      <w:pPr>
        <w:widowControl w:val="0"/>
        <w:ind w:firstLine="720"/>
        <w:jc w:val="both"/>
        <w:rPr>
          <w:szCs w:val="24"/>
        </w:rPr>
      </w:pPr>
      <w:r>
        <w:t>2. An initiative by a retail client or professional client treated as professional on request shall not entitle the third-country firm to market otherwise than through the branch established in the Republic of Lithuania new categories of investment products or investment services to that client.</w:t>
      </w:r>
    </w:p>
    <w:p w14:paraId="6A0BC929" w14:textId="77777777" w:rsidR="00ED3A7E" w:rsidRPr="000550CF" w:rsidRDefault="00ED3A7E" w:rsidP="0081284E">
      <w:pPr>
        <w:widowControl w:val="0"/>
        <w:jc w:val="both"/>
        <w:rPr>
          <w:szCs w:val="24"/>
          <w:lang w:eastAsia="lt-LT"/>
        </w:rPr>
      </w:pPr>
    </w:p>
    <w:p w14:paraId="61312AFF" w14:textId="77777777" w:rsidR="00ED3A7E" w:rsidRPr="000550CF" w:rsidRDefault="00ED3A7E" w:rsidP="00F3494E">
      <w:pPr>
        <w:widowControl w:val="0"/>
        <w:ind w:firstLine="720"/>
        <w:jc w:val="both"/>
        <w:rPr>
          <w:szCs w:val="24"/>
        </w:rPr>
      </w:pPr>
      <w:r>
        <w:rPr>
          <w:b/>
          <w:szCs w:val="24"/>
        </w:rPr>
        <w:t xml:space="preserve">Article 52. Withdrawal of an authorisation of a branch </w:t>
      </w:r>
    </w:p>
    <w:p w14:paraId="364B5134" w14:textId="77777777" w:rsidR="00ED3A7E" w:rsidRPr="000550CF" w:rsidRDefault="00ED3A7E" w:rsidP="00F3494E">
      <w:pPr>
        <w:widowControl w:val="0"/>
        <w:ind w:firstLine="720"/>
        <w:jc w:val="both"/>
        <w:rPr>
          <w:szCs w:val="24"/>
        </w:rPr>
      </w:pPr>
      <w:r>
        <w:t>The supervisory authority may withdraw an authorisation for activities of a branch granted to a third-country firm’s branch where such a third-country firm and/or its branch no longer fulfils the requirements of Article 49(7) of this Law, is the subject of liquidation or bankruptcy proceedings and on other grounds set out under Article 8(7) of this Law.</w:t>
      </w:r>
    </w:p>
    <w:p w14:paraId="02770632" w14:textId="77777777" w:rsidR="00ED3A7E" w:rsidRPr="000550CF" w:rsidRDefault="00ED3A7E" w:rsidP="00F3494E">
      <w:pPr>
        <w:widowControl w:val="0"/>
        <w:ind w:firstLine="720"/>
        <w:jc w:val="both"/>
        <w:rPr>
          <w:szCs w:val="24"/>
          <w:lang w:eastAsia="lt-LT"/>
        </w:rPr>
      </w:pPr>
    </w:p>
    <w:p w14:paraId="2B355886" w14:textId="77777777" w:rsidR="00ED3A7E" w:rsidRPr="000550CF" w:rsidRDefault="00ED3A7E" w:rsidP="00F3494E">
      <w:pPr>
        <w:widowControl w:val="0"/>
        <w:jc w:val="center"/>
        <w:rPr>
          <w:szCs w:val="24"/>
        </w:rPr>
      </w:pPr>
      <w:r>
        <w:rPr>
          <w:b/>
          <w:szCs w:val="24"/>
        </w:rPr>
        <w:t>CHAPTER III</w:t>
      </w:r>
    </w:p>
    <w:p w14:paraId="3891D48A" w14:textId="77777777" w:rsidR="00ED3A7E" w:rsidRPr="000550CF" w:rsidRDefault="00ED3A7E" w:rsidP="00F3494E">
      <w:pPr>
        <w:widowControl w:val="0"/>
        <w:jc w:val="center"/>
        <w:rPr>
          <w:szCs w:val="24"/>
        </w:rPr>
      </w:pPr>
      <w:r>
        <w:rPr>
          <w:b/>
          <w:szCs w:val="24"/>
        </w:rPr>
        <w:t>TRADING ON A REGULATED MARKET</w:t>
      </w:r>
    </w:p>
    <w:p w14:paraId="4D938407" w14:textId="77777777" w:rsidR="00ED3A7E" w:rsidRPr="000550CF" w:rsidRDefault="00ED3A7E" w:rsidP="00F3494E">
      <w:pPr>
        <w:widowControl w:val="0"/>
        <w:jc w:val="both"/>
        <w:rPr>
          <w:szCs w:val="24"/>
          <w:lang w:eastAsia="lt-LT"/>
        </w:rPr>
      </w:pPr>
    </w:p>
    <w:p w14:paraId="2F3CEED7" w14:textId="77777777" w:rsidR="00ED3A7E" w:rsidRPr="000550CF" w:rsidRDefault="00ED3A7E" w:rsidP="00F3494E">
      <w:pPr>
        <w:widowControl w:val="0"/>
        <w:jc w:val="center"/>
        <w:rPr>
          <w:szCs w:val="24"/>
        </w:rPr>
      </w:pPr>
      <w:r>
        <w:rPr>
          <w:b/>
          <w:szCs w:val="24"/>
        </w:rPr>
        <w:t>SECTION ONE</w:t>
      </w:r>
    </w:p>
    <w:p w14:paraId="4FA36FF8" w14:textId="77777777" w:rsidR="00ED3A7E" w:rsidRPr="000550CF" w:rsidRDefault="00ED3A7E" w:rsidP="00F3494E">
      <w:pPr>
        <w:widowControl w:val="0"/>
        <w:jc w:val="center"/>
        <w:rPr>
          <w:szCs w:val="24"/>
        </w:rPr>
      </w:pPr>
      <w:r>
        <w:rPr>
          <w:b/>
          <w:szCs w:val="24"/>
        </w:rPr>
        <w:t xml:space="preserve">LICENSING OF A REGULATED MARKET </w:t>
      </w:r>
    </w:p>
    <w:p w14:paraId="4C0B49F8" w14:textId="77777777" w:rsidR="00ED3A7E" w:rsidRPr="000550CF" w:rsidRDefault="00ED3A7E" w:rsidP="00F3494E">
      <w:pPr>
        <w:widowControl w:val="0"/>
        <w:ind w:firstLine="720"/>
        <w:jc w:val="both"/>
        <w:rPr>
          <w:szCs w:val="24"/>
          <w:lang w:eastAsia="lt-LT"/>
        </w:rPr>
      </w:pPr>
    </w:p>
    <w:p w14:paraId="682196DE" w14:textId="77777777" w:rsidR="00ED3A7E" w:rsidRPr="000550CF" w:rsidRDefault="00ED3A7E" w:rsidP="00F3494E">
      <w:pPr>
        <w:widowControl w:val="0"/>
        <w:ind w:firstLine="720"/>
        <w:jc w:val="both"/>
        <w:rPr>
          <w:szCs w:val="24"/>
        </w:rPr>
      </w:pPr>
      <w:r>
        <w:rPr>
          <w:b/>
          <w:szCs w:val="24"/>
        </w:rPr>
        <w:t>Article 53. Licensing and applicable law</w:t>
      </w:r>
    </w:p>
    <w:p w14:paraId="6BA5B270" w14:textId="77777777" w:rsidR="00ED3A7E" w:rsidRPr="000550CF" w:rsidRDefault="00ED3A7E" w:rsidP="00F3494E">
      <w:pPr>
        <w:widowControl w:val="0"/>
        <w:ind w:firstLine="720"/>
        <w:jc w:val="both"/>
        <w:rPr>
          <w:szCs w:val="24"/>
        </w:rPr>
      </w:pPr>
      <w:r>
        <w:t>1. The right to perform activities of a market operator in the Republic of Lithuania shall be reserved only to those public companies that hold a licence of a regulated market for trading systems operated by them issued by the supervisory authority.</w:t>
      </w:r>
    </w:p>
    <w:p w14:paraId="4EBB7330" w14:textId="77777777" w:rsidR="00ED3A7E" w:rsidRPr="000550CF" w:rsidRDefault="00ED3A7E" w:rsidP="00F3494E">
      <w:pPr>
        <w:widowControl w:val="0"/>
        <w:ind w:firstLine="720"/>
        <w:jc w:val="both"/>
        <w:rPr>
          <w:szCs w:val="24"/>
        </w:rPr>
      </w:pPr>
      <w:r>
        <w:t xml:space="preserve">2. A licence of a regulated market shall be issued only where the supervisory authority is fully </w:t>
      </w:r>
      <w:r>
        <w:lastRenderedPageBreak/>
        <w:t>satisfied that both the market operator and the trading and other systems of the regulated market comply with the requirements laid down in this Section.</w:t>
      </w:r>
    </w:p>
    <w:p w14:paraId="083EE610" w14:textId="77777777" w:rsidR="00ED3A7E" w:rsidRPr="000550CF" w:rsidRDefault="00ED3A7E" w:rsidP="00F3494E">
      <w:pPr>
        <w:widowControl w:val="0"/>
        <w:ind w:firstLine="720"/>
        <w:jc w:val="both"/>
        <w:rPr>
          <w:szCs w:val="24"/>
        </w:rPr>
      </w:pPr>
      <w:r>
        <w:t>3. A company, which is being established or already existing public company intending to perform the market operator’s activities shall submit to the supervisory authority:</w:t>
      </w:r>
    </w:p>
    <w:p w14:paraId="700C9D52" w14:textId="77777777" w:rsidR="00ED3A7E" w:rsidRPr="000550CF" w:rsidRDefault="00ED3A7E" w:rsidP="00F3494E">
      <w:pPr>
        <w:ind w:firstLine="720"/>
        <w:jc w:val="both"/>
      </w:pPr>
      <w:r>
        <w:t xml:space="preserve">1) the application specifying the purpose of establishment of the market operator, its name, head office, details confirming that the founders (shareholders) and managers meet the requirements of Articles 58 and 60 of this </w:t>
      </w:r>
      <w:proofErr w:type="gramStart"/>
      <w:r>
        <w:t>Law;</w:t>
      </w:r>
      <w:proofErr w:type="gramEnd"/>
    </w:p>
    <w:p w14:paraId="2EFC44C2" w14:textId="77777777" w:rsidR="00ED3A7E" w:rsidRPr="000550CF" w:rsidRDefault="00ED3A7E" w:rsidP="00F3494E">
      <w:pPr>
        <w:widowControl w:val="0"/>
        <w:ind w:firstLine="720"/>
        <w:jc w:val="both"/>
        <w:rPr>
          <w:szCs w:val="24"/>
        </w:rPr>
      </w:pPr>
      <w:r>
        <w:t xml:space="preserve">2) the memorandum of </w:t>
      </w:r>
      <w:proofErr w:type="gramStart"/>
      <w:r>
        <w:t>association;</w:t>
      </w:r>
      <w:proofErr w:type="gramEnd"/>
    </w:p>
    <w:p w14:paraId="1EE68498" w14:textId="77777777" w:rsidR="00ED3A7E" w:rsidRPr="000550CF" w:rsidRDefault="00ED3A7E" w:rsidP="00F3494E">
      <w:pPr>
        <w:widowControl w:val="0"/>
        <w:ind w:firstLine="720"/>
        <w:jc w:val="both"/>
        <w:rPr>
          <w:szCs w:val="24"/>
        </w:rPr>
      </w:pPr>
      <w:r>
        <w:t xml:space="preserve">3) the programme of operations setting out, inter alia, the types of business envisaged and the organisational structure of the market </w:t>
      </w:r>
      <w:proofErr w:type="gramStart"/>
      <w:r>
        <w:t>operator;</w:t>
      </w:r>
      <w:proofErr w:type="gramEnd"/>
    </w:p>
    <w:p w14:paraId="0C7984F4" w14:textId="77777777" w:rsidR="00ED3A7E" w:rsidRPr="000550CF" w:rsidRDefault="00ED3A7E" w:rsidP="00F3494E">
      <w:pPr>
        <w:widowControl w:val="0"/>
        <w:ind w:firstLine="720"/>
        <w:jc w:val="both"/>
        <w:rPr>
          <w:szCs w:val="24"/>
        </w:rPr>
      </w:pPr>
      <w:r>
        <w:t xml:space="preserve">4) the articles of </w:t>
      </w:r>
      <w:proofErr w:type="gramStart"/>
      <w:r>
        <w:t>association;</w:t>
      </w:r>
      <w:proofErr w:type="gramEnd"/>
    </w:p>
    <w:p w14:paraId="2CEE2DED" w14:textId="1DDE8593" w:rsidR="00ED3A7E" w:rsidRDefault="00ED3A7E" w:rsidP="00F3494E">
      <w:pPr>
        <w:widowControl w:val="0"/>
        <w:ind w:firstLine="720"/>
        <w:jc w:val="both"/>
        <w:rPr>
          <w:szCs w:val="24"/>
        </w:rPr>
      </w:pPr>
      <w:r>
        <w:t>5) the rules of the regulated market</w:t>
      </w:r>
    </w:p>
    <w:p w14:paraId="69F02E1C" w14:textId="77777777" w:rsidR="006002AA" w:rsidRPr="006002AA" w:rsidRDefault="006002AA" w:rsidP="006002AA">
      <w:pPr>
        <w:spacing w:line="360" w:lineRule="atLeast"/>
        <w:ind w:firstLine="720"/>
        <w:jc w:val="both"/>
        <w:rPr>
          <w:color w:val="000000"/>
          <w:szCs w:val="24"/>
        </w:rPr>
      </w:pPr>
      <w:r>
        <w:rPr>
          <w:color w:val="000000"/>
          <w:szCs w:val="24"/>
        </w:rPr>
        <w:t>6) the information and documents substantiating compliance with the initial capital requirements set forth in Article 62</w:t>
      </w:r>
      <w:r>
        <w:rPr>
          <w:color w:val="000000"/>
          <w:szCs w:val="24"/>
          <w:vertAlign w:val="superscript"/>
        </w:rPr>
        <w:t>1</w:t>
      </w:r>
      <w:r>
        <w:rPr>
          <w:color w:val="000000"/>
          <w:szCs w:val="24"/>
        </w:rPr>
        <w:t xml:space="preserve"> of this Law.</w:t>
      </w:r>
    </w:p>
    <w:p w14:paraId="3E25C84E" w14:textId="77777777" w:rsidR="006002AA" w:rsidRDefault="006002AA" w:rsidP="006002AA">
      <w:pPr>
        <w:rPr>
          <w:color w:val="000000"/>
          <w:sz w:val="27"/>
          <w:szCs w:val="27"/>
        </w:rPr>
      </w:pPr>
      <w:r>
        <w:rPr>
          <w:i/>
          <w:iCs/>
          <w:color w:val="000000"/>
          <w:sz w:val="20"/>
        </w:rPr>
        <w:t>Supplemented with the sub-paragraph to the Article:</w:t>
      </w:r>
    </w:p>
    <w:p w14:paraId="4A8233E6" w14:textId="77777777" w:rsidR="006002AA" w:rsidRDefault="006002AA" w:rsidP="006002AA">
      <w:pPr>
        <w:jc w:val="both"/>
        <w:rPr>
          <w:color w:val="000000"/>
          <w:sz w:val="27"/>
          <w:szCs w:val="27"/>
        </w:rPr>
      </w:pPr>
      <w:r>
        <w:rPr>
          <w:i/>
          <w:iCs/>
          <w:color w:val="000000"/>
          <w:sz w:val="20"/>
        </w:rPr>
        <w:t xml:space="preserve">No </w:t>
      </w:r>
      <w:hyperlink r:id="rId121" w:tgtFrame="_parent" w:history="1">
        <w:r>
          <w:rPr>
            <w:rStyle w:val="Hyperlink"/>
            <w:i/>
            <w:iCs/>
            <w:sz w:val="20"/>
          </w:rPr>
          <w:t>XIII-2358</w:t>
        </w:r>
      </w:hyperlink>
      <w:r>
        <w:rPr>
          <w:i/>
          <w:iCs/>
          <w:color w:val="000000"/>
          <w:sz w:val="20"/>
        </w:rPr>
        <w:t>, 16/07/2019, published in the RLA, 19/07/2019, ID code 2019-11980</w:t>
      </w:r>
    </w:p>
    <w:p w14:paraId="4864BA29" w14:textId="77777777" w:rsidR="00ED3A7E" w:rsidRPr="000550CF" w:rsidRDefault="00ED3A7E" w:rsidP="00F3494E">
      <w:pPr>
        <w:widowControl w:val="0"/>
        <w:ind w:firstLine="720"/>
        <w:jc w:val="both"/>
        <w:rPr>
          <w:szCs w:val="24"/>
        </w:rPr>
      </w:pPr>
      <w:r>
        <w:t xml:space="preserve">4. Upon receipt of all required documents, the supervisory authority shall, within three months, issue the licence or provide a reasoned written refusal to issue the licence. The supervisory authority may require the public company to provide additional </w:t>
      </w:r>
      <w:proofErr w:type="gramStart"/>
      <w:r>
        <w:t>information</w:t>
      </w:r>
      <w:proofErr w:type="gramEnd"/>
      <w:r>
        <w:t xml:space="preserve"> or an explanation of the data already submitted. In that case, the time limit for examining the application shall be calculated from the date of submission of the last data or documents.</w:t>
      </w:r>
    </w:p>
    <w:p w14:paraId="5B46814C" w14:textId="77777777" w:rsidR="00ED3A7E" w:rsidRPr="000550CF" w:rsidRDefault="00ED3A7E" w:rsidP="00F3494E">
      <w:pPr>
        <w:widowControl w:val="0"/>
        <w:ind w:firstLine="720"/>
        <w:jc w:val="both"/>
        <w:rPr>
          <w:szCs w:val="24"/>
        </w:rPr>
      </w:pPr>
      <w:r>
        <w:t>5. The licence of a regulated market shall be issued only when the supervisory authority having examined all required documents concludes that at the time of the issue of the licence the requirements laid down in this Section for the operations of a regulated market are complied with.</w:t>
      </w:r>
    </w:p>
    <w:p w14:paraId="3ADB289C" w14:textId="77777777" w:rsidR="00ED3A7E" w:rsidRPr="000550CF" w:rsidRDefault="00ED3A7E" w:rsidP="00F3494E">
      <w:pPr>
        <w:widowControl w:val="0"/>
        <w:ind w:firstLine="720"/>
        <w:jc w:val="both"/>
        <w:rPr>
          <w:szCs w:val="24"/>
        </w:rPr>
      </w:pPr>
      <w:r>
        <w:t>6. The operator of a regulated market shall comply with the organisational and operating requirements (including the initial requirements for obtaining a licence of a regulated market) and ensure that the regulated market that it manages complies with other requirements set out in this Chapter. The market operator shall exercise the rights of the regulated market set out in this Chapter.</w:t>
      </w:r>
    </w:p>
    <w:p w14:paraId="04B1C703" w14:textId="77777777" w:rsidR="00ED3A7E" w:rsidRPr="000550CF" w:rsidRDefault="00ED3A7E" w:rsidP="00F3494E">
      <w:pPr>
        <w:widowControl w:val="0"/>
        <w:ind w:firstLine="720"/>
        <w:jc w:val="both"/>
        <w:rPr>
          <w:szCs w:val="24"/>
          <w:lang w:eastAsia="lt-LT"/>
        </w:rPr>
      </w:pPr>
    </w:p>
    <w:p w14:paraId="332C6581" w14:textId="77777777" w:rsidR="00ED3A7E" w:rsidRPr="000550CF" w:rsidRDefault="00ED3A7E" w:rsidP="00F3494E">
      <w:pPr>
        <w:widowControl w:val="0"/>
        <w:ind w:firstLine="720"/>
        <w:jc w:val="both"/>
        <w:rPr>
          <w:szCs w:val="24"/>
        </w:rPr>
      </w:pPr>
      <w:r>
        <w:rPr>
          <w:b/>
          <w:szCs w:val="24"/>
        </w:rPr>
        <w:t xml:space="preserve">Article 54. Grounds for refusal to issue a licence of a regulated </w:t>
      </w:r>
      <w:proofErr w:type="gramStart"/>
      <w:r>
        <w:rPr>
          <w:b/>
          <w:szCs w:val="24"/>
        </w:rPr>
        <w:t>market</w:t>
      </w:r>
      <w:proofErr w:type="gramEnd"/>
    </w:p>
    <w:p w14:paraId="493ECE2B" w14:textId="77777777" w:rsidR="00ED3A7E" w:rsidRPr="000550CF" w:rsidRDefault="00ED3A7E" w:rsidP="00F3494E">
      <w:pPr>
        <w:widowControl w:val="0"/>
        <w:ind w:firstLine="720"/>
        <w:jc w:val="both"/>
        <w:rPr>
          <w:szCs w:val="24"/>
        </w:rPr>
      </w:pPr>
      <w:r>
        <w:t>The supervisory authority shall refuse issuing a licence of a regulated market, where:</w:t>
      </w:r>
    </w:p>
    <w:p w14:paraId="09782C54" w14:textId="77777777" w:rsidR="00ED3A7E" w:rsidRPr="000550CF" w:rsidRDefault="00ED3A7E" w:rsidP="00F3494E">
      <w:pPr>
        <w:widowControl w:val="0"/>
        <w:ind w:firstLine="720"/>
        <w:jc w:val="both"/>
        <w:rPr>
          <w:szCs w:val="24"/>
        </w:rPr>
      </w:pPr>
      <w:r>
        <w:t xml:space="preserve">1) the market operator’s managers are not of good repute, do not have sufficient qualification or experience, or do not commit sufficient time for the performance of their </w:t>
      </w:r>
      <w:proofErr w:type="gramStart"/>
      <w:r>
        <w:t>functions;</w:t>
      </w:r>
      <w:proofErr w:type="gramEnd"/>
    </w:p>
    <w:p w14:paraId="62494AC9" w14:textId="77777777" w:rsidR="00ED3A7E" w:rsidRPr="000550CF" w:rsidRDefault="00ED3A7E" w:rsidP="00F3494E">
      <w:pPr>
        <w:widowControl w:val="0"/>
        <w:ind w:firstLine="720"/>
        <w:jc w:val="both"/>
        <w:rPr>
          <w:szCs w:val="24"/>
        </w:rPr>
      </w:pPr>
      <w:r>
        <w:t xml:space="preserve">2) there are objective and demonstrable grounds for believing that the market operator’s managers may pose a threat to the effective, sound and prudential management of the market operator and to integrity of the </w:t>
      </w:r>
      <w:proofErr w:type="gramStart"/>
      <w:r>
        <w:t>market;</w:t>
      </w:r>
      <w:proofErr w:type="gramEnd"/>
    </w:p>
    <w:p w14:paraId="30C6EAAB" w14:textId="77777777" w:rsidR="00ED3A7E" w:rsidRPr="000550CF" w:rsidRDefault="00ED3A7E" w:rsidP="00F3494E">
      <w:pPr>
        <w:widowControl w:val="0"/>
        <w:ind w:firstLine="720"/>
        <w:jc w:val="both"/>
        <w:rPr>
          <w:szCs w:val="24"/>
        </w:rPr>
      </w:pPr>
      <w:r>
        <w:t xml:space="preserve">3) the market operator’s articles of association, the memorandum of association, the rules of the regulated market or other submitted documents do not meet the requirements of legal acts of the Republic of Lithuania regulating the drafting of such </w:t>
      </w:r>
      <w:proofErr w:type="gramStart"/>
      <w:r>
        <w:t>documents;</w:t>
      </w:r>
      <w:proofErr w:type="gramEnd"/>
    </w:p>
    <w:p w14:paraId="5A25804E" w14:textId="77777777" w:rsidR="00ED3A7E" w:rsidRPr="000550CF" w:rsidRDefault="00ED3A7E" w:rsidP="00F3494E">
      <w:pPr>
        <w:widowControl w:val="0"/>
        <w:ind w:firstLine="720"/>
        <w:jc w:val="both"/>
        <w:rPr>
          <w:szCs w:val="24"/>
        </w:rPr>
      </w:pPr>
      <w:r>
        <w:t xml:space="preserve">4) the information in the submitted documents is </w:t>
      </w:r>
      <w:proofErr w:type="gramStart"/>
      <w:r>
        <w:t>wrong;</w:t>
      </w:r>
      <w:proofErr w:type="gramEnd"/>
    </w:p>
    <w:p w14:paraId="6BB81689" w14:textId="77777777" w:rsidR="00ED3A7E" w:rsidRPr="000550CF" w:rsidRDefault="00ED3A7E" w:rsidP="00F3494E">
      <w:pPr>
        <w:widowControl w:val="0"/>
        <w:ind w:firstLine="720"/>
        <w:jc w:val="both"/>
        <w:rPr>
          <w:szCs w:val="24"/>
        </w:rPr>
      </w:pPr>
      <w:r>
        <w:t xml:space="preserve">5) the submitted programme of operations of the regulated market is insufficient to ensure that the regulated market properly performs its </w:t>
      </w:r>
      <w:proofErr w:type="gramStart"/>
      <w:r>
        <w:t>functions;</w:t>
      </w:r>
      <w:proofErr w:type="gramEnd"/>
    </w:p>
    <w:p w14:paraId="10457CAF" w14:textId="77777777" w:rsidR="00ED3A7E" w:rsidRPr="000550CF" w:rsidRDefault="00ED3A7E" w:rsidP="00F3494E">
      <w:pPr>
        <w:widowControl w:val="0"/>
        <w:ind w:firstLine="720"/>
        <w:jc w:val="both"/>
        <w:rPr>
          <w:szCs w:val="24"/>
        </w:rPr>
      </w:pPr>
      <w:r>
        <w:t>6) the holders of the applicant’s qualifying holding do not meet the conditions set out in Article 60 of this Law.</w:t>
      </w:r>
    </w:p>
    <w:p w14:paraId="54CD033D" w14:textId="77777777" w:rsidR="00ED3A7E" w:rsidRPr="000550CF" w:rsidRDefault="00ED3A7E" w:rsidP="00F3494E">
      <w:pPr>
        <w:widowControl w:val="0"/>
        <w:ind w:firstLine="720"/>
        <w:jc w:val="both"/>
        <w:rPr>
          <w:szCs w:val="24"/>
          <w:lang w:eastAsia="lt-LT"/>
        </w:rPr>
      </w:pPr>
    </w:p>
    <w:p w14:paraId="580227CE" w14:textId="77777777" w:rsidR="00ED3A7E" w:rsidRPr="000550CF" w:rsidRDefault="00ED3A7E" w:rsidP="00F3494E">
      <w:pPr>
        <w:widowControl w:val="0"/>
        <w:ind w:left="2127" w:hanging="1407"/>
        <w:jc w:val="both"/>
        <w:rPr>
          <w:szCs w:val="24"/>
        </w:rPr>
      </w:pPr>
      <w:r>
        <w:rPr>
          <w:b/>
          <w:szCs w:val="24"/>
        </w:rPr>
        <w:t xml:space="preserve">Article 55. Warning about possible suspension of a licence, lifting the warning, suspending and lifting the suspension of a licence, withdrawing a </w:t>
      </w:r>
      <w:proofErr w:type="gramStart"/>
      <w:r>
        <w:rPr>
          <w:b/>
          <w:szCs w:val="24"/>
        </w:rPr>
        <w:t>licence</w:t>
      </w:r>
      <w:proofErr w:type="gramEnd"/>
    </w:p>
    <w:p w14:paraId="65BDF236" w14:textId="77777777" w:rsidR="00ED3A7E" w:rsidRPr="000550CF" w:rsidRDefault="00ED3A7E" w:rsidP="00F3494E">
      <w:pPr>
        <w:widowControl w:val="0"/>
        <w:ind w:firstLine="720"/>
        <w:jc w:val="both"/>
        <w:rPr>
          <w:szCs w:val="24"/>
        </w:rPr>
      </w:pPr>
      <w:r>
        <w:t>1. A market operator shall be warned about possible suspension of a license of a regulated market for infringements of the licensed activity conditions.</w:t>
      </w:r>
    </w:p>
    <w:p w14:paraId="4301DC6E" w14:textId="77777777" w:rsidR="00ED3A7E" w:rsidRPr="000550CF" w:rsidRDefault="00ED3A7E" w:rsidP="00F3494E">
      <w:pPr>
        <w:widowControl w:val="0"/>
        <w:ind w:firstLine="720"/>
        <w:jc w:val="both"/>
        <w:rPr>
          <w:szCs w:val="24"/>
        </w:rPr>
      </w:pPr>
      <w:r>
        <w:t xml:space="preserve">2. The supervisory authority, having taken a decision whereby a market operator is warned about the possible suspension of its licence, shall, within three business days of the date of taking such decision, notify about that the market operator, indicate the </w:t>
      </w:r>
      <w:proofErr w:type="gramStart"/>
      <w:r>
        <w:t>infringements</w:t>
      </w:r>
      <w:proofErr w:type="gramEnd"/>
      <w:r>
        <w:t xml:space="preserve"> and set the time limit </w:t>
      </w:r>
      <w:r>
        <w:lastRenderedPageBreak/>
        <w:t>not exceeding two months during which the market operator must eliminate the identified infringements.</w:t>
      </w:r>
    </w:p>
    <w:p w14:paraId="3972477F" w14:textId="77777777" w:rsidR="00ED3A7E" w:rsidRPr="000550CF" w:rsidRDefault="00ED3A7E" w:rsidP="00F3494E">
      <w:pPr>
        <w:widowControl w:val="0"/>
        <w:ind w:firstLine="720"/>
        <w:jc w:val="both"/>
        <w:rPr>
          <w:szCs w:val="24"/>
        </w:rPr>
      </w:pPr>
      <w:r>
        <w:t>3. A market operator, having eliminated the infringements, must notify about that the supervisory authority and the latter shall verify this information, within five business days of receiving the notification about the eliminated infringements, and take the decision to lift the warning about possible suspension of a licence, provided that all infringements were eliminated within the fixed time limit, and, no later than within three working days of taking the decision, inform about that the market operator.</w:t>
      </w:r>
    </w:p>
    <w:p w14:paraId="702D9D50" w14:textId="77777777" w:rsidR="00ED3A7E" w:rsidRPr="000550CF" w:rsidRDefault="00ED3A7E" w:rsidP="00F3494E">
      <w:pPr>
        <w:widowControl w:val="0"/>
        <w:ind w:firstLine="720"/>
        <w:jc w:val="both"/>
        <w:rPr>
          <w:szCs w:val="24"/>
        </w:rPr>
      </w:pPr>
      <w:r>
        <w:t>4. A licence shall be suspended where:</w:t>
      </w:r>
    </w:p>
    <w:p w14:paraId="20F8FF86" w14:textId="77777777" w:rsidR="00ED3A7E" w:rsidRPr="000550CF" w:rsidRDefault="00ED3A7E" w:rsidP="00F3494E">
      <w:pPr>
        <w:widowControl w:val="0"/>
        <w:ind w:firstLine="720"/>
        <w:jc w:val="both"/>
        <w:rPr>
          <w:szCs w:val="24"/>
        </w:rPr>
      </w:pPr>
      <w:r>
        <w:t xml:space="preserve">1) the market operator, which has been warned about possible suspension of a licence, fails to eliminate the identified infringements in a timely </w:t>
      </w:r>
      <w:proofErr w:type="gramStart"/>
      <w:r>
        <w:t>manner;</w:t>
      </w:r>
      <w:proofErr w:type="gramEnd"/>
    </w:p>
    <w:p w14:paraId="0B6F7C18" w14:textId="77777777" w:rsidR="00ED3A7E" w:rsidRPr="000550CF" w:rsidRDefault="00ED3A7E" w:rsidP="00165BCB">
      <w:pPr>
        <w:widowControl w:val="0"/>
        <w:ind w:firstLine="720"/>
        <w:jc w:val="both"/>
        <w:rPr>
          <w:szCs w:val="24"/>
        </w:rPr>
      </w:pPr>
      <w:r>
        <w:t>2) on other grounds set out in Article 112(1) of this Law.</w:t>
      </w:r>
    </w:p>
    <w:p w14:paraId="4EF851FA" w14:textId="77777777" w:rsidR="00ED3A7E" w:rsidRPr="000550CF" w:rsidRDefault="00ED3A7E" w:rsidP="00165BCB">
      <w:pPr>
        <w:widowControl w:val="0"/>
        <w:ind w:firstLine="720"/>
        <w:jc w:val="both"/>
        <w:rPr>
          <w:szCs w:val="24"/>
        </w:rPr>
      </w:pPr>
      <w:r>
        <w:t xml:space="preserve">5. The supervisory authority, having taken a licence suspension decision shall inform about that the market operator within three business days of taking the decision and shall indicate the infringements and set the time limit not exceeding two months for the market operator to eliminate the identified infringements. </w:t>
      </w:r>
    </w:p>
    <w:p w14:paraId="276DB292" w14:textId="77777777" w:rsidR="00ED3A7E" w:rsidRPr="000550CF" w:rsidRDefault="00ED3A7E" w:rsidP="00F3494E">
      <w:pPr>
        <w:widowControl w:val="0"/>
        <w:ind w:firstLine="720"/>
        <w:jc w:val="both"/>
        <w:rPr>
          <w:szCs w:val="24"/>
        </w:rPr>
      </w:pPr>
      <w:r>
        <w:t>6. A market operator, having eliminated the infringements regarding which the licence suspension decision was taken, must notify about that the supervisory authority and the latter shall verify this information, within five business days of receiving the notification about the eliminated infringements, and take the decision to cancel the licence suspension, provided that all infringements were eliminated within the fixed time limit, and, no later than within three working days of taking the decision, inform about that the market operator.</w:t>
      </w:r>
    </w:p>
    <w:p w14:paraId="36686135" w14:textId="77777777" w:rsidR="00ED3A7E" w:rsidRPr="000550CF" w:rsidRDefault="00ED3A7E" w:rsidP="00F3494E">
      <w:pPr>
        <w:widowControl w:val="0"/>
        <w:ind w:firstLine="720"/>
        <w:jc w:val="both"/>
        <w:rPr>
          <w:szCs w:val="24"/>
        </w:rPr>
      </w:pPr>
      <w:r>
        <w:t>7. The supervisory authority shall have the right to withdraw a license of a regulated market issued by it:</w:t>
      </w:r>
    </w:p>
    <w:p w14:paraId="5D6603BF" w14:textId="77777777" w:rsidR="00ED3A7E" w:rsidRPr="000550CF" w:rsidRDefault="00ED3A7E" w:rsidP="00F3494E">
      <w:pPr>
        <w:ind w:firstLine="720"/>
        <w:jc w:val="both"/>
      </w:pPr>
      <w:r>
        <w:t xml:space="preserve">1) where a market operator does not make use of the rights conferred by the licence within twelve months of the issue of the license, renounces the licence or does not exercise the rights conferred by the licence for the preceding six </w:t>
      </w:r>
      <w:proofErr w:type="gramStart"/>
      <w:r>
        <w:t>months;</w:t>
      </w:r>
      <w:proofErr w:type="gramEnd"/>
    </w:p>
    <w:p w14:paraId="2DAA99E5" w14:textId="77777777" w:rsidR="00ED3A7E" w:rsidRPr="000550CF" w:rsidRDefault="00ED3A7E" w:rsidP="00F3494E">
      <w:pPr>
        <w:widowControl w:val="0"/>
        <w:ind w:firstLine="720"/>
        <w:jc w:val="both"/>
        <w:rPr>
          <w:szCs w:val="24"/>
        </w:rPr>
      </w:pPr>
      <w:r>
        <w:t xml:space="preserve">2) where the market operator has obtained the license by making false statements, documents or information or by any other irregular </w:t>
      </w:r>
      <w:proofErr w:type="gramStart"/>
      <w:r>
        <w:t>means;</w:t>
      </w:r>
      <w:proofErr w:type="gramEnd"/>
    </w:p>
    <w:p w14:paraId="04DEA210" w14:textId="77777777" w:rsidR="00ED3A7E" w:rsidRPr="000550CF" w:rsidRDefault="00ED3A7E" w:rsidP="00F3494E">
      <w:pPr>
        <w:widowControl w:val="0"/>
        <w:ind w:firstLine="720"/>
        <w:jc w:val="both"/>
        <w:rPr>
          <w:szCs w:val="24"/>
        </w:rPr>
      </w:pPr>
      <w:r>
        <w:t xml:space="preserve">3) where the market operator no longer meets the conditions under which the licence was </w:t>
      </w:r>
      <w:proofErr w:type="gramStart"/>
      <w:r>
        <w:t>issued;</w:t>
      </w:r>
      <w:proofErr w:type="gramEnd"/>
    </w:p>
    <w:p w14:paraId="6BFBF84E" w14:textId="77777777" w:rsidR="00ED3A7E" w:rsidRPr="000550CF" w:rsidRDefault="00ED3A7E" w:rsidP="00F3494E">
      <w:pPr>
        <w:widowControl w:val="0"/>
        <w:ind w:firstLine="720"/>
        <w:jc w:val="both"/>
        <w:rPr>
          <w:szCs w:val="24"/>
        </w:rPr>
      </w:pPr>
      <w:r>
        <w:t xml:space="preserve">4) where requirements of provisions of this Law or Regulation (EU) No 600/2014 were seriously infringed repeatedly within one year after application of a </w:t>
      </w:r>
      <w:proofErr w:type="gramStart"/>
      <w:r>
        <w:t>sanction;</w:t>
      </w:r>
      <w:proofErr w:type="gramEnd"/>
    </w:p>
    <w:p w14:paraId="3C71C6E4" w14:textId="77777777" w:rsidR="00ED3A7E" w:rsidRPr="000550CF" w:rsidRDefault="00ED3A7E" w:rsidP="00F3494E">
      <w:pPr>
        <w:widowControl w:val="0"/>
        <w:ind w:firstLine="720"/>
        <w:jc w:val="both"/>
        <w:rPr>
          <w:szCs w:val="24"/>
        </w:rPr>
      </w:pPr>
      <w:r>
        <w:t>5) on other grounds established by laws.</w:t>
      </w:r>
    </w:p>
    <w:p w14:paraId="73E7EAB9" w14:textId="77777777" w:rsidR="00ED3A7E" w:rsidRPr="000550CF" w:rsidRDefault="00ED3A7E" w:rsidP="00F3494E">
      <w:pPr>
        <w:widowControl w:val="0"/>
        <w:ind w:firstLine="720"/>
        <w:jc w:val="both"/>
        <w:rPr>
          <w:szCs w:val="24"/>
        </w:rPr>
      </w:pPr>
      <w:r>
        <w:t xml:space="preserve">8. A serious infringement for the purposes of point 4 of paragraph 7 of this Article, shall be the market operator’s actions which infringe provisions of this Law or Regulation (EU) No 600/2014 and as a result of which the market operator liable for the infringement has avoided, in his own or others’ interests, significant material damage or gained significant material benefits, or has caused large material damage to third parties, or threat to the stability and soundness of financial market. Material damage or material benefit shall </w:t>
      </w:r>
      <w:proofErr w:type="gramStart"/>
      <w:r>
        <w:t>be considered to be</w:t>
      </w:r>
      <w:proofErr w:type="gramEnd"/>
      <w:r>
        <w:t xml:space="preserve"> significant when its value exceeds the sum total of base amounts of 250 fines and penalties.</w:t>
      </w:r>
    </w:p>
    <w:p w14:paraId="2324A981" w14:textId="77777777" w:rsidR="00ED3A7E" w:rsidRPr="000550CF" w:rsidRDefault="00ED3A7E" w:rsidP="00F3494E">
      <w:pPr>
        <w:widowControl w:val="0"/>
        <w:ind w:firstLine="720"/>
        <w:jc w:val="both"/>
        <w:rPr>
          <w:szCs w:val="24"/>
        </w:rPr>
      </w:pPr>
      <w:r>
        <w:t>9. The supervisory authority shall notify to the European Securities and Markets Authority each case of withdrawal of a licence of a regulated market.</w:t>
      </w:r>
    </w:p>
    <w:p w14:paraId="50877BB9" w14:textId="77777777" w:rsidR="00ED3A7E" w:rsidRPr="000550CF" w:rsidRDefault="00ED3A7E" w:rsidP="00F3494E">
      <w:pPr>
        <w:widowControl w:val="0"/>
        <w:ind w:firstLine="720"/>
        <w:jc w:val="both"/>
        <w:rPr>
          <w:szCs w:val="24"/>
          <w:lang w:eastAsia="lt-LT"/>
        </w:rPr>
      </w:pPr>
    </w:p>
    <w:p w14:paraId="78A25B72" w14:textId="77777777" w:rsidR="00ED3A7E" w:rsidRPr="000550CF" w:rsidRDefault="00ED3A7E" w:rsidP="00F3494E">
      <w:pPr>
        <w:widowControl w:val="0"/>
        <w:ind w:firstLine="720"/>
        <w:jc w:val="both"/>
        <w:rPr>
          <w:szCs w:val="24"/>
        </w:rPr>
      </w:pPr>
      <w:r>
        <w:rPr>
          <w:b/>
          <w:szCs w:val="24"/>
        </w:rPr>
        <w:t xml:space="preserve">Article 56. Obligations of a market operator </w:t>
      </w:r>
    </w:p>
    <w:p w14:paraId="079B0C32" w14:textId="77777777" w:rsidR="00ED3A7E" w:rsidRPr="000550CF" w:rsidRDefault="00ED3A7E" w:rsidP="00F3494E">
      <w:pPr>
        <w:widowControl w:val="0"/>
        <w:ind w:firstLine="720"/>
        <w:jc w:val="both"/>
        <w:rPr>
          <w:szCs w:val="24"/>
        </w:rPr>
      </w:pPr>
      <w:r>
        <w:t>1. A</w:t>
      </w:r>
      <w:r>
        <w:rPr>
          <w:b/>
          <w:szCs w:val="24"/>
        </w:rPr>
        <w:t xml:space="preserve"> </w:t>
      </w:r>
      <w:r>
        <w:t>market operator must:</w:t>
      </w:r>
    </w:p>
    <w:p w14:paraId="622F7D4E" w14:textId="77777777" w:rsidR="00ED3A7E" w:rsidRPr="000550CF" w:rsidRDefault="00ED3A7E" w:rsidP="00F3494E">
      <w:pPr>
        <w:widowControl w:val="0"/>
        <w:ind w:firstLine="720"/>
        <w:jc w:val="both"/>
        <w:rPr>
          <w:szCs w:val="24"/>
        </w:rPr>
      </w:pPr>
      <w:r>
        <w:t xml:space="preserve">1) organise trading in financial instruments, their admission to trading and quotations on the regulated market, safe and efficient conclusion of the </w:t>
      </w:r>
      <w:proofErr w:type="gramStart"/>
      <w:r>
        <w:t>transactions;</w:t>
      </w:r>
      <w:proofErr w:type="gramEnd"/>
    </w:p>
    <w:p w14:paraId="52E6FA71" w14:textId="77777777" w:rsidR="00ED3A7E" w:rsidRPr="000550CF" w:rsidRDefault="00ED3A7E" w:rsidP="00F3494E">
      <w:pPr>
        <w:ind w:firstLine="720"/>
        <w:jc w:val="both"/>
      </w:pPr>
      <w:r>
        <w:t xml:space="preserve">2) promote fair trade in financial instruments and seek to prevent market manipulation and other unfair acts, establish settlement </w:t>
      </w:r>
      <w:proofErr w:type="gramStart"/>
      <w:r>
        <w:t>terms;</w:t>
      </w:r>
      <w:proofErr w:type="gramEnd"/>
    </w:p>
    <w:p w14:paraId="0222AA7B" w14:textId="77777777" w:rsidR="00ED3A7E" w:rsidRPr="000550CF" w:rsidRDefault="00ED3A7E" w:rsidP="00F3494E">
      <w:pPr>
        <w:widowControl w:val="0"/>
        <w:ind w:firstLine="720"/>
        <w:jc w:val="both"/>
        <w:rPr>
          <w:szCs w:val="24"/>
        </w:rPr>
      </w:pPr>
      <w:r>
        <w:t xml:space="preserve">3) make public the information ensuring the compliance with the pre-trade or post-trade transparency requirements applied to the regulated </w:t>
      </w:r>
      <w:proofErr w:type="gramStart"/>
      <w:r>
        <w:t>market;</w:t>
      </w:r>
      <w:proofErr w:type="gramEnd"/>
    </w:p>
    <w:p w14:paraId="06F2D39B" w14:textId="77777777" w:rsidR="00ED3A7E" w:rsidRPr="000550CF" w:rsidRDefault="00ED3A7E" w:rsidP="00F3494E">
      <w:pPr>
        <w:widowControl w:val="0"/>
        <w:ind w:firstLine="720"/>
        <w:jc w:val="both"/>
        <w:rPr>
          <w:szCs w:val="24"/>
        </w:rPr>
      </w:pPr>
      <w:r>
        <w:lastRenderedPageBreak/>
        <w:t>4) ensure the safety of the confidential information and exercise internal control.</w:t>
      </w:r>
    </w:p>
    <w:p w14:paraId="2CAC8727" w14:textId="77777777" w:rsidR="00ED3A7E" w:rsidRPr="000550CF" w:rsidRDefault="00ED3A7E" w:rsidP="00F3494E">
      <w:pPr>
        <w:widowControl w:val="0"/>
        <w:ind w:firstLine="720"/>
        <w:jc w:val="both"/>
        <w:rPr>
          <w:szCs w:val="24"/>
        </w:rPr>
      </w:pPr>
      <w:r>
        <w:t>2. A</w:t>
      </w:r>
      <w:r>
        <w:rPr>
          <w:b/>
          <w:szCs w:val="24"/>
        </w:rPr>
        <w:t xml:space="preserve"> </w:t>
      </w:r>
      <w:r>
        <w:t>market operator may perform only such activities that are directly related to the activities specified in the licence of the regulated market and the market operator’s duties specified in this Law.</w:t>
      </w:r>
    </w:p>
    <w:p w14:paraId="71C9A338" w14:textId="77777777" w:rsidR="00ED3A7E" w:rsidRPr="000550CF" w:rsidRDefault="00ED3A7E" w:rsidP="00F3494E">
      <w:pPr>
        <w:widowControl w:val="0"/>
        <w:ind w:firstLine="720"/>
        <w:jc w:val="both"/>
        <w:rPr>
          <w:szCs w:val="24"/>
        </w:rPr>
      </w:pPr>
      <w:r>
        <w:t>3. The Code of Governance of companies whose securities are admitted to trading on a regulated market shall be drafted and approved by the market operator. Prior to the approval of such Code, the market operator shall obtain the approval of the supervisory authority.</w:t>
      </w:r>
    </w:p>
    <w:p w14:paraId="468FFE27" w14:textId="059F5CC0" w:rsidR="006002AA" w:rsidRPr="006002AA" w:rsidRDefault="00ED3A7E" w:rsidP="006002AA">
      <w:pPr>
        <w:spacing w:line="360" w:lineRule="atLeast"/>
        <w:ind w:firstLine="720"/>
        <w:jc w:val="both"/>
        <w:rPr>
          <w:color w:val="000000"/>
          <w:szCs w:val="24"/>
        </w:rPr>
      </w:pPr>
      <w:r>
        <w:t xml:space="preserve">4.  </w:t>
      </w:r>
      <w:r>
        <w:rPr>
          <w:color w:val="000000"/>
          <w:szCs w:val="24"/>
        </w:rPr>
        <w:t> The market operator shall immediately, but no later than within 2 business days, notify the supervisory authority and shall, no later than within 5 business days from the date of notification, submit to it a plan of actions and measures to remedy the situation where the initial capital of the market operator becomes less than the minimum amount established by this Law and/or the market operator’s own funds fall below than the minimum amount established by this Law.</w:t>
      </w:r>
    </w:p>
    <w:p w14:paraId="1D16014D" w14:textId="77777777" w:rsidR="006002AA" w:rsidRDefault="006002AA" w:rsidP="006002AA">
      <w:pPr>
        <w:rPr>
          <w:color w:val="000000"/>
          <w:sz w:val="27"/>
          <w:szCs w:val="27"/>
        </w:rPr>
      </w:pPr>
      <w:r>
        <w:rPr>
          <w:i/>
          <w:iCs/>
          <w:color w:val="000000"/>
          <w:sz w:val="20"/>
        </w:rPr>
        <w:t>Amendments to the paragraph of the Article:</w:t>
      </w:r>
    </w:p>
    <w:p w14:paraId="703CA65C" w14:textId="77777777" w:rsidR="006002AA" w:rsidRDefault="006002AA" w:rsidP="006002AA">
      <w:pPr>
        <w:jc w:val="both"/>
        <w:rPr>
          <w:color w:val="000000"/>
          <w:sz w:val="27"/>
          <w:szCs w:val="27"/>
        </w:rPr>
      </w:pPr>
      <w:r>
        <w:rPr>
          <w:i/>
          <w:iCs/>
          <w:color w:val="000000"/>
          <w:sz w:val="20"/>
        </w:rPr>
        <w:t xml:space="preserve">No </w:t>
      </w:r>
      <w:hyperlink r:id="rId122" w:tgtFrame="_parent" w:history="1">
        <w:r>
          <w:rPr>
            <w:rStyle w:val="Hyperlink"/>
            <w:i/>
            <w:iCs/>
            <w:sz w:val="20"/>
          </w:rPr>
          <w:t>XIII-2358</w:t>
        </w:r>
      </w:hyperlink>
      <w:r>
        <w:rPr>
          <w:i/>
          <w:iCs/>
          <w:color w:val="000000"/>
          <w:sz w:val="20"/>
        </w:rPr>
        <w:t>, 16/07/2019, published in the RLA, 19/07/2019, ID code 2019-11980</w:t>
      </w:r>
    </w:p>
    <w:p w14:paraId="5F8797E9" w14:textId="61C70AE2" w:rsidR="00ED3A7E" w:rsidRPr="000550CF" w:rsidRDefault="00ED3A7E" w:rsidP="00F3494E">
      <w:pPr>
        <w:ind w:firstLine="720"/>
        <w:jc w:val="both"/>
        <w:rPr>
          <w:lang w:eastAsia="lt-LT"/>
        </w:rPr>
      </w:pPr>
    </w:p>
    <w:p w14:paraId="18E7E0A6" w14:textId="43974AD7" w:rsidR="006002AA" w:rsidRPr="006002AA" w:rsidRDefault="00ED3A7E" w:rsidP="006002AA">
      <w:pPr>
        <w:spacing w:line="360" w:lineRule="atLeast"/>
        <w:ind w:firstLine="720"/>
        <w:jc w:val="both"/>
        <w:rPr>
          <w:color w:val="000000"/>
          <w:szCs w:val="24"/>
        </w:rPr>
      </w:pPr>
      <w:r>
        <w:t xml:space="preserve">5.  </w:t>
      </w:r>
      <w:r>
        <w:rPr>
          <w:color w:val="000000"/>
          <w:szCs w:val="24"/>
        </w:rPr>
        <w:t>A market operator must have in place appropriate arrangements for its employees to report to the managers or other authorised persons of the market operator on committed or possible infringement of this Law, its implementing legislation, Regulation (EU) No 600/2014, Regulation (EU) 2017/1129 and legal acts adopted on their basis, via a dedicated, independent and autonomous channel.  A market operator may involve third parties for the implementation of this requirement. These measures shall be subject to the requirements of Article 43</w:t>
      </w:r>
      <w:r>
        <w:rPr>
          <w:color w:val="000000"/>
          <w:szCs w:val="24"/>
          <w:vertAlign w:val="superscript"/>
        </w:rPr>
        <w:t>7</w:t>
      </w:r>
      <w:r>
        <w:rPr>
          <w:color w:val="000000"/>
          <w:szCs w:val="24"/>
        </w:rPr>
        <w:t>(1) of the Law on the Bank of Lithuania.</w:t>
      </w:r>
    </w:p>
    <w:p w14:paraId="12A1F25C" w14:textId="77777777" w:rsidR="006002AA" w:rsidRDefault="006002AA" w:rsidP="006002AA">
      <w:pPr>
        <w:rPr>
          <w:color w:val="000000"/>
          <w:sz w:val="27"/>
          <w:szCs w:val="27"/>
        </w:rPr>
      </w:pPr>
      <w:r>
        <w:rPr>
          <w:i/>
          <w:iCs/>
          <w:color w:val="000000"/>
          <w:sz w:val="20"/>
        </w:rPr>
        <w:t>Amendments to the paragraph of the Article:</w:t>
      </w:r>
    </w:p>
    <w:p w14:paraId="69DB73C8" w14:textId="77777777" w:rsidR="006002AA" w:rsidRDefault="006002AA" w:rsidP="006002AA">
      <w:pPr>
        <w:jc w:val="both"/>
        <w:rPr>
          <w:color w:val="000000"/>
          <w:sz w:val="27"/>
          <w:szCs w:val="27"/>
        </w:rPr>
      </w:pPr>
      <w:r>
        <w:rPr>
          <w:i/>
          <w:iCs/>
          <w:color w:val="000000"/>
          <w:sz w:val="20"/>
        </w:rPr>
        <w:t xml:space="preserve">No </w:t>
      </w:r>
      <w:hyperlink r:id="rId123" w:tgtFrame="_parent" w:history="1">
        <w:r>
          <w:rPr>
            <w:rStyle w:val="Hyperlink"/>
            <w:i/>
            <w:iCs/>
            <w:sz w:val="20"/>
          </w:rPr>
          <w:t>XIII-2358</w:t>
        </w:r>
      </w:hyperlink>
      <w:r>
        <w:rPr>
          <w:i/>
          <w:iCs/>
          <w:color w:val="000000"/>
          <w:sz w:val="20"/>
        </w:rPr>
        <w:t>, 16/07/2019, published in the RLA, 19/07/2019, ID code 2019-11980</w:t>
      </w:r>
    </w:p>
    <w:p w14:paraId="6FDBB1EA" w14:textId="1E1EE962" w:rsidR="00ED3A7E" w:rsidRPr="000550CF" w:rsidRDefault="00ED3A7E" w:rsidP="00F3494E">
      <w:pPr>
        <w:widowControl w:val="0"/>
        <w:ind w:firstLine="720"/>
        <w:jc w:val="both"/>
        <w:rPr>
          <w:szCs w:val="24"/>
          <w:lang w:eastAsia="lt-LT"/>
        </w:rPr>
      </w:pPr>
    </w:p>
    <w:p w14:paraId="5A4549E7" w14:textId="77777777" w:rsidR="00ED3A7E" w:rsidRPr="000550CF" w:rsidRDefault="00ED3A7E" w:rsidP="00F3494E">
      <w:pPr>
        <w:widowControl w:val="0"/>
        <w:ind w:firstLine="720"/>
        <w:jc w:val="both"/>
        <w:rPr>
          <w:szCs w:val="24"/>
        </w:rPr>
      </w:pPr>
      <w:r>
        <w:t>6. The supervisory authority shall supervise the compliance by the market operator with the requirements for obtaining a licence of a regulated market and other requirements for the market operator’s activities.</w:t>
      </w:r>
    </w:p>
    <w:p w14:paraId="2F311256" w14:textId="77777777" w:rsidR="00ED3A7E" w:rsidRPr="000550CF" w:rsidRDefault="00ED3A7E" w:rsidP="00F3494E">
      <w:pPr>
        <w:widowControl w:val="0"/>
        <w:ind w:firstLine="720"/>
        <w:rPr>
          <w:szCs w:val="24"/>
          <w:lang w:eastAsia="lt-LT"/>
        </w:rPr>
      </w:pPr>
    </w:p>
    <w:p w14:paraId="08994AE8" w14:textId="77777777" w:rsidR="00ED3A7E" w:rsidRPr="000550CF" w:rsidRDefault="00ED3A7E" w:rsidP="00F3494E">
      <w:pPr>
        <w:widowControl w:val="0"/>
        <w:ind w:firstLine="720"/>
        <w:rPr>
          <w:szCs w:val="24"/>
        </w:rPr>
      </w:pPr>
      <w:r>
        <w:rPr>
          <w:b/>
          <w:szCs w:val="24"/>
        </w:rPr>
        <w:t>Article 57. Management of a market operator</w:t>
      </w:r>
    </w:p>
    <w:p w14:paraId="7BDB5BB4" w14:textId="77777777" w:rsidR="00ED3A7E" w:rsidRPr="000550CF" w:rsidRDefault="00ED3A7E" w:rsidP="00F3494E">
      <w:pPr>
        <w:widowControl w:val="0"/>
        <w:ind w:firstLine="720"/>
        <w:jc w:val="both"/>
        <w:rPr>
          <w:szCs w:val="24"/>
        </w:rPr>
      </w:pPr>
      <w:r>
        <w:t>1. A market operator of a regulated market shall have a collegial management body – the board.</w:t>
      </w:r>
    </w:p>
    <w:p w14:paraId="2959F5CA" w14:textId="77777777" w:rsidR="00ED3A7E" w:rsidRPr="000550CF" w:rsidRDefault="00ED3A7E" w:rsidP="00F3494E">
      <w:pPr>
        <w:widowControl w:val="0"/>
        <w:ind w:firstLine="720"/>
        <w:jc w:val="both"/>
        <w:rPr>
          <w:szCs w:val="24"/>
        </w:rPr>
      </w:pPr>
      <w:r>
        <w:t>2. A representative of the supervisory authority shall have the right to participate, in an advisory capacity, at the meetings of the market operator’s management bodies and be provided with the materials provided to the participants of the meeting.</w:t>
      </w:r>
    </w:p>
    <w:p w14:paraId="7B370159" w14:textId="77777777" w:rsidR="00ED3A7E" w:rsidRPr="000550CF" w:rsidRDefault="00ED3A7E" w:rsidP="00F3494E">
      <w:pPr>
        <w:widowControl w:val="0"/>
        <w:ind w:firstLine="720"/>
        <w:rPr>
          <w:szCs w:val="24"/>
          <w:lang w:eastAsia="lt-LT"/>
        </w:rPr>
      </w:pPr>
    </w:p>
    <w:p w14:paraId="083BB1AA" w14:textId="77777777" w:rsidR="00ED3A7E" w:rsidRPr="000550CF" w:rsidRDefault="00ED3A7E" w:rsidP="00F3494E">
      <w:pPr>
        <w:widowControl w:val="0"/>
        <w:ind w:firstLine="720"/>
        <w:rPr>
          <w:szCs w:val="24"/>
        </w:rPr>
      </w:pPr>
      <w:r>
        <w:rPr>
          <w:b/>
          <w:szCs w:val="24"/>
        </w:rPr>
        <w:t>Article 58. Managers of a market operator</w:t>
      </w:r>
    </w:p>
    <w:p w14:paraId="2744F603" w14:textId="77777777" w:rsidR="001C276B" w:rsidRDefault="001C276B" w:rsidP="001C276B">
      <w:pPr>
        <w:spacing w:line="360" w:lineRule="atLeast"/>
        <w:ind w:firstLine="720"/>
        <w:jc w:val="both"/>
        <w:rPr>
          <w:color w:val="000000"/>
        </w:rPr>
      </w:pPr>
      <w:r>
        <w:rPr>
          <w:color w:val="000000"/>
        </w:rPr>
        <w:t>1. Managers of a market operator shall be of sufficiently good repute, possess sufficient knowledge, skills and excellence to perform their duties and understand the activities of a market operator, including the risks that the market operator is and may be exposed to.  The qualifications and work experience of market operator managers shall be assessed taking into account the level and nature of a person’s education, skills improvement, the nature and duration of professional activity or work experience, and other factors that may affect a person’s qualifications and work experience. A market operator shall provide the supervisory authority with information about the managers of the market operator, and shall notify on any subsequent changes in the information provided, also shall provide all the information necessary for assessing whether the market operator meets the requirements set forth in this Article and in Article 59 of this Law.</w:t>
      </w:r>
    </w:p>
    <w:p w14:paraId="1B9E9859" w14:textId="77777777" w:rsidR="001C276B" w:rsidRDefault="001C276B" w:rsidP="001C276B">
      <w:pPr>
        <w:spacing w:line="360" w:lineRule="atLeast"/>
        <w:ind w:firstLine="720"/>
        <w:jc w:val="both"/>
        <w:rPr>
          <w:color w:val="000000"/>
        </w:rPr>
      </w:pPr>
      <w:bookmarkStart w:id="193" w:name="part_7fe11245c06f42d2b7b18129cac6bf37"/>
      <w:bookmarkEnd w:id="193"/>
      <w:r>
        <w:rPr>
          <w:color w:val="000000"/>
        </w:rPr>
        <w:lastRenderedPageBreak/>
        <w:t>2. A market operator shall provide to the supervisory authority the information about the candidatures of the market operator’s managers. The supervisory authority shall have the right to object to the candidatures of the market operator’s managers where there are grounds for believing that they would pose a threat to the transparent and sound management of the regulated market and operation.</w:t>
      </w:r>
    </w:p>
    <w:p w14:paraId="2E475E35" w14:textId="77777777" w:rsidR="001C276B" w:rsidRDefault="001C276B" w:rsidP="001C276B">
      <w:pPr>
        <w:spacing w:line="360" w:lineRule="atLeast"/>
        <w:ind w:firstLine="720"/>
        <w:jc w:val="both"/>
        <w:rPr>
          <w:color w:val="000000"/>
        </w:rPr>
      </w:pPr>
      <w:bookmarkStart w:id="194" w:name="part_e4635836672f4c8d88be9c350145f770"/>
      <w:bookmarkEnd w:id="194"/>
      <w:r>
        <w:rPr>
          <w:color w:val="000000"/>
        </w:rPr>
        <w:t>3. Managers of a market operator shall be required to:</w:t>
      </w:r>
    </w:p>
    <w:p w14:paraId="02F5E2DC" w14:textId="77777777" w:rsidR="001C276B" w:rsidRDefault="001C276B" w:rsidP="001C276B">
      <w:pPr>
        <w:spacing w:line="360" w:lineRule="atLeast"/>
        <w:ind w:firstLine="720"/>
        <w:jc w:val="both"/>
        <w:rPr>
          <w:color w:val="000000"/>
        </w:rPr>
      </w:pPr>
      <w:bookmarkStart w:id="195" w:name="part_f8ccde5330144f11a77315ec2c643fae"/>
      <w:bookmarkEnd w:id="195"/>
      <w:r>
        <w:rPr>
          <w:color w:val="000000"/>
        </w:rPr>
        <w:t>1) devote sufficient time for performance of their functions.  The number of duties that the manager of a market operator can perform at a time shall be determined taking into account the specific circumstances and the nature, scale and complexity of the market operator’s activities;</w:t>
      </w:r>
    </w:p>
    <w:p w14:paraId="2E0CCFF7" w14:textId="77777777" w:rsidR="001C276B" w:rsidRDefault="001C276B" w:rsidP="001C276B">
      <w:pPr>
        <w:spacing w:line="360" w:lineRule="atLeast"/>
        <w:ind w:firstLine="720"/>
        <w:jc w:val="both"/>
        <w:rPr>
          <w:color w:val="000000"/>
        </w:rPr>
      </w:pPr>
      <w:bookmarkStart w:id="196" w:name="part_cc4c2013013b4200aab7bf583b0a9a03"/>
      <w:bookmarkEnd w:id="196"/>
      <w:r>
        <w:rPr>
          <w:color w:val="000000"/>
        </w:rPr>
        <w:t>2) act in good faith, decently and independently in order to effectively assess and challenge decisions of senior management when necessary, and to effectively supervise and monitor how decisions are adopted.</w:t>
      </w:r>
    </w:p>
    <w:p w14:paraId="3C92F97F" w14:textId="77777777" w:rsidR="001C276B" w:rsidRDefault="001C276B" w:rsidP="001C276B">
      <w:pPr>
        <w:spacing w:line="360" w:lineRule="atLeast"/>
        <w:ind w:firstLine="720"/>
        <w:jc w:val="both"/>
        <w:rPr>
          <w:color w:val="000000"/>
        </w:rPr>
      </w:pPr>
      <w:bookmarkStart w:id="197" w:name="part_1302929a50bc422686349ff7b22ea58d"/>
      <w:bookmarkEnd w:id="197"/>
      <w:r>
        <w:rPr>
          <w:color w:val="000000"/>
        </w:rPr>
        <w:t>4. Managers of a market operator shall establish governance arrangements to ensure effective and prudential management of the market operator, including segregation of duties and prevention of conflicts of interest, and shall monitor whether they are implemented in such a way as to promote a sound, safe and fair operation of the market.</w:t>
      </w:r>
    </w:p>
    <w:p w14:paraId="6D7A418B" w14:textId="77777777" w:rsidR="001C276B" w:rsidRDefault="001C276B" w:rsidP="001C276B">
      <w:pPr>
        <w:spacing w:line="360" w:lineRule="atLeast"/>
        <w:ind w:firstLine="720"/>
        <w:jc w:val="both"/>
        <w:rPr>
          <w:color w:val="000000"/>
        </w:rPr>
      </w:pPr>
      <w:bookmarkStart w:id="198" w:name="part_bae179adca974d37bf4cbc39577953bb"/>
      <w:bookmarkEnd w:id="198"/>
      <w:r>
        <w:rPr>
          <w:color w:val="000000"/>
        </w:rPr>
        <w:t>5. Managers of a market operator shall monitor the effectiveness of the market operator’s governance arrangements and shall assess them periodically, and shall take appropriate measures to eliminate deficiencies.</w:t>
      </w:r>
    </w:p>
    <w:p w14:paraId="06316B7C" w14:textId="77777777" w:rsidR="001C276B" w:rsidRDefault="001C276B" w:rsidP="001C276B">
      <w:pPr>
        <w:spacing w:line="360" w:lineRule="atLeast"/>
        <w:ind w:firstLine="720"/>
        <w:jc w:val="both"/>
        <w:rPr>
          <w:color w:val="000000"/>
        </w:rPr>
      </w:pPr>
      <w:bookmarkStart w:id="199" w:name="part_a8b842a9c4f4446fbea745496b50c91c"/>
      <w:bookmarkEnd w:id="199"/>
      <w:r>
        <w:rPr>
          <w:color w:val="000000"/>
        </w:rPr>
        <w:t>6. A market operator shall ensure that the training process for the market operator’s managers is provided in order to achieve the necessary competence of the market operator’s managers, that sufficient human and financial resources are allocated for the initial and subsequent training of the market operator’s managers.</w:t>
      </w:r>
    </w:p>
    <w:p w14:paraId="30F51C6F" w14:textId="77777777" w:rsidR="001C276B" w:rsidRDefault="001C276B" w:rsidP="001C276B">
      <w:pPr>
        <w:spacing w:line="360" w:lineRule="atLeast"/>
        <w:ind w:firstLine="720"/>
        <w:jc w:val="both"/>
        <w:rPr>
          <w:color w:val="000000"/>
        </w:rPr>
      </w:pPr>
      <w:bookmarkStart w:id="200" w:name="part_f31e871e81f442d8864862504ce0b812"/>
      <w:bookmarkEnd w:id="200"/>
      <w:r>
        <w:rPr>
          <w:color w:val="000000"/>
        </w:rPr>
        <w:t>7. A market operator shall ensure that the managers of the market operator are provided with adequate access to information and access to documents that are necessary for supervising and monitoring how management decisions are made.</w:t>
      </w:r>
    </w:p>
    <w:p w14:paraId="4650A47E" w14:textId="77777777" w:rsidR="001C276B" w:rsidRDefault="001C276B" w:rsidP="001C276B">
      <w:pPr>
        <w:spacing w:line="360" w:lineRule="atLeast"/>
        <w:ind w:firstLine="720"/>
        <w:jc w:val="both"/>
        <w:rPr>
          <w:color w:val="000000"/>
        </w:rPr>
      </w:pPr>
      <w:bookmarkStart w:id="201" w:name="part_2f607478c98d4762b8443d5f5f2e5f3c"/>
      <w:bookmarkEnd w:id="201"/>
      <w:r>
        <w:rPr>
          <w:color w:val="000000"/>
        </w:rPr>
        <w:t>8. Managers of market operators recognised as significant under Article 59(5) of this Law may simultaneously hold no more than one combination of the following positions:</w:t>
      </w:r>
    </w:p>
    <w:p w14:paraId="1EC34B45" w14:textId="77777777" w:rsidR="001C276B" w:rsidRDefault="001C276B" w:rsidP="001C276B">
      <w:pPr>
        <w:spacing w:line="360" w:lineRule="atLeast"/>
        <w:ind w:firstLine="720"/>
        <w:jc w:val="both"/>
        <w:rPr>
          <w:color w:val="000000"/>
        </w:rPr>
      </w:pPr>
      <w:bookmarkStart w:id="202" w:name="part_86193a4ba5b043e586d922fab1cee969"/>
      <w:bookmarkEnd w:id="202"/>
      <w:r>
        <w:rPr>
          <w:color w:val="000000"/>
        </w:rPr>
        <w:t>1) a position of one member of the board and two members of the supervisory board;</w:t>
      </w:r>
    </w:p>
    <w:p w14:paraId="452B5335" w14:textId="77777777" w:rsidR="001C276B" w:rsidRDefault="001C276B" w:rsidP="001C276B">
      <w:pPr>
        <w:spacing w:line="360" w:lineRule="atLeast"/>
        <w:ind w:firstLine="720"/>
        <w:jc w:val="both"/>
        <w:rPr>
          <w:color w:val="000000"/>
        </w:rPr>
      </w:pPr>
      <w:bookmarkStart w:id="203" w:name="part_ff1a0fdfe7524791821d00ffe0442ece"/>
      <w:bookmarkEnd w:id="203"/>
      <w:r>
        <w:rPr>
          <w:color w:val="000000"/>
        </w:rPr>
        <w:t>2) a position of four members of the supervisory board.</w:t>
      </w:r>
    </w:p>
    <w:p w14:paraId="2A23FA7D" w14:textId="77777777" w:rsidR="001C276B" w:rsidRDefault="001C276B" w:rsidP="001C276B">
      <w:pPr>
        <w:spacing w:line="360" w:lineRule="atLeast"/>
        <w:ind w:firstLine="720"/>
        <w:jc w:val="both"/>
        <w:rPr>
          <w:color w:val="000000"/>
        </w:rPr>
      </w:pPr>
      <w:bookmarkStart w:id="204" w:name="part_33364bb5c98e460485634354ec87db14"/>
      <w:bookmarkEnd w:id="204"/>
      <w:r>
        <w:rPr>
          <w:color w:val="000000"/>
        </w:rPr>
        <w:t>9. A position of a member of the board or supervisory board held in the same group of undertakings or in companies where the market operator owns a qualified holding in the authorised capital and/or voting rights shall be considered as one position.</w:t>
      </w:r>
    </w:p>
    <w:p w14:paraId="414D45E8" w14:textId="77777777" w:rsidR="001C276B" w:rsidRDefault="001C276B" w:rsidP="001C276B">
      <w:pPr>
        <w:spacing w:line="360" w:lineRule="atLeast"/>
        <w:ind w:firstLine="720"/>
        <w:jc w:val="both"/>
        <w:rPr>
          <w:color w:val="000000"/>
        </w:rPr>
      </w:pPr>
      <w:bookmarkStart w:id="205" w:name="part_722f5e101b5645b49bc6c5a2b283fafe"/>
      <w:bookmarkEnd w:id="205"/>
      <w:r>
        <w:rPr>
          <w:color w:val="000000"/>
        </w:rPr>
        <w:t>10. Under a motivated request of the manager of a market operator, the supervisory authority may allow them to additionally hold a position of a member of the supervisory board if the market operator proves to the supervisory authority that the managers will ensure the proper performance of the duties referred to in paragraph 3 of this Article and this will not cause a conflict of interests.  The supervisory authority shall immediately notify the European Securities and Markets Authority on such permissions.</w:t>
      </w:r>
    </w:p>
    <w:p w14:paraId="4C7FAD79" w14:textId="77777777" w:rsidR="001C276B" w:rsidRDefault="001C276B" w:rsidP="001C276B">
      <w:pPr>
        <w:spacing w:line="360" w:lineRule="atLeast"/>
        <w:ind w:firstLine="720"/>
        <w:jc w:val="both"/>
        <w:rPr>
          <w:color w:val="000000"/>
        </w:rPr>
      </w:pPr>
      <w:bookmarkStart w:id="206" w:name="part_afc3be45d8bc46208e7578775a4cd7d8"/>
      <w:bookmarkEnd w:id="206"/>
      <w:r>
        <w:rPr>
          <w:color w:val="000000"/>
        </w:rPr>
        <w:lastRenderedPageBreak/>
        <w:t>11. The position of a member of the board or supervisory board in taxable non-profit entities, as defined in Article 2(5) of the Republic of Lithuania Law on Corporate Income Tax, or where there is representation of the State, shall not be considered a position for the purposes specified in paragraph 8 of this Article.</w:t>
      </w:r>
    </w:p>
    <w:p w14:paraId="592ECCC7" w14:textId="77777777" w:rsidR="001C276B" w:rsidRDefault="001C276B" w:rsidP="001C276B">
      <w:pPr>
        <w:spacing w:line="360" w:lineRule="atLeast"/>
        <w:ind w:firstLine="720"/>
        <w:jc w:val="both"/>
        <w:rPr>
          <w:color w:val="000000"/>
        </w:rPr>
      </w:pPr>
      <w:bookmarkStart w:id="207" w:name="part_10847e6e64754093a30c7b45f402b4de"/>
      <w:bookmarkEnd w:id="207"/>
      <w:r>
        <w:rPr>
          <w:color w:val="000000"/>
        </w:rPr>
        <w:t>12. The bodies of the market operator and the Nomination Committee, when selecting candidates for the managers of the market operator, shall take into account various personal qualities and skills, thus implementing the policy of promoting the diversity of the members of the management bodies of a market operator.  When selecting candidates for the market operator’s manager position, the market operator’s bodies and the Nomination Committee shall be guided by the recommendations of the European Securities and Markets Authority, based on which the requirements applicable to the members of the management bodies of market operators or data provision service providers are determined.</w:t>
      </w:r>
    </w:p>
    <w:p w14:paraId="7372D59E" w14:textId="77777777" w:rsidR="001C276B" w:rsidRDefault="001C276B" w:rsidP="001C276B">
      <w:pPr>
        <w:rPr>
          <w:color w:val="000000"/>
          <w:sz w:val="27"/>
          <w:szCs w:val="27"/>
        </w:rPr>
      </w:pPr>
      <w:r>
        <w:rPr>
          <w:i/>
          <w:iCs/>
          <w:color w:val="000000"/>
          <w:sz w:val="20"/>
        </w:rPr>
        <w:t>Amendments to Article:</w:t>
      </w:r>
    </w:p>
    <w:p w14:paraId="1779FABF" w14:textId="77777777" w:rsidR="001C276B" w:rsidRDefault="001C276B" w:rsidP="001C276B">
      <w:pPr>
        <w:jc w:val="both"/>
        <w:rPr>
          <w:color w:val="000000"/>
          <w:sz w:val="27"/>
          <w:szCs w:val="27"/>
        </w:rPr>
      </w:pPr>
      <w:r>
        <w:rPr>
          <w:i/>
          <w:iCs/>
          <w:color w:val="000000"/>
          <w:sz w:val="20"/>
        </w:rPr>
        <w:t xml:space="preserve">No </w:t>
      </w:r>
      <w:hyperlink r:id="rId124" w:tgtFrame="_parent" w:history="1">
        <w:r>
          <w:rPr>
            <w:rStyle w:val="Hyperlink"/>
            <w:i/>
            <w:iCs/>
            <w:sz w:val="20"/>
          </w:rPr>
          <w:t>XIII-2358</w:t>
        </w:r>
      </w:hyperlink>
      <w:r>
        <w:rPr>
          <w:i/>
          <w:iCs/>
          <w:color w:val="000000"/>
          <w:sz w:val="20"/>
        </w:rPr>
        <w:t>, 16/07/2019, published in the RLA, 19/07/2019, ID code 2019-11980</w:t>
      </w:r>
    </w:p>
    <w:p w14:paraId="7C69C0B1" w14:textId="77777777" w:rsidR="00ED3A7E" w:rsidRPr="000550CF" w:rsidRDefault="00ED3A7E" w:rsidP="00F3494E">
      <w:pPr>
        <w:widowControl w:val="0"/>
        <w:ind w:firstLine="720"/>
        <w:jc w:val="both"/>
        <w:rPr>
          <w:szCs w:val="24"/>
        </w:rPr>
      </w:pPr>
      <w:r>
        <w:rPr>
          <w:b/>
          <w:szCs w:val="24"/>
        </w:rPr>
        <w:t>Article 59. Nomination committee</w:t>
      </w:r>
    </w:p>
    <w:p w14:paraId="7791773C" w14:textId="6075CA07" w:rsidR="001C276B" w:rsidRPr="001C276B" w:rsidRDefault="00ED3A7E" w:rsidP="001C276B">
      <w:pPr>
        <w:spacing w:line="360" w:lineRule="atLeast"/>
        <w:ind w:firstLine="720"/>
        <w:jc w:val="both"/>
        <w:rPr>
          <w:color w:val="000000"/>
          <w:szCs w:val="24"/>
        </w:rPr>
      </w:pPr>
      <w:r>
        <w:t xml:space="preserve">1. </w:t>
      </w:r>
      <w:r>
        <w:rPr>
          <w:color w:val="000000"/>
          <w:szCs w:val="24"/>
        </w:rPr>
        <w:t>Market operators which are significant in terms of their size, internal organisation and the nature, scope and complexity of their activities shall establish a Nomination Committee. Only members of the supervisory board of a market operator shall be entitled to be members of the Nomination Committee.</w:t>
      </w:r>
    </w:p>
    <w:p w14:paraId="22982A64" w14:textId="77777777" w:rsidR="001C276B" w:rsidRDefault="001C276B" w:rsidP="001C276B">
      <w:pPr>
        <w:rPr>
          <w:color w:val="000000"/>
          <w:sz w:val="27"/>
          <w:szCs w:val="27"/>
        </w:rPr>
      </w:pPr>
      <w:r>
        <w:rPr>
          <w:i/>
          <w:iCs/>
          <w:color w:val="000000"/>
          <w:sz w:val="20"/>
        </w:rPr>
        <w:t>Amendments to the paragraph of the Article:</w:t>
      </w:r>
    </w:p>
    <w:p w14:paraId="429EFFE4" w14:textId="77777777" w:rsidR="001C276B" w:rsidRDefault="001C276B" w:rsidP="001C276B">
      <w:pPr>
        <w:jc w:val="both"/>
        <w:rPr>
          <w:color w:val="000000"/>
          <w:sz w:val="27"/>
          <w:szCs w:val="27"/>
        </w:rPr>
      </w:pPr>
      <w:r>
        <w:rPr>
          <w:i/>
          <w:iCs/>
          <w:color w:val="000000"/>
          <w:sz w:val="20"/>
        </w:rPr>
        <w:t xml:space="preserve">No </w:t>
      </w:r>
      <w:hyperlink r:id="rId125" w:tgtFrame="_parent" w:history="1">
        <w:r>
          <w:rPr>
            <w:rStyle w:val="Hyperlink"/>
            <w:i/>
            <w:iCs/>
            <w:sz w:val="20"/>
          </w:rPr>
          <w:t>XIII-2358</w:t>
        </w:r>
      </w:hyperlink>
      <w:r>
        <w:rPr>
          <w:i/>
          <w:iCs/>
          <w:color w:val="000000"/>
          <w:sz w:val="20"/>
        </w:rPr>
        <w:t>, 16/07/2019, published in the RLA, 19/07/2019, ID code 2019-11980</w:t>
      </w:r>
    </w:p>
    <w:p w14:paraId="001242FC" w14:textId="68CBA531" w:rsidR="00ED3A7E" w:rsidRPr="000550CF" w:rsidRDefault="00ED3A7E" w:rsidP="00F3494E">
      <w:pPr>
        <w:widowControl w:val="0"/>
        <w:ind w:firstLine="720"/>
        <w:jc w:val="both"/>
        <w:rPr>
          <w:szCs w:val="24"/>
          <w:lang w:eastAsia="lt-LT"/>
        </w:rPr>
      </w:pPr>
    </w:p>
    <w:p w14:paraId="57A07A9D" w14:textId="77777777" w:rsidR="00ED3A7E" w:rsidRPr="000550CF" w:rsidRDefault="00ED3A7E" w:rsidP="00F3494E">
      <w:pPr>
        <w:ind w:firstLine="720"/>
        <w:jc w:val="both"/>
        <w:rPr>
          <w:bCs/>
          <w:szCs w:val="24"/>
        </w:rPr>
      </w:pPr>
      <w:r>
        <w:t xml:space="preserve">2. The nomination committee shall carry out the following: </w:t>
      </w:r>
    </w:p>
    <w:p w14:paraId="428CB44D" w14:textId="77777777" w:rsidR="00ED3A7E" w:rsidRPr="000550CF" w:rsidRDefault="00ED3A7E" w:rsidP="00F3494E">
      <w:pPr>
        <w:ind w:firstLine="720"/>
        <w:jc w:val="both"/>
        <w:rPr>
          <w:bCs/>
          <w:szCs w:val="24"/>
        </w:rPr>
      </w:pPr>
      <w:r>
        <w:t xml:space="preserve">1) identify and recommend, for the approval of the management body or for approval of the general meeting, candidates to fill management body vacancies. In doing so, the nomination committee shall evaluate the balance of knowledge, skills, diversity and experience of the management body. Further, the committee shall prepare a description of the roles and capabilities for a particular appointment, and assess the time commitment expected. Furthermore, the nomination committee shall decide on a target for the representation of the underrepresented gender in the management body and prepare a policy on how to increase the number of the underrepresented gender in the management body in order to meet that target; </w:t>
      </w:r>
    </w:p>
    <w:p w14:paraId="2AEDB83A" w14:textId="77777777" w:rsidR="00ED3A7E" w:rsidRPr="000550CF" w:rsidRDefault="00ED3A7E" w:rsidP="00F3494E">
      <w:pPr>
        <w:ind w:firstLine="720"/>
        <w:jc w:val="both"/>
        <w:rPr>
          <w:bCs/>
          <w:szCs w:val="24"/>
        </w:rPr>
      </w:pPr>
      <w:r>
        <w:t xml:space="preserve">2) periodically, and at least annually, assess the management structure, size, composition and performance and make recommendations to the supervisory board with regard to any changes; </w:t>
      </w:r>
    </w:p>
    <w:p w14:paraId="7CC16321" w14:textId="77777777" w:rsidR="00ED3A7E" w:rsidRPr="000550CF" w:rsidRDefault="00ED3A7E" w:rsidP="00F3494E">
      <w:pPr>
        <w:ind w:firstLine="720"/>
        <w:jc w:val="both"/>
        <w:rPr>
          <w:bCs/>
          <w:szCs w:val="24"/>
        </w:rPr>
      </w:pPr>
      <w:r>
        <w:t xml:space="preserve">3) periodically, and at least annually, assess the knowledge, skills and experience of individual members of the management body and of the management body collectively, and report to the supervisory board accordingly; </w:t>
      </w:r>
    </w:p>
    <w:p w14:paraId="2204F5EE" w14:textId="77777777" w:rsidR="00ED3A7E" w:rsidRPr="000550CF" w:rsidRDefault="00ED3A7E" w:rsidP="00F3494E">
      <w:pPr>
        <w:ind w:firstLine="720"/>
        <w:jc w:val="both"/>
        <w:rPr>
          <w:bCs/>
          <w:szCs w:val="24"/>
        </w:rPr>
      </w:pPr>
      <w:r>
        <w:t xml:space="preserve">4) periodically review the policy of the management body for selection and appointment of senior management and make recommendations to the management body. </w:t>
      </w:r>
    </w:p>
    <w:p w14:paraId="335B7890" w14:textId="77777777" w:rsidR="00ED3A7E" w:rsidRPr="000550CF" w:rsidRDefault="00ED3A7E" w:rsidP="00F3494E">
      <w:pPr>
        <w:ind w:firstLine="720"/>
        <w:jc w:val="both"/>
        <w:rPr>
          <w:bCs/>
          <w:szCs w:val="24"/>
        </w:rPr>
      </w:pPr>
      <w:r>
        <w:t xml:space="preserve">3. In performing its duties, the nomination committee shall, to the extent possible and on an ongoing basis, take account of the need to ensure that the management body’s decision making is not dominated by any one individual or small group of individuals in a manner that is detrimental to the interests of the market operator as a whole. </w:t>
      </w:r>
    </w:p>
    <w:p w14:paraId="572D02A1" w14:textId="77777777" w:rsidR="00ED3A7E" w:rsidRPr="000550CF" w:rsidRDefault="00ED3A7E" w:rsidP="00F3494E">
      <w:pPr>
        <w:widowControl w:val="0"/>
        <w:ind w:firstLine="720"/>
        <w:jc w:val="both"/>
        <w:rPr>
          <w:szCs w:val="24"/>
        </w:rPr>
      </w:pPr>
      <w:r>
        <w:t>4. In performing its duties, the nomination committee shall be able to use any available resources it deems appropriate, including external advice.</w:t>
      </w:r>
    </w:p>
    <w:p w14:paraId="78DA4FC9" w14:textId="695C7897" w:rsidR="001C276B" w:rsidRPr="001C276B" w:rsidRDefault="00ED3A7E" w:rsidP="001C276B">
      <w:pPr>
        <w:spacing w:line="360" w:lineRule="atLeast"/>
        <w:ind w:firstLine="720"/>
        <w:jc w:val="both"/>
        <w:rPr>
          <w:color w:val="000000"/>
          <w:szCs w:val="24"/>
        </w:rPr>
      </w:pPr>
      <w:r>
        <w:t xml:space="preserve">5. </w:t>
      </w:r>
      <w:r>
        <w:rPr>
          <w:color w:val="000000"/>
          <w:szCs w:val="24"/>
        </w:rPr>
        <w:t>Market operators shall be recognised as significant in terms of their size, internal organisation and the scope and complexity of their activities at the decision of the supervisory authority.</w:t>
      </w:r>
    </w:p>
    <w:p w14:paraId="6A33C28F" w14:textId="77777777" w:rsidR="001C276B" w:rsidRDefault="001C276B" w:rsidP="001C276B">
      <w:pPr>
        <w:rPr>
          <w:color w:val="000000"/>
          <w:sz w:val="27"/>
          <w:szCs w:val="27"/>
        </w:rPr>
      </w:pPr>
      <w:r>
        <w:rPr>
          <w:i/>
          <w:iCs/>
          <w:color w:val="000000"/>
          <w:sz w:val="20"/>
        </w:rPr>
        <w:lastRenderedPageBreak/>
        <w:t>Amendments to the paragraph of the Article:</w:t>
      </w:r>
    </w:p>
    <w:p w14:paraId="5EBBE18E" w14:textId="77777777" w:rsidR="001C276B" w:rsidRDefault="001C276B" w:rsidP="001C276B">
      <w:pPr>
        <w:jc w:val="both"/>
        <w:rPr>
          <w:color w:val="000000"/>
          <w:sz w:val="27"/>
          <w:szCs w:val="27"/>
        </w:rPr>
      </w:pPr>
      <w:r>
        <w:rPr>
          <w:i/>
          <w:iCs/>
          <w:color w:val="000000"/>
          <w:sz w:val="20"/>
        </w:rPr>
        <w:t xml:space="preserve">No </w:t>
      </w:r>
      <w:hyperlink r:id="rId126" w:tgtFrame="_parent" w:history="1">
        <w:r>
          <w:rPr>
            <w:rStyle w:val="Hyperlink"/>
            <w:i/>
            <w:iCs/>
            <w:sz w:val="20"/>
          </w:rPr>
          <w:t>XIII-2358</w:t>
        </w:r>
      </w:hyperlink>
      <w:r>
        <w:rPr>
          <w:i/>
          <w:iCs/>
          <w:color w:val="000000"/>
          <w:sz w:val="20"/>
        </w:rPr>
        <w:t>, 16/07/2019, published in the RLA, 19/07/2019, ID code 2019-11980</w:t>
      </w:r>
    </w:p>
    <w:p w14:paraId="74CABDEA" w14:textId="68C8FD38" w:rsidR="00ED3A7E" w:rsidRPr="000550CF" w:rsidRDefault="00ED3A7E" w:rsidP="00F3494E">
      <w:pPr>
        <w:widowControl w:val="0"/>
        <w:ind w:firstLine="720"/>
        <w:jc w:val="both"/>
        <w:rPr>
          <w:szCs w:val="24"/>
          <w:lang w:eastAsia="lt-LT"/>
        </w:rPr>
      </w:pPr>
    </w:p>
    <w:p w14:paraId="20E4BBA3" w14:textId="77777777" w:rsidR="00ED3A7E" w:rsidRPr="000550CF" w:rsidRDefault="00ED3A7E" w:rsidP="00F3494E">
      <w:pPr>
        <w:widowControl w:val="0"/>
        <w:ind w:firstLine="720"/>
        <w:jc w:val="both"/>
        <w:rPr>
          <w:szCs w:val="24"/>
          <w:lang w:eastAsia="lt-LT"/>
        </w:rPr>
      </w:pPr>
    </w:p>
    <w:p w14:paraId="01FF18FC" w14:textId="77777777" w:rsidR="00ED3A7E" w:rsidRPr="000550CF" w:rsidRDefault="00ED3A7E" w:rsidP="00F3494E">
      <w:pPr>
        <w:widowControl w:val="0"/>
        <w:ind w:left="2127" w:hanging="1407"/>
        <w:jc w:val="both"/>
        <w:rPr>
          <w:szCs w:val="24"/>
        </w:rPr>
      </w:pPr>
      <w:r>
        <w:rPr>
          <w:b/>
          <w:szCs w:val="24"/>
        </w:rPr>
        <w:t xml:space="preserve">Article 60. </w:t>
      </w:r>
      <w:r>
        <w:rPr>
          <w:b/>
        </w:rPr>
        <w:t xml:space="preserve">Requirements for persons exercising significant influence over the management of the regulated </w:t>
      </w:r>
      <w:proofErr w:type="gramStart"/>
      <w:r>
        <w:rPr>
          <w:b/>
        </w:rPr>
        <w:t>market</w:t>
      </w:r>
      <w:proofErr w:type="gramEnd"/>
    </w:p>
    <w:p w14:paraId="326E3AF0" w14:textId="77777777" w:rsidR="00ED3A7E" w:rsidRPr="000550CF" w:rsidRDefault="00ED3A7E" w:rsidP="00F3494E">
      <w:pPr>
        <w:widowControl w:val="0"/>
        <w:ind w:firstLine="720"/>
        <w:jc w:val="both"/>
        <w:rPr>
          <w:szCs w:val="24"/>
        </w:rPr>
      </w:pPr>
      <w:r>
        <w:t xml:space="preserve">1. The persons who are </w:t>
      </w:r>
      <w:proofErr w:type="gramStart"/>
      <w:r>
        <w:t>in a position</w:t>
      </w:r>
      <w:proofErr w:type="gramEnd"/>
      <w:r>
        <w:t xml:space="preserve"> to exercise, directly or indirectly, significant influence over the management of the regulated market shall be suitable to hold their positions and to perform the assigned functions in terms of their reputation, education, knowledge, experience and other significant characteristics, as well as potential influence over the management of the regulated market.</w:t>
      </w:r>
    </w:p>
    <w:p w14:paraId="49D7D64A" w14:textId="77777777" w:rsidR="00ED3A7E" w:rsidRPr="000550CF" w:rsidRDefault="00ED3A7E" w:rsidP="00F3494E">
      <w:pPr>
        <w:widowControl w:val="0"/>
        <w:ind w:firstLine="720"/>
        <w:jc w:val="both"/>
        <w:rPr>
          <w:szCs w:val="24"/>
        </w:rPr>
      </w:pPr>
      <w:r>
        <w:t>2. A market operator shall be required:</w:t>
      </w:r>
    </w:p>
    <w:p w14:paraId="7844C233" w14:textId="77777777" w:rsidR="00ED3A7E" w:rsidRPr="000550CF" w:rsidRDefault="00ED3A7E" w:rsidP="00F3494E">
      <w:pPr>
        <w:widowControl w:val="0"/>
        <w:ind w:firstLine="720"/>
        <w:jc w:val="both"/>
        <w:rPr>
          <w:szCs w:val="24"/>
        </w:rPr>
      </w:pPr>
      <w:r>
        <w:t xml:space="preserve">1) to provide the supervisory authority with, and to make public, information regarding the ownership of the regulated market and of the market operator, the identity and scale of interests of any parties in a position to exercise significant influence over the </w:t>
      </w:r>
      <w:proofErr w:type="gramStart"/>
      <w:r>
        <w:t>management;</w:t>
      </w:r>
      <w:proofErr w:type="gramEnd"/>
    </w:p>
    <w:p w14:paraId="00DB1F42" w14:textId="77777777" w:rsidR="00ED3A7E" w:rsidRPr="000550CF" w:rsidRDefault="00ED3A7E" w:rsidP="00F3494E">
      <w:pPr>
        <w:ind w:firstLine="720"/>
        <w:jc w:val="both"/>
      </w:pPr>
      <w:r>
        <w:t>2) to inform the supervisory authority of and to make public any transfer of ownership which gives rise to a change in the identity of the persons exercising significant influence over the operation of the regulated market.</w:t>
      </w:r>
    </w:p>
    <w:p w14:paraId="714ADCD9" w14:textId="77777777" w:rsidR="00ED3A7E" w:rsidRPr="000550CF" w:rsidRDefault="00ED3A7E" w:rsidP="00F3494E">
      <w:pPr>
        <w:widowControl w:val="0"/>
        <w:ind w:firstLine="720"/>
        <w:jc w:val="both"/>
        <w:rPr>
          <w:szCs w:val="24"/>
        </w:rPr>
      </w:pPr>
      <w:r>
        <w:t>3. The supervisory authority shall have the right to refuse to approve proposed changes to the controlling interests of the regulated market and/or the market operator where there are objective and demonstrable grounds for believing that they would pose a threat to the sound and prudential management of the regulated market.</w:t>
      </w:r>
    </w:p>
    <w:p w14:paraId="600761AC" w14:textId="77777777" w:rsidR="00ED3A7E" w:rsidRPr="000550CF" w:rsidRDefault="00ED3A7E" w:rsidP="00F3494E">
      <w:pPr>
        <w:widowControl w:val="0"/>
        <w:ind w:firstLine="720"/>
        <w:jc w:val="both"/>
        <w:rPr>
          <w:szCs w:val="24"/>
          <w:lang w:eastAsia="lt-LT"/>
        </w:rPr>
      </w:pPr>
    </w:p>
    <w:p w14:paraId="163AFDFF" w14:textId="77777777" w:rsidR="00ED3A7E" w:rsidRPr="000550CF" w:rsidRDefault="00ED3A7E" w:rsidP="00F3494E">
      <w:pPr>
        <w:widowControl w:val="0"/>
        <w:ind w:left="2268" w:hanging="1548"/>
        <w:jc w:val="both"/>
        <w:rPr>
          <w:szCs w:val="24"/>
        </w:rPr>
      </w:pPr>
      <w:r>
        <w:rPr>
          <w:b/>
          <w:szCs w:val="24"/>
        </w:rPr>
        <w:t>Article 61. Acquisition and disposal of a qualifying holding of the capital and/or of the voting rights of a market operator</w:t>
      </w:r>
    </w:p>
    <w:p w14:paraId="702ED26F" w14:textId="77777777" w:rsidR="00ED3A7E" w:rsidRPr="000550CF" w:rsidRDefault="00ED3A7E" w:rsidP="00F3494E">
      <w:pPr>
        <w:widowControl w:val="0"/>
        <w:ind w:firstLine="720"/>
        <w:jc w:val="both"/>
        <w:rPr>
          <w:szCs w:val="24"/>
        </w:rPr>
      </w:pPr>
      <w:r>
        <w:t>1. A qualifying holding of the capital and/or of the voting rights of a market operator shall be acquired and disposed following the same procedure as established for the acquisition or disposal of a qualifying holding of the capital and/or of the voting rights of a financial brokerage firm.</w:t>
      </w:r>
    </w:p>
    <w:p w14:paraId="4F4BF25F" w14:textId="77777777" w:rsidR="00ED3A7E" w:rsidRPr="000550CF" w:rsidRDefault="00ED3A7E" w:rsidP="00F3494E">
      <w:pPr>
        <w:widowControl w:val="0"/>
        <w:ind w:firstLine="720"/>
        <w:jc w:val="both"/>
        <w:rPr>
          <w:szCs w:val="24"/>
        </w:rPr>
      </w:pPr>
      <w:r>
        <w:t>2. The supervisory authority shall assess the suitability of a person who intends to acquire a qualifying holding of the capital and/or of the voting rights of a market operator and the financial soundness of the proposed acquisition in accordance with the criteria set out in Article 11(10) of this Law.</w:t>
      </w:r>
    </w:p>
    <w:p w14:paraId="2F9DFEB4" w14:textId="77777777" w:rsidR="00ED3A7E" w:rsidRPr="000550CF" w:rsidRDefault="00ED3A7E" w:rsidP="00F3494E">
      <w:pPr>
        <w:widowControl w:val="0"/>
        <w:ind w:firstLine="720"/>
        <w:jc w:val="both"/>
        <w:rPr>
          <w:szCs w:val="24"/>
          <w:lang w:eastAsia="lt-LT"/>
        </w:rPr>
      </w:pPr>
    </w:p>
    <w:p w14:paraId="5B411136" w14:textId="77777777" w:rsidR="00ED3A7E" w:rsidRPr="000550CF" w:rsidRDefault="00ED3A7E" w:rsidP="00F3494E">
      <w:pPr>
        <w:widowControl w:val="0"/>
        <w:ind w:firstLine="720"/>
        <w:jc w:val="both"/>
        <w:rPr>
          <w:szCs w:val="24"/>
        </w:rPr>
      </w:pPr>
      <w:r>
        <w:rPr>
          <w:b/>
          <w:szCs w:val="24"/>
        </w:rPr>
        <w:t xml:space="preserve">Article 62. </w:t>
      </w:r>
      <w:r>
        <w:rPr>
          <w:b/>
        </w:rPr>
        <w:t>Organisational requirements</w:t>
      </w:r>
      <w:r>
        <w:rPr>
          <w:b/>
          <w:szCs w:val="24"/>
        </w:rPr>
        <w:t xml:space="preserve"> applicable to a market operator </w:t>
      </w:r>
    </w:p>
    <w:p w14:paraId="6A3E2BF1" w14:textId="77777777" w:rsidR="00ED3A7E" w:rsidRPr="000550CF" w:rsidRDefault="00ED3A7E" w:rsidP="00F3494E">
      <w:pPr>
        <w:widowControl w:val="0"/>
        <w:ind w:firstLine="720"/>
        <w:jc w:val="both"/>
        <w:rPr>
          <w:szCs w:val="24"/>
        </w:rPr>
      </w:pPr>
      <w:r>
        <w:t>1. A market operator shall be required:</w:t>
      </w:r>
    </w:p>
    <w:p w14:paraId="6E28A8E5" w14:textId="77777777" w:rsidR="00ED3A7E" w:rsidRPr="000550CF" w:rsidRDefault="00ED3A7E" w:rsidP="00F3494E">
      <w:pPr>
        <w:widowControl w:val="0"/>
        <w:ind w:firstLine="720"/>
        <w:jc w:val="both"/>
        <w:rPr>
          <w:szCs w:val="24"/>
        </w:rPr>
      </w:pPr>
      <w:r>
        <w:t>1) to have proper arrangements and procedures to identify clearly and manage the potential adverse consequences, for the operation of the regulated market or for its participants, as well as any conflict of interest between the regulated market, its shareholders or the market operator and the sound functioning of the regulated market, and in particular where such conflicts of interest might prove prejudicial to the accomplishment of any functions delegated to the regulated market by the supervisory authority;</w:t>
      </w:r>
    </w:p>
    <w:p w14:paraId="28E44C0F" w14:textId="77777777" w:rsidR="00ED3A7E" w:rsidRPr="000550CF" w:rsidRDefault="00ED3A7E" w:rsidP="00F3494E">
      <w:pPr>
        <w:widowControl w:val="0"/>
        <w:ind w:firstLine="720"/>
        <w:jc w:val="both"/>
        <w:rPr>
          <w:szCs w:val="24"/>
        </w:rPr>
      </w:pPr>
      <w:r>
        <w:t xml:space="preserve">2) to be adequately equipped to manage the risks to which it is exposed, to implement appropriate arrangements and systems to identify all significant risks to its operation, and to put in place effective measures to mitigate those </w:t>
      </w:r>
      <w:proofErr w:type="gramStart"/>
      <w:r>
        <w:t>risks;</w:t>
      </w:r>
      <w:proofErr w:type="gramEnd"/>
    </w:p>
    <w:p w14:paraId="5946A075" w14:textId="77777777" w:rsidR="00ED3A7E" w:rsidRPr="000550CF" w:rsidRDefault="00ED3A7E" w:rsidP="00F3494E">
      <w:pPr>
        <w:widowControl w:val="0"/>
        <w:ind w:firstLine="720"/>
        <w:jc w:val="both"/>
        <w:rPr>
          <w:szCs w:val="24"/>
        </w:rPr>
      </w:pPr>
      <w:r>
        <w:t xml:space="preserve">3) to have arrangements for the sound management of the technical operations of the system, including the establishment of effective contingency arrangements to cope with risks of systems </w:t>
      </w:r>
      <w:proofErr w:type="gramStart"/>
      <w:r>
        <w:t>disruptions;</w:t>
      </w:r>
      <w:proofErr w:type="gramEnd"/>
    </w:p>
    <w:p w14:paraId="05868D83" w14:textId="77777777" w:rsidR="00ED3A7E" w:rsidRPr="000550CF" w:rsidRDefault="00ED3A7E" w:rsidP="00F3494E">
      <w:pPr>
        <w:widowControl w:val="0"/>
        <w:ind w:firstLine="720"/>
        <w:jc w:val="both"/>
        <w:rPr>
          <w:szCs w:val="24"/>
        </w:rPr>
      </w:pPr>
      <w:r>
        <w:t xml:space="preserve">4) to have transparent and non-discretionary rules and procedures that provide for fair and orderly trading and establish objective criteria for the efficient execution of </w:t>
      </w:r>
      <w:proofErr w:type="gramStart"/>
      <w:r>
        <w:t>orders;</w:t>
      </w:r>
      <w:proofErr w:type="gramEnd"/>
    </w:p>
    <w:p w14:paraId="15EF8860" w14:textId="77777777" w:rsidR="00ED3A7E" w:rsidRPr="000550CF" w:rsidRDefault="00ED3A7E" w:rsidP="00F3494E">
      <w:pPr>
        <w:ind w:firstLine="720"/>
        <w:jc w:val="both"/>
      </w:pPr>
      <w:r>
        <w:t xml:space="preserve">5) to have effective arrangements to facilitate the efficient and timely finalisation of the </w:t>
      </w:r>
      <w:proofErr w:type="gramStart"/>
      <w:r>
        <w:t>transactions;</w:t>
      </w:r>
      <w:proofErr w:type="gramEnd"/>
    </w:p>
    <w:p w14:paraId="214F7DAE" w14:textId="56FC35F4" w:rsidR="00ED3A7E" w:rsidRDefault="00ED3A7E" w:rsidP="00F3494E">
      <w:pPr>
        <w:widowControl w:val="0"/>
        <w:ind w:firstLine="720"/>
        <w:jc w:val="both"/>
        <w:rPr>
          <w:szCs w:val="24"/>
        </w:rPr>
      </w:pPr>
      <w:r>
        <w:t xml:space="preserve">6) to have available, on an ongoing basis, sufficient financial resources to facilitate the orderly functioning of the regulated market, having regard to the nature and extent of the transactions concluded on such regulated market and the range and degree of the risks to which the regulated </w:t>
      </w:r>
      <w:r>
        <w:lastRenderedPageBreak/>
        <w:t>market is exposed.</w:t>
      </w:r>
    </w:p>
    <w:p w14:paraId="0F66465A" w14:textId="77777777" w:rsidR="001C276B" w:rsidRPr="001C276B" w:rsidRDefault="001C276B" w:rsidP="001C276B">
      <w:pPr>
        <w:spacing w:line="360" w:lineRule="atLeast"/>
        <w:ind w:firstLine="720"/>
        <w:jc w:val="both"/>
        <w:rPr>
          <w:color w:val="000000"/>
          <w:szCs w:val="24"/>
        </w:rPr>
      </w:pPr>
      <w:r>
        <w:rPr>
          <w:color w:val="000000"/>
          <w:szCs w:val="24"/>
        </w:rPr>
        <w:t xml:space="preserve">7) to have arrangements and procedures to ensure that own funds are invested in accordance with the principles of security, </w:t>
      </w:r>
      <w:proofErr w:type="gramStart"/>
      <w:r>
        <w:rPr>
          <w:color w:val="000000"/>
          <w:szCs w:val="24"/>
        </w:rPr>
        <w:t>liquidity</w:t>
      </w:r>
      <w:proofErr w:type="gramEnd"/>
      <w:r>
        <w:rPr>
          <w:color w:val="000000"/>
          <w:szCs w:val="24"/>
        </w:rPr>
        <w:t xml:space="preserve"> and diversification.</w:t>
      </w:r>
    </w:p>
    <w:p w14:paraId="61A59720" w14:textId="77777777" w:rsidR="001C276B" w:rsidRDefault="001C276B" w:rsidP="001C276B">
      <w:pPr>
        <w:rPr>
          <w:color w:val="000000"/>
          <w:sz w:val="27"/>
          <w:szCs w:val="27"/>
        </w:rPr>
      </w:pPr>
      <w:r>
        <w:rPr>
          <w:i/>
          <w:iCs/>
          <w:color w:val="000000"/>
          <w:sz w:val="20"/>
        </w:rPr>
        <w:t>Supplemented with the sub-paragraph to the Article:</w:t>
      </w:r>
    </w:p>
    <w:p w14:paraId="28A39BD1" w14:textId="77777777" w:rsidR="001C276B" w:rsidRDefault="001C276B" w:rsidP="001C276B">
      <w:pPr>
        <w:jc w:val="both"/>
        <w:rPr>
          <w:color w:val="000000"/>
          <w:sz w:val="27"/>
          <w:szCs w:val="27"/>
        </w:rPr>
      </w:pPr>
      <w:r>
        <w:rPr>
          <w:i/>
          <w:iCs/>
          <w:color w:val="000000"/>
          <w:sz w:val="20"/>
        </w:rPr>
        <w:t xml:space="preserve">No </w:t>
      </w:r>
      <w:hyperlink r:id="rId127" w:tgtFrame="_parent" w:history="1">
        <w:r>
          <w:rPr>
            <w:rStyle w:val="Hyperlink"/>
            <w:i/>
            <w:iCs/>
            <w:sz w:val="20"/>
          </w:rPr>
          <w:t>XIII-2358</w:t>
        </w:r>
      </w:hyperlink>
      <w:r>
        <w:rPr>
          <w:i/>
          <w:iCs/>
          <w:color w:val="000000"/>
          <w:sz w:val="20"/>
        </w:rPr>
        <w:t>, 16/07/2019, published in the RLA, 19/07/2019, ID code 2019-11980</w:t>
      </w:r>
    </w:p>
    <w:p w14:paraId="24AEA5B6" w14:textId="77777777" w:rsidR="001C276B" w:rsidRPr="000550CF" w:rsidRDefault="001C276B" w:rsidP="00F3494E">
      <w:pPr>
        <w:widowControl w:val="0"/>
        <w:ind w:firstLine="720"/>
        <w:jc w:val="both"/>
        <w:rPr>
          <w:szCs w:val="24"/>
          <w:lang w:eastAsia="lt-LT"/>
        </w:rPr>
      </w:pPr>
    </w:p>
    <w:p w14:paraId="01953589" w14:textId="77777777" w:rsidR="00ED3A7E" w:rsidRPr="000550CF" w:rsidRDefault="00ED3A7E" w:rsidP="00F3494E">
      <w:pPr>
        <w:widowControl w:val="0"/>
        <w:ind w:firstLine="720"/>
        <w:jc w:val="both"/>
        <w:rPr>
          <w:szCs w:val="24"/>
        </w:rPr>
      </w:pPr>
      <w:r>
        <w:t>2. A market operator may not execute client orders against proprietary capital, or to engage in matched principal trading on any of the regulated markets it operates.</w:t>
      </w:r>
    </w:p>
    <w:p w14:paraId="54337A85" w14:textId="1DF37A7B" w:rsidR="00ED3A7E" w:rsidRDefault="00ED3A7E" w:rsidP="00F3494E">
      <w:pPr>
        <w:widowControl w:val="0"/>
        <w:ind w:firstLine="720"/>
        <w:jc w:val="both"/>
        <w:rPr>
          <w:szCs w:val="24"/>
          <w:lang w:eastAsia="lt-LT"/>
        </w:rPr>
      </w:pPr>
    </w:p>
    <w:p w14:paraId="53258F79" w14:textId="77777777" w:rsidR="001C276B" w:rsidRPr="001C276B" w:rsidRDefault="001C276B" w:rsidP="001C276B">
      <w:pPr>
        <w:spacing w:line="360" w:lineRule="atLeast"/>
        <w:ind w:left="2552" w:hanging="1832"/>
        <w:jc w:val="both"/>
        <w:rPr>
          <w:color w:val="000000"/>
          <w:szCs w:val="24"/>
        </w:rPr>
      </w:pPr>
      <w:r>
        <w:rPr>
          <w:b/>
          <w:bCs/>
          <w:color w:val="000000"/>
          <w:szCs w:val="24"/>
        </w:rPr>
        <w:t>Article 62</w:t>
      </w:r>
      <w:r>
        <w:rPr>
          <w:b/>
          <w:bCs/>
          <w:color w:val="000000"/>
          <w:szCs w:val="24"/>
          <w:vertAlign w:val="superscript"/>
        </w:rPr>
        <w:t>1</w:t>
      </w:r>
      <w:r>
        <w:rPr>
          <w:b/>
          <w:bCs/>
          <w:color w:val="000000"/>
          <w:szCs w:val="24"/>
        </w:rPr>
        <w:t>. Initial capital and own funds requirements applicable to a market operator</w:t>
      </w:r>
    </w:p>
    <w:p w14:paraId="62FE0160" w14:textId="77777777" w:rsidR="001C276B" w:rsidRDefault="001C276B" w:rsidP="001C276B">
      <w:pPr>
        <w:spacing w:line="360" w:lineRule="atLeast"/>
        <w:ind w:firstLine="720"/>
        <w:jc w:val="both"/>
        <w:rPr>
          <w:color w:val="000000"/>
          <w:szCs w:val="24"/>
        </w:rPr>
      </w:pPr>
      <w:bookmarkStart w:id="208" w:name="part_3ac9be7ba2bd4633936aa063deec54b4"/>
      <w:bookmarkEnd w:id="208"/>
      <w:r>
        <w:rPr>
          <w:color w:val="000000"/>
        </w:rPr>
        <w:t>1. The initial capital of a market operator shall consist of the sum of one or more portions of own funds determined in sub-paragraphs (a) to (e) of paragraph 1 of Article 26 of Regulation (EU) No 575/2013.</w:t>
      </w:r>
    </w:p>
    <w:p w14:paraId="4587B9B5" w14:textId="77777777" w:rsidR="001C276B" w:rsidRDefault="001C276B" w:rsidP="001C276B">
      <w:pPr>
        <w:spacing w:line="360" w:lineRule="atLeast"/>
        <w:ind w:firstLine="720"/>
        <w:jc w:val="both"/>
        <w:rPr>
          <w:color w:val="000000"/>
        </w:rPr>
      </w:pPr>
      <w:bookmarkStart w:id="209" w:name="part_ea9130542f744d459c9ce86c7ad762e4"/>
      <w:bookmarkEnd w:id="209"/>
      <w:r>
        <w:rPr>
          <w:color w:val="000000"/>
        </w:rPr>
        <w:t xml:space="preserve">2. The initial capital of a market operator must be at least €730 </w:t>
      </w:r>
      <w:proofErr w:type="gramStart"/>
      <w:r>
        <w:rPr>
          <w:color w:val="000000"/>
        </w:rPr>
        <w:t>thousand .</w:t>
      </w:r>
      <w:proofErr w:type="gramEnd"/>
    </w:p>
    <w:p w14:paraId="02EC3BEF" w14:textId="77777777" w:rsidR="001C276B" w:rsidRDefault="001C276B" w:rsidP="001C276B">
      <w:pPr>
        <w:spacing w:line="360" w:lineRule="atLeast"/>
        <w:ind w:firstLine="720"/>
        <w:jc w:val="both"/>
        <w:rPr>
          <w:color w:val="000000"/>
        </w:rPr>
      </w:pPr>
      <w:bookmarkStart w:id="210" w:name="part_7c86544b748f4826b6fceec501b94a9b"/>
      <w:bookmarkEnd w:id="210"/>
      <w:r>
        <w:rPr>
          <w:color w:val="000000"/>
        </w:rPr>
        <w:t>3. The own funds of a market operator must be not less than a larger from the following amounts:</w:t>
      </w:r>
    </w:p>
    <w:p w14:paraId="3BC3F7DF" w14:textId="77777777" w:rsidR="001C276B" w:rsidRDefault="001C276B" w:rsidP="001C276B">
      <w:pPr>
        <w:spacing w:line="360" w:lineRule="atLeast"/>
        <w:ind w:firstLine="720"/>
        <w:jc w:val="both"/>
        <w:rPr>
          <w:color w:val="000000"/>
        </w:rPr>
      </w:pPr>
      <w:bookmarkStart w:id="211" w:name="part_8d1b72375bc948e2b1c20696ace9ad84"/>
      <w:bookmarkEnd w:id="211"/>
      <w:r>
        <w:rPr>
          <w:color w:val="000000"/>
        </w:rPr>
        <w:t xml:space="preserve">1) the initial capital referred to in paragraph 2 of this </w:t>
      </w:r>
      <w:proofErr w:type="gramStart"/>
      <w:r>
        <w:rPr>
          <w:color w:val="000000"/>
        </w:rPr>
        <w:t>Article;</w:t>
      </w:r>
      <w:proofErr w:type="gramEnd"/>
    </w:p>
    <w:p w14:paraId="6808FAC1" w14:textId="77777777" w:rsidR="001C276B" w:rsidRDefault="001C276B" w:rsidP="001C276B">
      <w:pPr>
        <w:spacing w:line="400" w:lineRule="atLeast"/>
        <w:ind w:firstLine="720"/>
        <w:jc w:val="both"/>
        <w:rPr>
          <w:color w:val="000000"/>
        </w:rPr>
      </w:pPr>
      <w:bookmarkStart w:id="212" w:name="part_b413ce124c0248dab8768d6f9b83e4cf"/>
      <w:bookmarkEnd w:id="212"/>
      <w:r>
        <w:rPr>
          <w:color w:val="000000"/>
        </w:rPr>
        <w:t xml:space="preserve">2) one quarter of the </w:t>
      </w:r>
      <w:proofErr w:type="gramStart"/>
      <w:r>
        <w:rPr>
          <w:color w:val="000000"/>
        </w:rPr>
        <w:t>amount</w:t>
      </w:r>
      <w:proofErr w:type="gramEnd"/>
      <w:r>
        <w:rPr>
          <w:color w:val="000000"/>
        </w:rPr>
        <w:t xml:space="preserve"> of overheads of a regulated market operator in the previous year.  Overheads shall be calculated in accordance with Article 97 of Regulation (EU) 575/2013 and Commission Delegated Regulation (EU) 2015/488 of 04 September 2014 amending Delegated Regulation (EU) No 241/2014 as regards own funds requirements for firms based on fixed overheads.</w:t>
      </w:r>
    </w:p>
    <w:p w14:paraId="3B88BFAA" w14:textId="77777777" w:rsidR="001C276B" w:rsidRDefault="001C276B" w:rsidP="001C276B">
      <w:pPr>
        <w:rPr>
          <w:color w:val="000000"/>
        </w:rPr>
      </w:pPr>
      <w:r>
        <w:rPr>
          <w:i/>
          <w:iCs/>
          <w:color w:val="000000"/>
          <w:sz w:val="20"/>
        </w:rPr>
        <w:t>Amendments to the paragraph of the Article:</w:t>
      </w:r>
    </w:p>
    <w:p w14:paraId="5D163981" w14:textId="2174F2BF" w:rsidR="001C276B" w:rsidRDefault="001C276B" w:rsidP="001C276B">
      <w:pPr>
        <w:jc w:val="both"/>
        <w:rPr>
          <w:color w:val="000000"/>
        </w:rPr>
      </w:pPr>
      <w:r>
        <w:rPr>
          <w:i/>
          <w:iCs/>
          <w:color w:val="000000"/>
          <w:sz w:val="20"/>
        </w:rPr>
        <w:t xml:space="preserve">No </w:t>
      </w:r>
      <w:hyperlink r:id="rId128" w:tgtFrame="_parent" w:history="1">
        <w:r>
          <w:rPr>
            <w:rStyle w:val="Hyperlink"/>
            <w:i/>
            <w:iCs/>
            <w:sz w:val="20"/>
          </w:rPr>
          <w:t>XIII-2974</w:t>
        </w:r>
      </w:hyperlink>
      <w:r>
        <w:rPr>
          <w:i/>
          <w:iCs/>
          <w:color w:val="000000"/>
          <w:sz w:val="20"/>
        </w:rPr>
        <w:t>, 21/05/2020, published in the RLA, 29/05/2020, ID code 2020-11674</w:t>
      </w:r>
    </w:p>
    <w:p w14:paraId="38A8DED5" w14:textId="77777777" w:rsidR="001C276B" w:rsidRDefault="001C276B" w:rsidP="001C276B">
      <w:pPr>
        <w:spacing w:line="360" w:lineRule="atLeast"/>
        <w:ind w:firstLine="720"/>
        <w:jc w:val="both"/>
        <w:rPr>
          <w:color w:val="000000"/>
        </w:rPr>
      </w:pPr>
      <w:bookmarkStart w:id="213" w:name="part_56ff0f0466784b8c934b16210192f848"/>
      <w:bookmarkEnd w:id="213"/>
      <w:r>
        <w:rPr>
          <w:color w:val="000000"/>
        </w:rPr>
        <w:t>4. The components of own funds shall be determined in Part Two of Regulation (EU) No 575/2013.</w:t>
      </w:r>
    </w:p>
    <w:p w14:paraId="41796A78" w14:textId="77777777" w:rsidR="001C276B" w:rsidRDefault="001C276B" w:rsidP="001C276B">
      <w:pPr>
        <w:spacing w:line="360" w:lineRule="atLeast"/>
        <w:ind w:firstLine="720"/>
        <w:jc w:val="both"/>
        <w:rPr>
          <w:color w:val="000000"/>
        </w:rPr>
      </w:pPr>
      <w:bookmarkStart w:id="214" w:name="part_e641c624aa7f4f6f8065c0cb048ca8fb"/>
      <w:bookmarkEnd w:id="214"/>
      <w:r>
        <w:rPr>
          <w:color w:val="000000"/>
        </w:rPr>
        <w:t>5. When measuring the amount of a market operator’s own funds for the purposes referred to in sub-paragraph 2 of paragraph 3 of this Article, tier 2 capital constituting own funds may not be more than one third of tier 1 capital.</w:t>
      </w:r>
    </w:p>
    <w:p w14:paraId="69F6564E" w14:textId="77777777" w:rsidR="001C276B" w:rsidRDefault="001C276B" w:rsidP="001C276B">
      <w:pPr>
        <w:rPr>
          <w:color w:val="000000"/>
          <w:sz w:val="27"/>
          <w:szCs w:val="27"/>
        </w:rPr>
      </w:pPr>
      <w:r>
        <w:rPr>
          <w:i/>
          <w:iCs/>
          <w:color w:val="000000"/>
          <w:sz w:val="20"/>
        </w:rPr>
        <w:t>Supplemented with an Article:</w:t>
      </w:r>
    </w:p>
    <w:p w14:paraId="2A59F0F0" w14:textId="77777777" w:rsidR="001C276B" w:rsidRDefault="001C276B" w:rsidP="001C276B">
      <w:pPr>
        <w:jc w:val="both"/>
        <w:rPr>
          <w:color w:val="000000"/>
          <w:sz w:val="27"/>
          <w:szCs w:val="27"/>
        </w:rPr>
      </w:pPr>
      <w:r>
        <w:rPr>
          <w:i/>
          <w:iCs/>
          <w:color w:val="000000"/>
          <w:sz w:val="20"/>
        </w:rPr>
        <w:t xml:space="preserve">No </w:t>
      </w:r>
      <w:hyperlink r:id="rId129" w:tgtFrame="_parent" w:history="1">
        <w:r>
          <w:rPr>
            <w:rStyle w:val="Hyperlink"/>
            <w:i/>
            <w:iCs/>
            <w:sz w:val="20"/>
          </w:rPr>
          <w:t>XIII-2358</w:t>
        </w:r>
      </w:hyperlink>
      <w:r>
        <w:rPr>
          <w:i/>
          <w:iCs/>
          <w:color w:val="000000"/>
          <w:sz w:val="20"/>
        </w:rPr>
        <w:t>, 16/07/2019, published in the RLA, 19/07/2019, ID code 2019-11980</w:t>
      </w:r>
    </w:p>
    <w:p w14:paraId="20AE89AA" w14:textId="77777777" w:rsidR="001C276B" w:rsidRPr="000550CF" w:rsidRDefault="001C276B" w:rsidP="00F3494E">
      <w:pPr>
        <w:widowControl w:val="0"/>
        <w:ind w:firstLine="720"/>
        <w:jc w:val="both"/>
        <w:rPr>
          <w:szCs w:val="24"/>
          <w:lang w:eastAsia="lt-LT"/>
        </w:rPr>
      </w:pPr>
    </w:p>
    <w:p w14:paraId="55F03189" w14:textId="77777777" w:rsidR="00ED3A7E" w:rsidRPr="000550CF" w:rsidRDefault="00ED3A7E" w:rsidP="00F3494E">
      <w:pPr>
        <w:widowControl w:val="0"/>
        <w:ind w:firstLine="142"/>
        <w:jc w:val="center"/>
        <w:rPr>
          <w:szCs w:val="24"/>
        </w:rPr>
      </w:pPr>
      <w:r>
        <w:rPr>
          <w:b/>
          <w:szCs w:val="24"/>
        </w:rPr>
        <w:t>SECTION TWO</w:t>
      </w:r>
    </w:p>
    <w:p w14:paraId="7AA92550" w14:textId="77777777" w:rsidR="00ED3A7E" w:rsidRPr="000550CF" w:rsidRDefault="00ED3A7E" w:rsidP="00F3494E">
      <w:pPr>
        <w:widowControl w:val="0"/>
        <w:ind w:firstLine="142"/>
        <w:jc w:val="center"/>
        <w:rPr>
          <w:szCs w:val="24"/>
        </w:rPr>
      </w:pPr>
      <w:r>
        <w:rPr>
          <w:b/>
          <w:szCs w:val="24"/>
        </w:rPr>
        <w:t>TRADING ON A REGULATED MARKET AND TRANSPARENCY REQUIREMENTS</w:t>
      </w:r>
    </w:p>
    <w:p w14:paraId="46097861" w14:textId="77777777" w:rsidR="00ED3A7E" w:rsidRPr="000550CF" w:rsidRDefault="00ED3A7E" w:rsidP="00F3494E">
      <w:pPr>
        <w:widowControl w:val="0"/>
        <w:ind w:firstLine="720"/>
        <w:jc w:val="both"/>
        <w:rPr>
          <w:szCs w:val="24"/>
          <w:lang w:eastAsia="lt-LT"/>
        </w:rPr>
      </w:pPr>
    </w:p>
    <w:p w14:paraId="745C0710" w14:textId="77777777" w:rsidR="00ED3A7E" w:rsidRPr="000550CF" w:rsidRDefault="00ED3A7E" w:rsidP="00F3494E">
      <w:pPr>
        <w:widowControl w:val="0"/>
        <w:ind w:left="2127" w:hanging="1407"/>
        <w:jc w:val="both"/>
        <w:rPr>
          <w:szCs w:val="24"/>
        </w:rPr>
      </w:pPr>
      <w:r>
        <w:rPr>
          <w:b/>
          <w:szCs w:val="24"/>
        </w:rPr>
        <w:t xml:space="preserve">Article 63. </w:t>
      </w:r>
      <w:r>
        <w:rPr>
          <w:b/>
          <w:szCs w:val="24"/>
        </w:rPr>
        <w:tab/>
        <w:t xml:space="preserve">Rules of a regulated market and ensuring </w:t>
      </w:r>
      <w:r>
        <w:rPr>
          <w:b/>
        </w:rPr>
        <w:t xml:space="preserve">compliance with those rules and with other obligations established by legal </w:t>
      </w:r>
      <w:proofErr w:type="gramStart"/>
      <w:r>
        <w:rPr>
          <w:b/>
        </w:rPr>
        <w:t>acts</w:t>
      </w:r>
      <w:proofErr w:type="gramEnd"/>
    </w:p>
    <w:p w14:paraId="0987EB40" w14:textId="77777777" w:rsidR="00ED3A7E" w:rsidRPr="000550CF" w:rsidRDefault="00ED3A7E" w:rsidP="00F3494E">
      <w:pPr>
        <w:widowControl w:val="0"/>
        <w:ind w:firstLine="720"/>
        <w:jc w:val="both"/>
        <w:rPr>
          <w:szCs w:val="24"/>
        </w:rPr>
      </w:pPr>
      <w:r>
        <w:t xml:space="preserve">1. A regulated market must operate according to transparent and non-discriminatory rules, based on objective criteria, </w:t>
      </w:r>
      <w:proofErr w:type="gramStart"/>
      <w:r>
        <w:t>prepared</w:t>
      </w:r>
      <w:proofErr w:type="gramEnd"/>
      <w:r>
        <w:t xml:space="preserve"> and approved by the market operator. Prior to the approval or amendment of such rules the market operator shall coordinate them with the supervisory authority. The supervisory authority shall have the right to disagree with those rules or their amendments where they </w:t>
      </w:r>
      <w:proofErr w:type="gramStart"/>
      <w:r>
        <w:t>are in conflict with</w:t>
      </w:r>
      <w:proofErr w:type="gramEnd"/>
      <w:r>
        <w:t xml:space="preserve"> requirements of this Law.</w:t>
      </w:r>
    </w:p>
    <w:p w14:paraId="3E58A23C" w14:textId="77777777" w:rsidR="00ED3A7E" w:rsidRPr="000550CF" w:rsidRDefault="00ED3A7E" w:rsidP="00F3494E">
      <w:pPr>
        <w:ind w:firstLine="720"/>
        <w:jc w:val="both"/>
      </w:pPr>
      <w:r>
        <w:t xml:space="preserve">2. A regulated market must establish and maintain effective arrangements and procedures including the necessary resource for the regular monitoring of the compliance by its members with the rules of the regulated market. A regulated market shall monitor the transactions undertaken by their members, including sent and cancelled orders under the trading system of the regulated market </w:t>
      </w:r>
      <w:proofErr w:type="gramStart"/>
      <w:r>
        <w:t>in order to</w:t>
      </w:r>
      <w:proofErr w:type="gramEnd"/>
      <w:r>
        <w:t xml:space="preserve"> identify potential infringements of those rules, disorderly trading conditions or conduct </w:t>
      </w:r>
      <w:r>
        <w:lastRenderedPageBreak/>
        <w:t>that may indicate behaviour that is prohibited under Regulation (EU) No 596/2014 or system disruptions in relation to a financial instrument.</w:t>
      </w:r>
    </w:p>
    <w:p w14:paraId="6954A32C" w14:textId="77777777" w:rsidR="00ED3A7E" w:rsidRPr="000550CF" w:rsidRDefault="00ED3A7E" w:rsidP="00F3494E">
      <w:pPr>
        <w:widowControl w:val="0"/>
        <w:ind w:firstLine="720"/>
        <w:jc w:val="both"/>
        <w:rPr>
          <w:szCs w:val="24"/>
        </w:rPr>
      </w:pPr>
      <w:r>
        <w:t>3. A market operator must immediately inform the supervisory authority of significant infringements of their rules or disorderly trading conditions or conduct that may indicate behaviour that is prohibited under Regulation (EU) No 596/2014 or system disruptions in relation to a financial instrument. Furthermore, a market operator must immediately communicate to the supervisory authority all available information relating to potential infringements of the rules of the regulated market and cooperate in investigating and prosecuting market abuse.</w:t>
      </w:r>
    </w:p>
    <w:p w14:paraId="6F04C4D8" w14:textId="77777777" w:rsidR="00ED3A7E" w:rsidRPr="000550CF" w:rsidRDefault="00ED3A7E" w:rsidP="00F3494E">
      <w:pPr>
        <w:ind w:firstLine="720"/>
        <w:jc w:val="both"/>
      </w:pPr>
      <w:r>
        <w:t>4. The supervisory authority shall communicate to ESMA and to supervisory authorities of other Member States the information referred to in paragraph 3 of this Article.</w:t>
      </w:r>
    </w:p>
    <w:p w14:paraId="250087F5" w14:textId="77777777" w:rsidR="00ED3A7E" w:rsidRPr="000550CF" w:rsidRDefault="00ED3A7E" w:rsidP="00F3494E">
      <w:pPr>
        <w:widowControl w:val="0"/>
        <w:ind w:firstLine="720"/>
        <w:jc w:val="both"/>
        <w:rPr>
          <w:szCs w:val="24"/>
        </w:rPr>
      </w:pPr>
      <w:r>
        <w:t>5. In relation to conduct that may indicate behaviour that is prohibited under Regulation (EU) No 596/2014, the supervisory authority shall be convinced that such behaviour is being or has been carried out before it notifies supervisory authorities of other Member States and ESMA.</w:t>
      </w:r>
    </w:p>
    <w:p w14:paraId="206C94A7" w14:textId="77777777" w:rsidR="00ED3A7E" w:rsidRPr="000550CF" w:rsidRDefault="00ED3A7E" w:rsidP="00F3494E">
      <w:pPr>
        <w:widowControl w:val="0"/>
        <w:ind w:firstLine="720"/>
        <w:jc w:val="both"/>
        <w:rPr>
          <w:szCs w:val="24"/>
          <w:lang w:eastAsia="lt-LT"/>
        </w:rPr>
      </w:pPr>
    </w:p>
    <w:p w14:paraId="008F8B8F" w14:textId="77777777" w:rsidR="00ED3A7E" w:rsidRPr="000550CF" w:rsidRDefault="00ED3A7E" w:rsidP="00F3494E">
      <w:pPr>
        <w:widowControl w:val="0"/>
        <w:ind w:firstLine="720"/>
        <w:jc w:val="both"/>
        <w:rPr>
          <w:szCs w:val="24"/>
        </w:rPr>
      </w:pPr>
      <w:r>
        <w:rPr>
          <w:b/>
          <w:szCs w:val="24"/>
        </w:rPr>
        <w:t xml:space="preserve">Article 64. </w:t>
      </w:r>
      <w:r>
        <w:rPr>
          <w:b/>
        </w:rPr>
        <w:t>Admission of financial instruments to trading</w:t>
      </w:r>
      <w:r>
        <w:rPr>
          <w:b/>
          <w:szCs w:val="24"/>
        </w:rPr>
        <w:t xml:space="preserve"> on a regulated market </w:t>
      </w:r>
    </w:p>
    <w:p w14:paraId="1DE9ABF7" w14:textId="77777777" w:rsidR="00ED3A7E" w:rsidRPr="000550CF" w:rsidRDefault="00ED3A7E" w:rsidP="00F3494E">
      <w:pPr>
        <w:widowControl w:val="0"/>
        <w:ind w:firstLine="720"/>
        <w:jc w:val="both"/>
        <w:rPr>
          <w:szCs w:val="24"/>
        </w:rPr>
      </w:pPr>
      <w:r>
        <w:t>1. The admission of financial instruments to trading on a regulated market shall be regulated by clear and transparent rules. Those rules shall ensure that any financial instruments admitted to trading on a regulated market are capable of being traded in a fair, orderly and efficient manner and, in the case of transferable securities, are freely negotiable.</w:t>
      </w:r>
    </w:p>
    <w:p w14:paraId="2876F35B" w14:textId="77777777" w:rsidR="00ED3A7E" w:rsidRPr="000550CF" w:rsidRDefault="00ED3A7E" w:rsidP="00F3494E">
      <w:pPr>
        <w:widowControl w:val="0"/>
        <w:ind w:firstLine="720"/>
        <w:jc w:val="both"/>
        <w:rPr>
          <w:szCs w:val="24"/>
        </w:rPr>
      </w:pPr>
      <w:r>
        <w:t xml:space="preserve">2.  In the case of derivatives, the rules referred to in paragraph 1 of this Article shall ensure in particular that the design of the derivative contract allows for its orderly pricing as well as for the existence of effective settlement conditions. </w:t>
      </w:r>
    </w:p>
    <w:p w14:paraId="7662BA1E" w14:textId="77777777" w:rsidR="00ED3A7E" w:rsidRPr="000550CF" w:rsidRDefault="00ED3A7E" w:rsidP="00F3494E">
      <w:pPr>
        <w:widowControl w:val="0"/>
        <w:ind w:firstLine="720"/>
        <w:jc w:val="both"/>
        <w:rPr>
          <w:szCs w:val="24"/>
        </w:rPr>
      </w:pPr>
      <w:r>
        <w:t>3. The issuer whose financial instruments are admitted to trading on a regulated market shall, in the manner and within the time limits prescribed by the market operator, provide the information set forth in this Law and its implementing legislation.</w:t>
      </w:r>
    </w:p>
    <w:p w14:paraId="448B011B" w14:textId="77777777" w:rsidR="00ED3A7E" w:rsidRPr="000550CF" w:rsidRDefault="00ED3A7E" w:rsidP="00F3494E">
      <w:pPr>
        <w:widowControl w:val="0"/>
        <w:ind w:firstLine="720"/>
        <w:jc w:val="both"/>
        <w:rPr>
          <w:szCs w:val="24"/>
        </w:rPr>
      </w:pPr>
      <w:r>
        <w:t>4. A regulated market shall establish and maintain effective arrangements to verify that issuers of transferable securities that are admitted to trading on the regulated market comply with their obligations under the European Union law in respect of initial, ongoing or ad hoc disclosure obligations.</w:t>
      </w:r>
    </w:p>
    <w:p w14:paraId="23B62FC5" w14:textId="77777777" w:rsidR="00ED3A7E" w:rsidRPr="000550CF" w:rsidRDefault="00ED3A7E" w:rsidP="00F3494E">
      <w:pPr>
        <w:widowControl w:val="0"/>
        <w:ind w:firstLine="720"/>
        <w:jc w:val="both"/>
        <w:rPr>
          <w:szCs w:val="24"/>
        </w:rPr>
      </w:pPr>
      <w:r>
        <w:t>5. A regulated market shall establish arrangements which facilitate its members in obtaining access to information which has been made public under the European Union law.</w:t>
      </w:r>
    </w:p>
    <w:p w14:paraId="1F534C92" w14:textId="77777777" w:rsidR="00ED3A7E" w:rsidRPr="000550CF" w:rsidRDefault="00ED3A7E" w:rsidP="00F3494E">
      <w:pPr>
        <w:ind w:firstLine="720"/>
        <w:jc w:val="both"/>
      </w:pPr>
      <w:r>
        <w:t>6. A regulated market shall have established the necessary arrangements to review regularly the compliance with the requirements applicable for the admission of the financial instruments of the particular type to trading on the regulated market.</w:t>
      </w:r>
    </w:p>
    <w:p w14:paraId="59AD32C3" w14:textId="77777777" w:rsidR="00ED3A7E" w:rsidRPr="000550CF" w:rsidRDefault="00ED3A7E" w:rsidP="00F3494E">
      <w:pPr>
        <w:ind w:firstLine="720"/>
        <w:jc w:val="both"/>
      </w:pPr>
      <w:r>
        <w:t>7.  Transferable securities that have been admitted to trading on a regulated market can subsequently be admitted to trading on other regulated markets, even without the consent of the issuer and in compliance with the requirements of legal acts establishing the admission of transferable securities to trading in the regulated market. The issuer of the securities shall be informed of the fact that its securities are traded on that regulated market. The issuer shall not be subject to any obligation to provide information required under paragraphs 3 and 4 of this Article directly to the regulated market which has admitted the issuer’s securities to trading without their issuer’s consent.</w:t>
      </w:r>
    </w:p>
    <w:p w14:paraId="648145BE" w14:textId="77777777" w:rsidR="00ED3A7E" w:rsidRPr="000550CF" w:rsidRDefault="00ED3A7E" w:rsidP="00F3494E">
      <w:pPr>
        <w:widowControl w:val="0"/>
        <w:ind w:firstLine="720"/>
        <w:jc w:val="both"/>
        <w:rPr>
          <w:szCs w:val="24"/>
          <w:lang w:eastAsia="lt-LT"/>
        </w:rPr>
      </w:pPr>
    </w:p>
    <w:p w14:paraId="4E5D813C" w14:textId="77777777" w:rsidR="00ED3A7E" w:rsidRPr="000550CF" w:rsidRDefault="00ED3A7E" w:rsidP="00F3494E">
      <w:pPr>
        <w:widowControl w:val="0"/>
        <w:ind w:left="2268" w:hanging="1548"/>
        <w:jc w:val="both"/>
        <w:rPr>
          <w:b/>
          <w:szCs w:val="24"/>
        </w:rPr>
      </w:pPr>
      <w:r>
        <w:rPr>
          <w:b/>
          <w:szCs w:val="24"/>
        </w:rPr>
        <w:t xml:space="preserve">Article 65. </w:t>
      </w:r>
      <w:r>
        <w:rPr>
          <w:b/>
        </w:rPr>
        <w:t>Suspension and removal of financial instruments from trading on a regulated market</w:t>
      </w:r>
    </w:p>
    <w:p w14:paraId="7433B442" w14:textId="77777777" w:rsidR="00ED3A7E" w:rsidRPr="000550CF" w:rsidRDefault="00ED3A7E" w:rsidP="00F3494E">
      <w:pPr>
        <w:widowControl w:val="0"/>
        <w:ind w:firstLine="720"/>
        <w:jc w:val="both"/>
        <w:rPr>
          <w:szCs w:val="24"/>
        </w:rPr>
      </w:pPr>
      <w:r>
        <w:t>1. Without prejudice to the right of the supervisory authority under this Law to demand suspension or removal of a financial instrument from trading, a market operator may suspend or remove from trading on the regulated market managed by it a financial instrument which no longer complies with the rules of the regulated market unless such suspension or removal would be likely to cause significant damage to the investors’ interests or the orderly functioning of the market.</w:t>
      </w:r>
    </w:p>
    <w:p w14:paraId="7E974388" w14:textId="77777777" w:rsidR="00ED3A7E" w:rsidRPr="000550CF" w:rsidRDefault="00ED3A7E" w:rsidP="00F3494E">
      <w:pPr>
        <w:widowControl w:val="0"/>
        <w:ind w:firstLine="720"/>
        <w:jc w:val="both"/>
        <w:rPr>
          <w:szCs w:val="24"/>
        </w:rPr>
      </w:pPr>
      <w:r>
        <w:t xml:space="preserve">2. A market operator that suspends or removes from trading a financial instrument also suspends or removes the derivatives as referred to in Article 3(15)(4) to (10) of this Law that relate or are referenced to that financial instrument where necessary to support the objectives of the </w:t>
      </w:r>
      <w:r>
        <w:lastRenderedPageBreak/>
        <w:t xml:space="preserve">suspension or removal of the underlying financial instrument. </w:t>
      </w:r>
    </w:p>
    <w:p w14:paraId="0C06A67B" w14:textId="77777777" w:rsidR="00ED3A7E" w:rsidRPr="000550CF" w:rsidRDefault="00ED3A7E" w:rsidP="00F3494E">
      <w:pPr>
        <w:widowControl w:val="0"/>
        <w:ind w:firstLine="720"/>
        <w:jc w:val="both"/>
        <w:rPr>
          <w:szCs w:val="24"/>
        </w:rPr>
      </w:pPr>
      <w:r>
        <w:t xml:space="preserve">3. A market operator that suspends or removes from trading a financial instrument or derivatives referred to in paragraph 2 of this Article shall make public its decision and communicate the information related to such decision to the supervisory authority. </w:t>
      </w:r>
    </w:p>
    <w:p w14:paraId="762D69B6" w14:textId="77777777" w:rsidR="00ED3A7E" w:rsidRPr="000550CF" w:rsidRDefault="00ED3A7E" w:rsidP="00F3494E">
      <w:pPr>
        <w:widowControl w:val="0"/>
        <w:ind w:firstLine="720"/>
        <w:jc w:val="both"/>
        <w:rPr>
          <w:szCs w:val="24"/>
        </w:rPr>
      </w:pPr>
      <w:r>
        <w:t xml:space="preserve">4. The supervisory authority, having identified the suspension or removal from trading of a financial instrument in the Republic of Lithuania, shall require that other regulated markets, MTFs, </w:t>
      </w:r>
      <w:proofErr w:type="spellStart"/>
      <w:r>
        <w:t>OTFs</w:t>
      </w:r>
      <w:proofErr w:type="spellEnd"/>
      <w:r>
        <w:t xml:space="preserve"> and systematic </w:t>
      </w:r>
      <w:proofErr w:type="spellStart"/>
      <w:r>
        <w:t>internalisers</w:t>
      </w:r>
      <w:proofErr w:type="spellEnd"/>
      <w:r>
        <w:t xml:space="preserve">, which fall under its jurisdiction and trade the same financial instrument or derivatives referred to in paragraph 2 of this Article, also suspend or remove that financial instrument or derivatives from trading, where the suspension or removal is due to suspected market abuse, a take-over bid or the non-disclosure of inside information about the issuer or financial instrument infringing Articles 7 and 17 of Regulation (EU) No 596/2014, except where such suspension or removal could cause significant damage to the investors’ interests or the orderly functioning of the market. </w:t>
      </w:r>
    </w:p>
    <w:p w14:paraId="473D71B0" w14:textId="77777777" w:rsidR="00ED3A7E" w:rsidRPr="000550CF" w:rsidRDefault="00ED3A7E" w:rsidP="00F3494E">
      <w:pPr>
        <w:widowControl w:val="0"/>
        <w:ind w:firstLine="720"/>
        <w:jc w:val="both"/>
        <w:rPr>
          <w:szCs w:val="24"/>
        </w:rPr>
      </w:pPr>
      <w:r>
        <w:t>5. Where the supervisory authority demands the suspension or removal from trading of a financial instrument or derivatives referred to in paragraph 2 of this Article, such decision of the supervisory authority must be immediately made public. The supervisory authority shall communicate its decision to ESMA and supervisory authorities of other Member States.</w:t>
      </w:r>
    </w:p>
    <w:p w14:paraId="1B3F4F79" w14:textId="77777777" w:rsidR="00ED3A7E" w:rsidRPr="000550CF" w:rsidRDefault="00ED3A7E" w:rsidP="00F3494E">
      <w:pPr>
        <w:widowControl w:val="0"/>
        <w:ind w:firstLine="720"/>
        <w:jc w:val="both"/>
        <w:rPr>
          <w:szCs w:val="24"/>
        </w:rPr>
      </w:pPr>
      <w:r>
        <w:t xml:space="preserve">6. The supervisory authority, having received from a supervisory authority of another Member State the information referred to in paragraph 5 of this Article shall require that regulated markets, other MTFs, other </w:t>
      </w:r>
      <w:proofErr w:type="spellStart"/>
      <w:r>
        <w:t>OTFs</w:t>
      </w:r>
      <w:proofErr w:type="spellEnd"/>
      <w:r>
        <w:t xml:space="preserve"> and systematic </w:t>
      </w:r>
      <w:proofErr w:type="spellStart"/>
      <w:r>
        <w:t>internalisers</w:t>
      </w:r>
      <w:proofErr w:type="spellEnd"/>
      <w:r>
        <w:t xml:space="preserve">, which fall under its jurisdiction and trade the same financial instrument or derivatives referred to in paragraph 2 of this Article, also suspend or remove that financial instrument or derivatives from trading, where the suspension or removal is due to suspected market abuse, a take-over bid or the non-disclosure of inside information about the issuer or financial instrument infringing Articles 7 and 17 of Regulation (EU) No 596/2014, except where such suspension or removal could cause significant damage to the investors’ interests or the orderly functioning of the market. </w:t>
      </w:r>
    </w:p>
    <w:p w14:paraId="66D882F6" w14:textId="77777777" w:rsidR="00ED3A7E" w:rsidRPr="000550CF" w:rsidRDefault="00ED3A7E" w:rsidP="00F3494E">
      <w:pPr>
        <w:widowControl w:val="0"/>
        <w:ind w:firstLine="720"/>
        <w:jc w:val="both"/>
        <w:rPr>
          <w:szCs w:val="24"/>
        </w:rPr>
      </w:pPr>
      <w:r>
        <w:t xml:space="preserve">7. The supervisory authority, having received the information referred to in paragraph 6 of this Article on the taken decision, shall notify ESMA and supervisory authorities of other Member States, including an explanation if the decision was not to suspend or remove from trading the financial instrument or derivatives referred to in paragraph 2 of this Article. </w:t>
      </w:r>
    </w:p>
    <w:p w14:paraId="1B250570" w14:textId="77777777" w:rsidR="00ED3A7E" w:rsidRPr="000550CF" w:rsidRDefault="00ED3A7E" w:rsidP="00F3494E">
      <w:pPr>
        <w:widowControl w:val="0"/>
        <w:ind w:firstLine="720"/>
        <w:jc w:val="both"/>
        <w:rPr>
          <w:szCs w:val="24"/>
        </w:rPr>
      </w:pPr>
      <w:r>
        <w:t xml:space="preserve">8. The requirements of this Article shall also apply when the suspension from trading of financial instruments or derivatives paragraph 2 of this Article is lifted. </w:t>
      </w:r>
    </w:p>
    <w:p w14:paraId="764E6D01" w14:textId="77777777" w:rsidR="00ED3A7E" w:rsidRPr="000550CF" w:rsidRDefault="00ED3A7E" w:rsidP="00F3494E">
      <w:pPr>
        <w:widowControl w:val="0"/>
        <w:ind w:firstLine="720"/>
        <w:jc w:val="both"/>
        <w:rPr>
          <w:szCs w:val="24"/>
        </w:rPr>
      </w:pPr>
      <w:r>
        <w:t xml:space="preserve">9. The notification procedure referred to in this Article shall also apply when the to suspend or remove from trading financial instruments or derivatives paragraph 2 of this Article is taken by supervisory authority. </w:t>
      </w:r>
    </w:p>
    <w:p w14:paraId="39B8BEF8" w14:textId="77777777" w:rsidR="00ED3A7E" w:rsidRPr="000550CF" w:rsidRDefault="00ED3A7E" w:rsidP="00F3494E">
      <w:pPr>
        <w:widowControl w:val="0"/>
        <w:ind w:firstLine="720"/>
        <w:rPr>
          <w:szCs w:val="24"/>
          <w:lang w:eastAsia="lt-LT"/>
        </w:rPr>
      </w:pPr>
    </w:p>
    <w:p w14:paraId="7F82F074" w14:textId="77777777" w:rsidR="00ED3A7E" w:rsidRPr="000550CF" w:rsidRDefault="00ED3A7E" w:rsidP="00F3494E">
      <w:pPr>
        <w:widowControl w:val="0"/>
        <w:ind w:firstLine="720"/>
        <w:rPr>
          <w:szCs w:val="24"/>
        </w:rPr>
      </w:pPr>
      <w:r>
        <w:rPr>
          <w:b/>
          <w:szCs w:val="24"/>
        </w:rPr>
        <w:t>Article 66. Membership of a regulated market</w:t>
      </w:r>
    </w:p>
    <w:p w14:paraId="5D4F9377" w14:textId="77777777" w:rsidR="00ED3A7E" w:rsidRPr="000550CF" w:rsidRDefault="00ED3A7E" w:rsidP="00F3494E">
      <w:pPr>
        <w:widowControl w:val="0"/>
        <w:ind w:firstLine="720"/>
        <w:jc w:val="both"/>
        <w:rPr>
          <w:szCs w:val="24"/>
        </w:rPr>
      </w:pPr>
      <w:r>
        <w:t>1. Membership of or access to a regulated market shall be governed by transparent and non-discriminatory rules, based on objective criteria.</w:t>
      </w:r>
    </w:p>
    <w:p w14:paraId="50D929DA" w14:textId="77777777" w:rsidR="00ED3A7E" w:rsidRPr="000550CF" w:rsidRDefault="00ED3A7E" w:rsidP="00F3494E">
      <w:pPr>
        <w:widowControl w:val="0"/>
        <w:ind w:firstLine="720"/>
        <w:jc w:val="both"/>
        <w:rPr>
          <w:szCs w:val="24"/>
        </w:rPr>
      </w:pPr>
      <w:r>
        <w:t>2. The rules regulating the obligations for the members and participants of a regulated market shall specify:</w:t>
      </w:r>
    </w:p>
    <w:p w14:paraId="36276012" w14:textId="77777777" w:rsidR="00ED3A7E" w:rsidRPr="000550CF" w:rsidRDefault="00ED3A7E" w:rsidP="00F3494E">
      <w:pPr>
        <w:widowControl w:val="0"/>
        <w:ind w:firstLine="720"/>
        <w:jc w:val="both"/>
        <w:rPr>
          <w:szCs w:val="24"/>
        </w:rPr>
      </w:pPr>
      <w:r>
        <w:t xml:space="preserve">1) requirements for members of the regulated </w:t>
      </w:r>
      <w:proofErr w:type="gramStart"/>
      <w:r>
        <w:t>market;</w:t>
      </w:r>
      <w:proofErr w:type="gramEnd"/>
    </w:p>
    <w:p w14:paraId="1F9D5E25" w14:textId="77777777" w:rsidR="00ED3A7E" w:rsidRPr="000550CF" w:rsidRDefault="00ED3A7E" w:rsidP="00F3494E">
      <w:pPr>
        <w:widowControl w:val="0"/>
        <w:ind w:firstLine="720"/>
        <w:jc w:val="both"/>
        <w:rPr>
          <w:szCs w:val="24"/>
        </w:rPr>
      </w:pPr>
      <w:r>
        <w:t xml:space="preserve">2) the procedure and conditions for the granting or suspension of the authorisation to trade on the regulated market, and for the removal from the members of the regulated </w:t>
      </w:r>
      <w:proofErr w:type="gramStart"/>
      <w:r>
        <w:t>market;</w:t>
      </w:r>
      <w:proofErr w:type="gramEnd"/>
    </w:p>
    <w:p w14:paraId="73316F7B" w14:textId="77777777" w:rsidR="00ED3A7E" w:rsidRPr="000550CF" w:rsidRDefault="00ED3A7E" w:rsidP="00F3494E">
      <w:pPr>
        <w:ind w:firstLine="720"/>
        <w:jc w:val="both"/>
      </w:pPr>
      <w:r>
        <w:t>3) the obligations for the members of the regulated market arising from the constitution and administration of the regulated market; the transactions concluded on the market; professional standards imposed on the staff of the financial brokerage firms and credit institutions operating on the market; the requirements established for other members of the regulated market referred to in paragraph 3 of this Article; the rules and procedures for the clearing and settlement of transactions concluded on the regulated market;</w:t>
      </w:r>
    </w:p>
    <w:p w14:paraId="4A8EAACF" w14:textId="77777777" w:rsidR="00ED3A7E" w:rsidRPr="000550CF" w:rsidRDefault="00ED3A7E" w:rsidP="00F3494E">
      <w:pPr>
        <w:widowControl w:val="0"/>
        <w:ind w:firstLine="720"/>
        <w:jc w:val="both"/>
        <w:rPr>
          <w:szCs w:val="24"/>
        </w:rPr>
      </w:pPr>
      <w:r>
        <w:t xml:space="preserve">4) the liability for the non-fulfilment of the </w:t>
      </w:r>
      <w:proofErr w:type="gramStart"/>
      <w:r>
        <w:t>obligations;</w:t>
      </w:r>
      <w:proofErr w:type="gramEnd"/>
    </w:p>
    <w:p w14:paraId="5E3B9B0B" w14:textId="77777777" w:rsidR="00ED3A7E" w:rsidRPr="000550CF" w:rsidRDefault="00ED3A7E" w:rsidP="00F3494E">
      <w:pPr>
        <w:widowControl w:val="0"/>
        <w:ind w:firstLine="720"/>
        <w:jc w:val="both"/>
        <w:rPr>
          <w:szCs w:val="24"/>
        </w:rPr>
      </w:pPr>
      <w:r>
        <w:t>5) the rights of the regulated market members.</w:t>
      </w:r>
    </w:p>
    <w:p w14:paraId="2FB7D8A7" w14:textId="77777777" w:rsidR="00ED3A7E" w:rsidRPr="000550CF" w:rsidRDefault="00ED3A7E" w:rsidP="00F3494E">
      <w:pPr>
        <w:widowControl w:val="0"/>
        <w:ind w:firstLine="720"/>
        <w:jc w:val="both"/>
        <w:rPr>
          <w:szCs w:val="24"/>
        </w:rPr>
      </w:pPr>
      <w:r>
        <w:lastRenderedPageBreak/>
        <w:t>3. Members of a regulated market may be financial brokerage firms, credit institutions and other persons who:</w:t>
      </w:r>
    </w:p>
    <w:p w14:paraId="3AFF4879" w14:textId="77777777" w:rsidR="00ED3A7E" w:rsidRPr="000550CF" w:rsidRDefault="00ED3A7E" w:rsidP="00F3494E">
      <w:pPr>
        <w:widowControl w:val="0"/>
        <w:ind w:firstLine="720"/>
        <w:jc w:val="both"/>
        <w:rPr>
          <w:szCs w:val="24"/>
        </w:rPr>
      </w:pPr>
      <w:r>
        <w:t xml:space="preserve">1) are of good </w:t>
      </w:r>
      <w:proofErr w:type="gramStart"/>
      <w:r>
        <w:t>repute;</w:t>
      </w:r>
      <w:proofErr w:type="gramEnd"/>
    </w:p>
    <w:p w14:paraId="6E8C2092" w14:textId="77777777" w:rsidR="00ED3A7E" w:rsidRPr="000550CF" w:rsidRDefault="00ED3A7E" w:rsidP="00F3494E">
      <w:pPr>
        <w:widowControl w:val="0"/>
        <w:ind w:firstLine="720"/>
        <w:jc w:val="both"/>
        <w:rPr>
          <w:szCs w:val="24"/>
        </w:rPr>
      </w:pPr>
      <w:r>
        <w:t xml:space="preserve">2) have a sufficient level of trading ability and </w:t>
      </w:r>
      <w:proofErr w:type="gramStart"/>
      <w:r>
        <w:t>competence;</w:t>
      </w:r>
      <w:proofErr w:type="gramEnd"/>
    </w:p>
    <w:p w14:paraId="10CA8058" w14:textId="77777777" w:rsidR="00ED3A7E" w:rsidRPr="000550CF" w:rsidRDefault="00ED3A7E" w:rsidP="00F3494E">
      <w:pPr>
        <w:widowControl w:val="0"/>
        <w:ind w:firstLine="720"/>
        <w:jc w:val="both"/>
        <w:rPr>
          <w:szCs w:val="24"/>
        </w:rPr>
      </w:pPr>
      <w:r>
        <w:t xml:space="preserve">3) have, where applicable, adequate organisational </w:t>
      </w:r>
      <w:proofErr w:type="gramStart"/>
      <w:r>
        <w:t>arrangements;</w:t>
      </w:r>
      <w:proofErr w:type="gramEnd"/>
    </w:p>
    <w:p w14:paraId="43AA7AD2" w14:textId="77777777" w:rsidR="00ED3A7E" w:rsidRPr="000550CF" w:rsidRDefault="00ED3A7E" w:rsidP="00F3494E">
      <w:pPr>
        <w:widowControl w:val="0"/>
        <w:ind w:firstLine="720"/>
        <w:jc w:val="both"/>
        <w:rPr>
          <w:szCs w:val="24"/>
        </w:rPr>
      </w:pPr>
      <w:r>
        <w:t xml:space="preserve">4) have sufficient resources for the role they are to perform, taking into account the financial arrangements and procedures that the regulated market may have established in order to guarantee the adequate settlement of </w:t>
      </w:r>
      <w:proofErr w:type="gramStart"/>
      <w:r>
        <w:t>transactions;</w:t>
      </w:r>
      <w:proofErr w:type="gramEnd"/>
    </w:p>
    <w:p w14:paraId="7E36B5BC" w14:textId="77777777" w:rsidR="00ED3A7E" w:rsidRPr="000550CF" w:rsidRDefault="00ED3A7E" w:rsidP="00F3494E">
      <w:pPr>
        <w:widowControl w:val="0"/>
        <w:ind w:firstLine="720"/>
        <w:jc w:val="both"/>
        <w:rPr>
          <w:szCs w:val="24"/>
        </w:rPr>
      </w:pPr>
      <w:r>
        <w:t>5) are authorised to provide in the Republic of Lithuania the investment services referred to in Article 3(26)(2) or (3) of this Law.</w:t>
      </w:r>
    </w:p>
    <w:p w14:paraId="13E6D946" w14:textId="77777777" w:rsidR="00ED3A7E" w:rsidRPr="000550CF" w:rsidRDefault="00ED3A7E" w:rsidP="00F3494E">
      <w:pPr>
        <w:widowControl w:val="0"/>
        <w:ind w:firstLine="720"/>
        <w:jc w:val="both"/>
        <w:rPr>
          <w:szCs w:val="24"/>
        </w:rPr>
      </w:pPr>
      <w:r>
        <w:t>4. For the transactions concluded on a regulated market its members shall not be obliged to apply to each other the obligations laid down in Articles 29, 30, 31, 33 and 34 of this Law. However, the members of the regulated market shall apply the obligations provided for in Articles 29, 30, 31, 33 and 34 of this Law with respect to their clients when they, acting on behalf of their clients, execute their orders on a regulated market.</w:t>
      </w:r>
    </w:p>
    <w:p w14:paraId="1A29FC2B" w14:textId="77777777" w:rsidR="00ED3A7E" w:rsidRPr="000550CF" w:rsidRDefault="00ED3A7E" w:rsidP="00F3494E">
      <w:pPr>
        <w:widowControl w:val="0"/>
        <w:ind w:firstLine="720"/>
        <w:jc w:val="both"/>
        <w:rPr>
          <w:szCs w:val="24"/>
        </w:rPr>
      </w:pPr>
      <w:r>
        <w:t>5. The rules on membership of and access to the regulated market shall provide for the direct or remote participation of financial brokerage firms and credit institutions.</w:t>
      </w:r>
    </w:p>
    <w:p w14:paraId="57BBB7C4" w14:textId="77777777" w:rsidR="00ED3A7E" w:rsidRPr="000550CF" w:rsidRDefault="00ED3A7E" w:rsidP="00F3494E">
      <w:pPr>
        <w:widowControl w:val="0"/>
        <w:ind w:firstLine="720"/>
        <w:jc w:val="both"/>
        <w:rPr>
          <w:szCs w:val="24"/>
        </w:rPr>
      </w:pPr>
      <w:r>
        <w:t xml:space="preserve">6. A regulated market from other Member States shall be allowed to provide arrangements on the territory of the Republic of Lithuania </w:t>
      </w:r>
      <w:proofErr w:type="gramStart"/>
      <w:r>
        <w:t>so as to</w:t>
      </w:r>
      <w:proofErr w:type="gramEnd"/>
      <w:r>
        <w:t xml:space="preserve"> facilitate access to and/or trading on this regulated market by remote members established in the territory of the Republic of Lithuania.</w:t>
      </w:r>
    </w:p>
    <w:p w14:paraId="5785B23E" w14:textId="77777777" w:rsidR="00ED3A7E" w:rsidRPr="000550CF" w:rsidRDefault="00ED3A7E" w:rsidP="00F3494E">
      <w:pPr>
        <w:ind w:firstLine="720"/>
        <w:jc w:val="both"/>
      </w:pPr>
      <w:r>
        <w:t>7. The right established in paragraph 6 of this Article may be implemented after the supervisory authority of another Member State communicates to the supervisory authority the information on the intention of a regulated market operating in the Republic of Lithuania to provide certain arrangements in the Republic of Lithuania.</w:t>
      </w:r>
    </w:p>
    <w:p w14:paraId="3F13DEC6" w14:textId="77777777" w:rsidR="00ED3A7E" w:rsidRPr="000550CF" w:rsidRDefault="00ED3A7E" w:rsidP="00F3494E">
      <w:pPr>
        <w:widowControl w:val="0"/>
        <w:ind w:firstLine="720"/>
        <w:jc w:val="both"/>
        <w:rPr>
          <w:szCs w:val="24"/>
        </w:rPr>
      </w:pPr>
      <w:r>
        <w:t xml:space="preserve">8. A regulated market operating in the Republic of Lithuania, without prejudice to requirements of legal acts of another Member State, shall have the right to provide arrangements so as to facilitate access to and/or trading on the regulated market by entities established in </w:t>
      </w:r>
      <w:proofErr w:type="gramStart"/>
      <w:r>
        <w:t>that  Member</w:t>
      </w:r>
      <w:proofErr w:type="gramEnd"/>
      <w:r>
        <w:t xml:space="preserve"> State.</w:t>
      </w:r>
    </w:p>
    <w:p w14:paraId="78561B22" w14:textId="77777777" w:rsidR="00ED3A7E" w:rsidRPr="000550CF" w:rsidRDefault="00ED3A7E" w:rsidP="00F3494E">
      <w:pPr>
        <w:widowControl w:val="0"/>
        <w:ind w:firstLine="720"/>
        <w:jc w:val="both"/>
        <w:rPr>
          <w:szCs w:val="24"/>
        </w:rPr>
      </w:pPr>
      <w:r>
        <w:t xml:space="preserve">9. </w:t>
      </w:r>
      <w:proofErr w:type="gramStart"/>
      <w:r>
        <w:t>In order to</w:t>
      </w:r>
      <w:proofErr w:type="gramEnd"/>
      <w:r>
        <w:t xml:space="preserve"> be able to exercise the right referred to in paragraph 8 of this Article the regulated market shall communicate to the supervisory authority the Member State in which it intends to provide the arrangements referred to in paragraph 8 of this Article. The supervisory authority shall communicate that information to the supervisory authority of the Member State in which the regulated market intends to provide such arrangements within one month. On receiving the request from the supervisory authority of another Member State, supervisory authority shall communicate the identity of the members of the regulated market.</w:t>
      </w:r>
    </w:p>
    <w:p w14:paraId="1A5BD2F4" w14:textId="77777777" w:rsidR="00ED3A7E" w:rsidRPr="000550CF" w:rsidRDefault="00ED3A7E" w:rsidP="00F3494E">
      <w:pPr>
        <w:ind w:firstLine="720"/>
        <w:jc w:val="both"/>
      </w:pPr>
      <w:r>
        <w:t>10. A market operator shall have the right to receive information on financial and economic activities of the regulated market members, verify their compliance with the requirements established by the market operator and apply sanctions set forth in the rules of the regulated market for the non-compliance with the established requirements.</w:t>
      </w:r>
    </w:p>
    <w:p w14:paraId="4FB887D2" w14:textId="77777777" w:rsidR="00ED3A7E" w:rsidRPr="000550CF" w:rsidRDefault="00ED3A7E" w:rsidP="00F3494E">
      <w:pPr>
        <w:widowControl w:val="0"/>
        <w:ind w:firstLine="720"/>
        <w:jc w:val="both"/>
        <w:rPr>
          <w:szCs w:val="24"/>
        </w:rPr>
      </w:pPr>
      <w:r>
        <w:t>11. In accordance with the procedure set forth by the supervisory authority the market operator of the market operating in the Republic of Lithuania must communicate the information on the members of the regulated market operated by it.</w:t>
      </w:r>
    </w:p>
    <w:p w14:paraId="753F716E" w14:textId="77777777" w:rsidR="00ED3A7E" w:rsidRPr="000550CF" w:rsidRDefault="00ED3A7E" w:rsidP="00F3494E">
      <w:pPr>
        <w:widowControl w:val="0"/>
        <w:ind w:firstLine="720"/>
        <w:jc w:val="both"/>
        <w:rPr>
          <w:szCs w:val="24"/>
          <w:lang w:eastAsia="lt-LT"/>
        </w:rPr>
      </w:pPr>
    </w:p>
    <w:p w14:paraId="1DEF899D" w14:textId="77777777" w:rsidR="00ED3A7E" w:rsidRPr="000550CF" w:rsidRDefault="00ED3A7E" w:rsidP="00F3494E">
      <w:pPr>
        <w:widowControl w:val="0"/>
        <w:ind w:firstLine="720"/>
        <w:jc w:val="both"/>
        <w:rPr>
          <w:szCs w:val="24"/>
        </w:rPr>
      </w:pPr>
      <w:r>
        <w:rPr>
          <w:b/>
          <w:szCs w:val="24"/>
        </w:rPr>
        <w:t>Article 67. Trading in financial instruments on a regulated market</w:t>
      </w:r>
    </w:p>
    <w:p w14:paraId="097F213B" w14:textId="77777777" w:rsidR="00ED3A7E" w:rsidRPr="000550CF" w:rsidRDefault="00ED3A7E" w:rsidP="00F3494E">
      <w:pPr>
        <w:widowControl w:val="0"/>
        <w:ind w:firstLine="720"/>
        <w:jc w:val="both"/>
        <w:rPr>
          <w:szCs w:val="24"/>
        </w:rPr>
      </w:pPr>
      <w:r>
        <w:t>1. Trading in financial instruments on a regulated market shall take place according to the rules.</w:t>
      </w:r>
    </w:p>
    <w:p w14:paraId="6D2A9C10" w14:textId="77777777" w:rsidR="00ED3A7E" w:rsidRPr="000550CF" w:rsidRDefault="00ED3A7E" w:rsidP="00F3494E">
      <w:pPr>
        <w:widowControl w:val="0"/>
        <w:ind w:firstLine="720"/>
        <w:jc w:val="both"/>
        <w:rPr>
          <w:szCs w:val="24"/>
        </w:rPr>
      </w:pPr>
      <w:r>
        <w:t xml:space="preserve">2. The rules of trading in financial instruments on a regulated market shall ensure that trading in financial instruments on the regulated market is conducted in a fair, orderly and efficient manner </w:t>
      </w:r>
      <w:proofErr w:type="gramStart"/>
      <w:r>
        <w:t>and also</w:t>
      </w:r>
      <w:proofErr w:type="gramEnd"/>
      <w:r>
        <w:t xml:space="preserve"> establish:</w:t>
      </w:r>
    </w:p>
    <w:p w14:paraId="16B20488" w14:textId="77777777" w:rsidR="00ED3A7E" w:rsidRPr="000550CF" w:rsidRDefault="00ED3A7E" w:rsidP="00F3494E">
      <w:pPr>
        <w:widowControl w:val="0"/>
        <w:ind w:firstLine="720"/>
        <w:jc w:val="both"/>
        <w:rPr>
          <w:szCs w:val="24"/>
        </w:rPr>
      </w:pPr>
      <w:r>
        <w:t xml:space="preserve">1) the procedure of trading in financial instruments on the regulated </w:t>
      </w:r>
      <w:proofErr w:type="gramStart"/>
      <w:r>
        <w:t>market;</w:t>
      </w:r>
      <w:proofErr w:type="gramEnd"/>
    </w:p>
    <w:p w14:paraId="46648C7A" w14:textId="77777777" w:rsidR="00ED3A7E" w:rsidRPr="000550CF" w:rsidRDefault="00ED3A7E" w:rsidP="00F3494E">
      <w:pPr>
        <w:widowControl w:val="0"/>
        <w:ind w:firstLine="720"/>
        <w:jc w:val="both"/>
        <w:rPr>
          <w:szCs w:val="24"/>
        </w:rPr>
      </w:pPr>
      <w:r>
        <w:t xml:space="preserve">2) the settlement </w:t>
      </w:r>
      <w:proofErr w:type="gramStart"/>
      <w:r>
        <w:t>conditions;</w:t>
      </w:r>
      <w:proofErr w:type="gramEnd"/>
    </w:p>
    <w:p w14:paraId="1A6E1192" w14:textId="77777777" w:rsidR="00ED3A7E" w:rsidRPr="000550CF" w:rsidRDefault="00ED3A7E" w:rsidP="00F3494E">
      <w:pPr>
        <w:widowControl w:val="0"/>
        <w:ind w:firstLine="720"/>
        <w:jc w:val="both"/>
        <w:rPr>
          <w:szCs w:val="24"/>
        </w:rPr>
      </w:pPr>
      <w:r>
        <w:t xml:space="preserve">3) the ways of settlement of disputes arising with respect to transactions concluded on the </w:t>
      </w:r>
      <w:r>
        <w:lastRenderedPageBreak/>
        <w:t>regulated market.</w:t>
      </w:r>
    </w:p>
    <w:p w14:paraId="79AAD7FD" w14:textId="6C0F5B4E" w:rsidR="001C276B" w:rsidRPr="001C276B" w:rsidRDefault="00ED3A7E" w:rsidP="001C276B">
      <w:pPr>
        <w:spacing w:line="400" w:lineRule="atLeast"/>
        <w:ind w:firstLine="720"/>
        <w:jc w:val="both"/>
        <w:rPr>
          <w:color w:val="000000"/>
          <w:szCs w:val="24"/>
        </w:rPr>
      </w:pPr>
      <w:r>
        <w:t xml:space="preserve">3.  </w:t>
      </w:r>
      <w:r>
        <w:rPr>
          <w:color w:val="000000"/>
          <w:szCs w:val="24"/>
        </w:rPr>
        <w:t>Regulated markets shall adopt tick size regimes in shares, depositary receipts, exchange-traded funds, certificates and other similar financial instruments and in any other financial instrument the tick size regime of which is regulated by legal acts of the European Union.</w:t>
      </w:r>
      <w:r>
        <w:rPr>
          <w:b/>
          <w:bCs/>
          <w:color w:val="000000"/>
          <w:szCs w:val="24"/>
        </w:rPr>
        <w:t> </w:t>
      </w:r>
      <w:r>
        <w:rPr>
          <w:color w:val="000000"/>
          <w:szCs w:val="24"/>
        </w:rPr>
        <w:t xml:space="preserve">Due to the application of tick size regimes in regulated markets, it shall not be prohibited to determine orders that are large in scale, within the meaning of Commission Delegated Regulation (EU) 2017/587 of 14 July 2016 supplementing Regulation (EU) No 600/2014 of the European Parliament and of the Council on markets in financial instruments with regard to regulatory technical standards on transparency requirements for trading venues and investment firms in respect of shares, depositary receipts, exchange-traded funds, certificates and other similar financial instruments and on transaction execution obligations in respect of certain shares on a trading venue or by a systematic </w:t>
      </w:r>
      <w:proofErr w:type="spellStart"/>
      <w:r>
        <w:rPr>
          <w:color w:val="000000"/>
          <w:szCs w:val="24"/>
        </w:rPr>
        <w:t>internaliser</w:t>
      </w:r>
      <w:proofErr w:type="spellEnd"/>
      <w:r>
        <w:rPr>
          <w:color w:val="000000"/>
          <w:szCs w:val="24"/>
        </w:rPr>
        <w:t>, by the average of the offered purchase and selling prices.</w:t>
      </w:r>
    </w:p>
    <w:p w14:paraId="2A2CEDD0" w14:textId="77777777" w:rsidR="001C276B" w:rsidRDefault="001C276B" w:rsidP="001C276B">
      <w:pPr>
        <w:rPr>
          <w:color w:val="000000"/>
          <w:sz w:val="27"/>
          <w:szCs w:val="27"/>
        </w:rPr>
      </w:pPr>
      <w:r>
        <w:rPr>
          <w:i/>
          <w:iCs/>
          <w:color w:val="000000"/>
          <w:sz w:val="20"/>
        </w:rPr>
        <w:t>Amendments to the paragraph of the Article:</w:t>
      </w:r>
    </w:p>
    <w:p w14:paraId="18AC036E" w14:textId="77777777" w:rsidR="001C276B" w:rsidRDefault="001C276B" w:rsidP="001C276B">
      <w:pPr>
        <w:jc w:val="both"/>
        <w:rPr>
          <w:color w:val="000000"/>
          <w:sz w:val="27"/>
          <w:szCs w:val="27"/>
        </w:rPr>
      </w:pPr>
      <w:r>
        <w:rPr>
          <w:i/>
          <w:iCs/>
          <w:color w:val="000000"/>
          <w:sz w:val="20"/>
        </w:rPr>
        <w:t xml:space="preserve">No </w:t>
      </w:r>
      <w:hyperlink r:id="rId130" w:tgtFrame="_parent" w:history="1">
        <w:r>
          <w:rPr>
            <w:rStyle w:val="Hyperlink"/>
            <w:i/>
            <w:iCs/>
            <w:sz w:val="20"/>
          </w:rPr>
          <w:t>XIII-2974</w:t>
        </w:r>
      </w:hyperlink>
      <w:r>
        <w:rPr>
          <w:i/>
          <w:iCs/>
          <w:color w:val="000000"/>
          <w:sz w:val="20"/>
        </w:rPr>
        <w:t>, 21/05/2020, published in the RLA, 29/05/2020, ID code 2020-11674</w:t>
      </w:r>
    </w:p>
    <w:p w14:paraId="0BA4BB13" w14:textId="1A0C55A6" w:rsidR="00ED3A7E" w:rsidRPr="000550CF" w:rsidRDefault="00ED3A7E" w:rsidP="00F3494E">
      <w:pPr>
        <w:widowControl w:val="0"/>
        <w:ind w:firstLine="720"/>
        <w:jc w:val="both"/>
        <w:rPr>
          <w:szCs w:val="24"/>
          <w:lang w:eastAsia="lt-LT"/>
        </w:rPr>
      </w:pPr>
    </w:p>
    <w:p w14:paraId="03366EB5" w14:textId="40A1F769" w:rsidR="001C276B" w:rsidRPr="001C276B" w:rsidRDefault="00ED3A7E" w:rsidP="001C276B">
      <w:pPr>
        <w:spacing w:line="400" w:lineRule="atLeast"/>
        <w:ind w:firstLine="720"/>
        <w:jc w:val="both"/>
        <w:rPr>
          <w:color w:val="000000"/>
          <w:szCs w:val="24"/>
        </w:rPr>
      </w:pPr>
      <w:r>
        <w:t xml:space="preserve">4.  </w:t>
      </w:r>
      <w:r>
        <w:rPr>
          <w:color w:val="000000"/>
          <w:szCs w:val="24"/>
        </w:rPr>
        <w:t xml:space="preserve">When determining the procedure for applying the tick size regime, the liquidity profile of the financial instrument in various markets and the average difference between the offered and requested prices must be assessed, </w:t>
      </w:r>
      <w:proofErr w:type="gramStart"/>
      <w:r>
        <w:rPr>
          <w:color w:val="000000"/>
          <w:szCs w:val="24"/>
        </w:rPr>
        <w:t>taking into account</w:t>
      </w:r>
      <w:proofErr w:type="gramEnd"/>
      <w:r>
        <w:rPr>
          <w:color w:val="000000"/>
          <w:szCs w:val="24"/>
        </w:rPr>
        <w:t xml:space="preserve"> the need to ensure sufficiently stable prices and not overly limiting the further reduction of the price differential.  This procedure shall be set in such a way that the tick size regime is properly applied to each financial instrument.</w:t>
      </w:r>
    </w:p>
    <w:p w14:paraId="5A41C3D5" w14:textId="77777777" w:rsidR="001C276B" w:rsidRDefault="001C276B" w:rsidP="001C276B">
      <w:pPr>
        <w:rPr>
          <w:color w:val="000000"/>
          <w:sz w:val="27"/>
          <w:szCs w:val="27"/>
        </w:rPr>
      </w:pPr>
      <w:r>
        <w:rPr>
          <w:i/>
          <w:iCs/>
          <w:color w:val="000000"/>
          <w:sz w:val="20"/>
        </w:rPr>
        <w:t>Amendments to the paragraph of the Article:</w:t>
      </w:r>
    </w:p>
    <w:p w14:paraId="2802B76C" w14:textId="77777777" w:rsidR="001C276B" w:rsidRDefault="001C276B" w:rsidP="001C276B">
      <w:pPr>
        <w:jc w:val="both"/>
        <w:rPr>
          <w:color w:val="000000"/>
          <w:sz w:val="27"/>
          <w:szCs w:val="27"/>
        </w:rPr>
      </w:pPr>
      <w:r>
        <w:rPr>
          <w:i/>
          <w:iCs/>
          <w:color w:val="000000"/>
          <w:sz w:val="20"/>
        </w:rPr>
        <w:t xml:space="preserve">No </w:t>
      </w:r>
      <w:hyperlink r:id="rId131" w:tgtFrame="_parent" w:history="1">
        <w:r>
          <w:rPr>
            <w:rStyle w:val="Hyperlink"/>
            <w:i/>
            <w:iCs/>
            <w:sz w:val="20"/>
          </w:rPr>
          <w:t>XIII-2974</w:t>
        </w:r>
      </w:hyperlink>
      <w:r>
        <w:rPr>
          <w:i/>
          <w:iCs/>
          <w:color w:val="000000"/>
          <w:sz w:val="20"/>
        </w:rPr>
        <w:t>, 21/05/2020, published in the RLA, 29/05/2020, ID code 2020-11674</w:t>
      </w:r>
    </w:p>
    <w:p w14:paraId="49A981BF" w14:textId="0B436A14" w:rsidR="00ED3A7E" w:rsidRPr="000550CF" w:rsidRDefault="00ED3A7E" w:rsidP="00F3494E">
      <w:pPr>
        <w:widowControl w:val="0"/>
        <w:ind w:firstLine="720"/>
        <w:jc w:val="both"/>
        <w:rPr>
          <w:szCs w:val="24"/>
          <w:lang w:eastAsia="lt-LT"/>
        </w:rPr>
      </w:pPr>
    </w:p>
    <w:p w14:paraId="06E35EEC" w14:textId="77777777" w:rsidR="00ED3A7E" w:rsidRPr="000550CF" w:rsidRDefault="00ED3A7E" w:rsidP="00F3494E">
      <w:pPr>
        <w:widowControl w:val="0"/>
        <w:ind w:firstLine="720"/>
        <w:jc w:val="both"/>
        <w:rPr>
          <w:szCs w:val="24"/>
          <w:lang w:eastAsia="lt-LT"/>
        </w:rPr>
      </w:pPr>
    </w:p>
    <w:p w14:paraId="5BBD31BD" w14:textId="77777777" w:rsidR="00ED3A7E" w:rsidRPr="000550CF" w:rsidRDefault="00ED3A7E" w:rsidP="00F3494E">
      <w:pPr>
        <w:widowControl w:val="0"/>
        <w:ind w:left="2410" w:hanging="1690"/>
        <w:jc w:val="both"/>
        <w:rPr>
          <w:szCs w:val="24"/>
        </w:rPr>
      </w:pPr>
      <w:r>
        <w:rPr>
          <w:b/>
          <w:szCs w:val="24"/>
        </w:rPr>
        <w:t xml:space="preserve">Article 68. </w:t>
      </w:r>
      <w:proofErr w:type="spellStart"/>
      <w:r>
        <w:rPr>
          <w:b/>
        </w:rPr>
        <w:t>CCP</w:t>
      </w:r>
      <w:proofErr w:type="spellEnd"/>
      <w:r>
        <w:rPr>
          <w:b/>
        </w:rPr>
        <w:t xml:space="preserve"> and clearing and settlement </w:t>
      </w:r>
      <w:proofErr w:type="gramStart"/>
      <w:r>
        <w:rPr>
          <w:b/>
        </w:rPr>
        <w:t>arrangements</w:t>
      </w:r>
      <w:proofErr w:type="gramEnd"/>
      <w:r>
        <w:rPr>
          <w:b/>
          <w:szCs w:val="24"/>
        </w:rPr>
        <w:t xml:space="preserve"> </w:t>
      </w:r>
    </w:p>
    <w:p w14:paraId="042A0DBC" w14:textId="77777777" w:rsidR="00ED3A7E" w:rsidRPr="000550CF" w:rsidRDefault="00ED3A7E" w:rsidP="00F3494E">
      <w:pPr>
        <w:widowControl w:val="0"/>
        <w:ind w:firstLine="720"/>
        <w:jc w:val="both"/>
        <w:rPr>
          <w:szCs w:val="24"/>
        </w:rPr>
      </w:pPr>
      <w:r>
        <w:t xml:space="preserve">1. Regulated markets may </w:t>
      </w:r>
      <w:proofErr w:type="gramStart"/>
      <w:r>
        <w:t>enter into</w:t>
      </w:r>
      <w:proofErr w:type="gramEnd"/>
      <w:r>
        <w:t xml:space="preserve"> appropriate arrangements with a </w:t>
      </w:r>
      <w:proofErr w:type="spellStart"/>
      <w:r>
        <w:t>CCP</w:t>
      </w:r>
      <w:proofErr w:type="spellEnd"/>
      <w:r>
        <w:t xml:space="preserve"> or a clearing house and a settlement system of another Member State with a view to providing for the clearing and/or settlement of some or all trades concluded by market participants under their systems.</w:t>
      </w:r>
    </w:p>
    <w:p w14:paraId="5C5D9241" w14:textId="77777777" w:rsidR="00ED3A7E" w:rsidRPr="000550CF" w:rsidRDefault="00ED3A7E" w:rsidP="00F3494E">
      <w:pPr>
        <w:ind w:firstLine="720"/>
        <w:jc w:val="both"/>
      </w:pPr>
      <w:r>
        <w:t xml:space="preserve">2. Without prejudice to Titles III, IV or V of Regulation (EU) No 648/2012, the supervisory authority may not oppose the use of </w:t>
      </w:r>
      <w:proofErr w:type="spellStart"/>
      <w:r>
        <w:t>CCP</w:t>
      </w:r>
      <w:proofErr w:type="spellEnd"/>
      <w:r>
        <w:t xml:space="preserve">, clearing houses and/or settlement systems in another Member State except where demonstrably necessary </w:t>
      </w:r>
      <w:proofErr w:type="gramStart"/>
      <w:r>
        <w:t>in order to</w:t>
      </w:r>
      <w:proofErr w:type="gramEnd"/>
      <w:r>
        <w:t xml:space="preserve"> maintain the orderly functioning of that regulated market and taking into account the conditions for settlement systems established in Article 47(2) of this Law.</w:t>
      </w:r>
    </w:p>
    <w:p w14:paraId="0CC0A0DB" w14:textId="77777777" w:rsidR="00ED3A7E" w:rsidRPr="000550CF" w:rsidRDefault="00ED3A7E" w:rsidP="00F3494E">
      <w:pPr>
        <w:widowControl w:val="0"/>
        <w:ind w:firstLine="720"/>
        <w:jc w:val="both"/>
        <w:rPr>
          <w:szCs w:val="24"/>
        </w:rPr>
      </w:pPr>
      <w:r>
        <w:t xml:space="preserve">3. </w:t>
      </w:r>
      <w:proofErr w:type="gramStart"/>
      <w:r>
        <w:t>In order to</w:t>
      </w:r>
      <w:proofErr w:type="gramEnd"/>
      <w:r>
        <w:t xml:space="preserve"> avoid duplication of control, the supervisory authority shall take into account the oversight of the clearing and settlement system already exercised by the central banks or by other supervisory authorities.</w:t>
      </w:r>
    </w:p>
    <w:p w14:paraId="54E7B1D9" w14:textId="77777777" w:rsidR="00ED3A7E" w:rsidRPr="000550CF" w:rsidRDefault="00ED3A7E" w:rsidP="00F3494E">
      <w:pPr>
        <w:widowControl w:val="0"/>
        <w:ind w:firstLine="720"/>
        <w:rPr>
          <w:szCs w:val="24"/>
          <w:lang w:eastAsia="lt-LT"/>
        </w:rPr>
      </w:pPr>
    </w:p>
    <w:p w14:paraId="579EA5D3" w14:textId="77777777" w:rsidR="00ED3A7E" w:rsidRPr="000550CF" w:rsidRDefault="00ED3A7E" w:rsidP="00F3494E">
      <w:pPr>
        <w:widowControl w:val="0"/>
        <w:ind w:firstLine="720"/>
        <w:jc w:val="both"/>
        <w:rPr>
          <w:szCs w:val="24"/>
        </w:rPr>
      </w:pPr>
      <w:r>
        <w:rPr>
          <w:b/>
          <w:szCs w:val="24"/>
        </w:rPr>
        <w:t xml:space="preserve">Article 69. </w:t>
      </w:r>
      <w:r>
        <w:rPr>
          <w:b/>
        </w:rPr>
        <w:t>List of regulated markets</w:t>
      </w:r>
      <w:r>
        <w:rPr>
          <w:b/>
          <w:szCs w:val="24"/>
        </w:rPr>
        <w:t xml:space="preserve"> </w:t>
      </w:r>
    </w:p>
    <w:p w14:paraId="7C4C813E" w14:textId="77777777" w:rsidR="00ED3A7E" w:rsidRPr="000550CF" w:rsidRDefault="00ED3A7E" w:rsidP="00F3494E">
      <w:pPr>
        <w:widowControl w:val="0"/>
        <w:ind w:firstLine="720"/>
        <w:jc w:val="both"/>
        <w:rPr>
          <w:szCs w:val="24"/>
        </w:rPr>
      </w:pPr>
      <w:r>
        <w:t xml:space="preserve">The supervisory authority shall draw up a list of the regulated markets operating in the Republic of Lithuania and shall forward that list to the other Member States and ESMA. A similar communication shall be </w:t>
      </w:r>
      <w:proofErr w:type="gramStart"/>
      <w:r>
        <w:t>effected</w:t>
      </w:r>
      <w:proofErr w:type="gramEnd"/>
      <w:r>
        <w:t xml:space="preserve"> in respect of each change to that list. ESMA shall publish and keep </w:t>
      </w:r>
      <w:proofErr w:type="gramStart"/>
      <w:r>
        <w:t>up-to-date</w:t>
      </w:r>
      <w:proofErr w:type="gramEnd"/>
      <w:r>
        <w:t xml:space="preserve"> a list of all regulated markets on its website.</w:t>
      </w:r>
    </w:p>
    <w:p w14:paraId="1E070F74" w14:textId="77777777" w:rsidR="00ED3A7E" w:rsidRPr="000550CF" w:rsidRDefault="00ED3A7E" w:rsidP="00F3494E">
      <w:pPr>
        <w:widowControl w:val="0"/>
        <w:ind w:firstLine="720"/>
        <w:jc w:val="both"/>
        <w:rPr>
          <w:szCs w:val="24"/>
          <w:lang w:eastAsia="lt-LT"/>
        </w:rPr>
      </w:pPr>
    </w:p>
    <w:p w14:paraId="0FE88639" w14:textId="77777777" w:rsidR="00ED3A7E" w:rsidRPr="000550CF" w:rsidRDefault="00ED3A7E" w:rsidP="00F3494E">
      <w:pPr>
        <w:widowControl w:val="0"/>
        <w:ind w:firstLine="720"/>
        <w:jc w:val="both"/>
        <w:rPr>
          <w:b/>
          <w:szCs w:val="24"/>
        </w:rPr>
      </w:pPr>
      <w:r>
        <w:rPr>
          <w:b/>
          <w:szCs w:val="24"/>
        </w:rPr>
        <w:t xml:space="preserve">Article 70. </w:t>
      </w:r>
      <w:r>
        <w:rPr>
          <w:b/>
        </w:rPr>
        <w:t>Systems resilience, circuit breakers and electronic trading</w:t>
      </w:r>
      <w:r>
        <w:rPr>
          <w:b/>
          <w:szCs w:val="24"/>
        </w:rPr>
        <w:t xml:space="preserve"> </w:t>
      </w:r>
    </w:p>
    <w:p w14:paraId="6671EB35" w14:textId="77777777" w:rsidR="00ED3A7E" w:rsidRPr="000550CF" w:rsidRDefault="00ED3A7E" w:rsidP="00F3494E">
      <w:pPr>
        <w:widowControl w:val="0"/>
        <w:ind w:firstLine="720"/>
        <w:jc w:val="both"/>
        <w:rPr>
          <w:szCs w:val="24"/>
        </w:rPr>
      </w:pPr>
      <w:r>
        <w:t xml:space="preserve">1. A regulated market to have in place effective systems, procedures and arrangements to ensure its trading systems are resilient, have sufficient capacity to deal with peak order and message </w:t>
      </w:r>
      <w:r>
        <w:lastRenderedPageBreak/>
        <w:t>volumes, are able to ensure orderly trading under conditions of severe market stress, are fully tested to ensure such conditions are met and are subject to effective business continuity arrangements to ensure continuity of its services if there is any failure of its trading systems.</w:t>
      </w:r>
    </w:p>
    <w:p w14:paraId="3B593A6E" w14:textId="77777777" w:rsidR="00ED3A7E" w:rsidRPr="000550CF" w:rsidRDefault="00ED3A7E" w:rsidP="00F3494E">
      <w:pPr>
        <w:widowControl w:val="0"/>
        <w:ind w:firstLine="720"/>
        <w:jc w:val="both"/>
        <w:rPr>
          <w:szCs w:val="24"/>
        </w:rPr>
      </w:pPr>
      <w:r>
        <w:t>2. A regulated market shall be required to have in place:</w:t>
      </w:r>
    </w:p>
    <w:p w14:paraId="69235032" w14:textId="77777777" w:rsidR="00ED3A7E" w:rsidRPr="000550CF" w:rsidRDefault="00ED3A7E" w:rsidP="00F3494E">
      <w:pPr>
        <w:widowControl w:val="0"/>
        <w:ind w:firstLine="720"/>
        <w:jc w:val="both"/>
        <w:rPr>
          <w:szCs w:val="24"/>
        </w:rPr>
      </w:pPr>
      <w:r>
        <w:t xml:space="preserve">1) written agreements with all financial brokerage firms pursuing a market making strategy on the regulated </w:t>
      </w:r>
      <w:proofErr w:type="gramStart"/>
      <w:r>
        <w:t>market;</w:t>
      </w:r>
      <w:proofErr w:type="gramEnd"/>
    </w:p>
    <w:p w14:paraId="0AC87DE3" w14:textId="77777777" w:rsidR="00ED3A7E" w:rsidRPr="000550CF" w:rsidRDefault="00ED3A7E" w:rsidP="00F3494E">
      <w:pPr>
        <w:widowControl w:val="0"/>
        <w:ind w:firstLine="720"/>
        <w:jc w:val="both"/>
        <w:rPr>
          <w:szCs w:val="24"/>
        </w:rPr>
      </w:pPr>
      <w:r>
        <w:t xml:space="preserve">2) schemes to ensure that </w:t>
      </w:r>
      <w:proofErr w:type="gramStart"/>
      <w:r>
        <w:t>a sufficient number of</w:t>
      </w:r>
      <w:proofErr w:type="gramEnd"/>
      <w:r>
        <w:t xml:space="preserve"> financial brokerage firms participate in such agreements which require them to post firm quotes at competitive prices with the result of providing liquidity to the market on a regular and predictable basis, where such a requirement is appropriate to the nature and scale of the trading on that regulated market.</w:t>
      </w:r>
    </w:p>
    <w:p w14:paraId="48921A46" w14:textId="77777777" w:rsidR="00ED3A7E" w:rsidRPr="000550CF" w:rsidRDefault="00ED3A7E" w:rsidP="00F3494E">
      <w:pPr>
        <w:widowControl w:val="0"/>
        <w:ind w:firstLine="720"/>
        <w:jc w:val="both"/>
        <w:rPr>
          <w:szCs w:val="24"/>
        </w:rPr>
      </w:pPr>
      <w:r>
        <w:t>3. The written agreement referred to in paragraph 2 of this Article shall at least specify:</w:t>
      </w:r>
    </w:p>
    <w:p w14:paraId="2806BABC" w14:textId="77777777" w:rsidR="00ED3A7E" w:rsidRPr="000550CF" w:rsidRDefault="00ED3A7E" w:rsidP="00F3494E">
      <w:pPr>
        <w:ind w:firstLine="720"/>
        <w:jc w:val="both"/>
      </w:pPr>
      <w:r>
        <w:t xml:space="preserve">1) the obligations of the financial brokerage firm in relation to the provision of liquidity and where applicable any other obligation arising from participation in the scheme referred to in point 2 of paragraph 2 of this </w:t>
      </w:r>
      <w:proofErr w:type="gramStart"/>
      <w:r>
        <w:t>Article;</w:t>
      </w:r>
      <w:proofErr w:type="gramEnd"/>
      <w:r>
        <w:t xml:space="preserve"> </w:t>
      </w:r>
    </w:p>
    <w:p w14:paraId="253686D4" w14:textId="77777777" w:rsidR="00ED3A7E" w:rsidRPr="000550CF" w:rsidRDefault="00ED3A7E" w:rsidP="00F3494E">
      <w:pPr>
        <w:ind w:firstLine="720"/>
        <w:jc w:val="both"/>
      </w:pPr>
      <w:r>
        <w:t xml:space="preserve">2) any incentives in terms of rebates or otherwise offered by the regulated market to a financial brokerage firm </w:t>
      </w:r>
      <w:proofErr w:type="gramStart"/>
      <w:r>
        <w:t>so as to</w:t>
      </w:r>
      <w:proofErr w:type="gramEnd"/>
      <w:r>
        <w:t xml:space="preserve"> provide liquidity to the market on a regular and predictable basis and, where applicable, any other rights accruing to the financial brokerage firm as a result of participation in the scheme referred to in point 2 of paragraph 2 of this Article. </w:t>
      </w:r>
    </w:p>
    <w:p w14:paraId="37DF4643" w14:textId="77777777" w:rsidR="00ED3A7E" w:rsidRPr="000550CF" w:rsidRDefault="00ED3A7E" w:rsidP="00F3494E">
      <w:pPr>
        <w:widowControl w:val="0"/>
        <w:ind w:firstLine="720"/>
        <w:jc w:val="both"/>
        <w:rPr>
          <w:szCs w:val="24"/>
        </w:rPr>
      </w:pPr>
      <w:r>
        <w:t>4. The regulated market shall monitor and enforce compliance by financial brokerage firms with the requirements of such binding written agreements. The regulated market shall inform the supervisory authority about the content of the binding written agreement and shall, upon request of the supervisory authority, provide all further information to the supervisory authority necessary to enable the supervisory authority to satisfy itself of compliance by the regulated market with this paragraph.</w:t>
      </w:r>
    </w:p>
    <w:p w14:paraId="0B974A9D" w14:textId="77777777" w:rsidR="00ED3A7E" w:rsidRPr="000550CF" w:rsidRDefault="00ED3A7E" w:rsidP="00F3494E">
      <w:pPr>
        <w:widowControl w:val="0"/>
        <w:ind w:firstLine="720"/>
        <w:jc w:val="both"/>
        <w:rPr>
          <w:szCs w:val="24"/>
        </w:rPr>
      </w:pPr>
      <w:r>
        <w:t>5. A regulated market to have in place effective systems, procedures and arrangements to reject orders that exceed pre-determined volume and price thresholds or are clearly erroneous.</w:t>
      </w:r>
    </w:p>
    <w:p w14:paraId="46162D72" w14:textId="77777777" w:rsidR="00ED3A7E" w:rsidRPr="000550CF" w:rsidRDefault="00ED3A7E" w:rsidP="00F3494E">
      <w:pPr>
        <w:widowControl w:val="0"/>
        <w:ind w:firstLine="720"/>
        <w:jc w:val="both"/>
        <w:rPr>
          <w:szCs w:val="24"/>
        </w:rPr>
      </w:pPr>
      <w:r>
        <w:t>6. A regulated market shall be able to temporarily halt or constrain trading if there is a significant price movement in a financial instrument on that market or a related market during a short period and, in exceptional cases, to be able to cancel, vary or correct any transaction. A  regulated market shall ensure that the parameters for halting trading are appropriately calibrated in a way which takes into account the liquidity of different asset classes and sub-classes, the nature of the market model and types of users and is sufficient to avoid significant disruptions to the orderliness of trading.</w:t>
      </w:r>
    </w:p>
    <w:p w14:paraId="5BDA4208" w14:textId="77777777" w:rsidR="00ED3A7E" w:rsidRPr="000550CF" w:rsidRDefault="00ED3A7E" w:rsidP="00F3494E">
      <w:pPr>
        <w:ind w:firstLine="720"/>
        <w:jc w:val="both"/>
      </w:pPr>
      <w:r>
        <w:t>7. A regulated market must report the parameters for halting trading and any material changes to those parameters to the supervisory authority in a consistent and comparable manner, and that the supervisory authority shall in turn report them to ESMA. Where a regulated market which is material in terms of liquidity in that financial instrument halts trading, in any Member State, that trading venue has the necessary systems and procedures in place to ensure that it will notify competent authorities in order for them to coordinate a market-wide response and determine whether it is appropriate to halt trading on other venues on which the financial instrument is traded until trading resumes on the original market.</w:t>
      </w:r>
    </w:p>
    <w:p w14:paraId="5F242205" w14:textId="77777777" w:rsidR="00ED3A7E" w:rsidRPr="000550CF" w:rsidRDefault="00ED3A7E" w:rsidP="00F3494E">
      <w:pPr>
        <w:widowControl w:val="0"/>
        <w:ind w:firstLine="720"/>
        <w:jc w:val="both"/>
        <w:rPr>
          <w:szCs w:val="24"/>
        </w:rPr>
      </w:pPr>
      <w:r>
        <w:t>8. A regulated market shall have in place effective systems, procedures and arrangements, including requiring members or participants to carry out appropriate testing of algorithms and providing environments to facilitate such testing in order:</w:t>
      </w:r>
    </w:p>
    <w:p w14:paraId="0839EFFD" w14:textId="77777777" w:rsidR="00ED3A7E" w:rsidRPr="000550CF" w:rsidRDefault="00ED3A7E" w:rsidP="00F3494E">
      <w:pPr>
        <w:widowControl w:val="0"/>
        <w:ind w:firstLine="720"/>
        <w:jc w:val="both"/>
        <w:rPr>
          <w:szCs w:val="24"/>
        </w:rPr>
      </w:pPr>
      <w:r>
        <w:t>1) to ensure that algorithmic trading systems cannot create or contribute to disorderly trading conditions on the market;</w:t>
      </w:r>
    </w:p>
    <w:p w14:paraId="31B86C0B" w14:textId="77777777" w:rsidR="00ED3A7E" w:rsidRPr="000550CF" w:rsidRDefault="00ED3A7E" w:rsidP="00F3494E">
      <w:pPr>
        <w:ind w:firstLine="720"/>
        <w:jc w:val="both"/>
      </w:pPr>
      <w:r>
        <w:t>2) to manage any disorderly trading conditions which do arise from such algorithmic trading systems, including systems to limit the ratio of unexecuted orders to transactions that may be entered into the system by a member or participant, to be able to slow down the flow of orders if there is a risk of its system capacity being reached and to limit and enforce the minimum tick size that may be executed on the market.</w:t>
      </w:r>
    </w:p>
    <w:p w14:paraId="0B159F24" w14:textId="77777777" w:rsidR="00ED3A7E" w:rsidRPr="000550CF" w:rsidRDefault="00ED3A7E" w:rsidP="00F3494E">
      <w:pPr>
        <w:ind w:firstLine="720"/>
        <w:jc w:val="both"/>
      </w:pPr>
      <w:r>
        <w:t xml:space="preserve">9. A regulated market that permits direct electronic access shall have in place effective systems procedures and arrangements to ensure that members or participants are only permitted to </w:t>
      </w:r>
      <w:r>
        <w:lastRenderedPageBreak/>
        <w:t>provide such services if they hold an investment firm licence or a credit institution licence issued by the supervisory authority.</w:t>
      </w:r>
    </w:p>
    <w:p w14:paraId="5786E3F2" w14:textId="77777777" w:rsidR="00ED3A7E" w:rsidRPr="000550CF" w:rsidRDefault="00ED3A7E" w:rsidP="00F3494E">
      <w:pPr>
        <w:ind w:firstLine="720"/>
        <w:jc w:val="both"/>
      </w:pPr>
      <w:r>
        <w:t xml:space="preserve">10. A regulated market shall set and apply appropriate criteria regarding the suitability of persons to whom such access may be provided and that the member or participant retains responsibility for orders and trades executed using that service in relation to the requirements of this Law. </w:t>
      </w:r>
    </w:p>
    <w:p w14:paraId="6CE399C5" w14:textId="77777777" w:rsidR="00ED3A7E" w:rsidRPr="000550CF" w:rsidRDefault="00ED3A7E" w:rsidP="00F3494E">
      <w:pPr>
        <w:ind w:firstLine="720"/>
        <w:jc w:val="both"/>
      </w:pPr>
      <w:r>
        <w:t xml:space="preserve">11. A regulated market shall set appropriate standards regarding risk controls and thresholds on trading through such access and is able to distinguish and if necessary to stop orders or trading by a person using direct electronic access separately from other orders or trading by the member or participant. </w:t>
      </w:r>
    </w:p>
    <w:p w14:paraId="728F191E" w14:textId="77777777" w:rsidR="00ED3A7E" w:rsidRPr="000550CF" w:rsidRDefault="00ED3A7E" w:rsidP="00F3494E">
      <w:pPr>
        <w:ind w:firstLine="720"/>
        <w:jc w:val="both"/>
      </w:pPr>
      <w:r>
        <w:t>12. A regulated market shall have arrangements in place to suspend or terminate the provision of direct electronic access by a member or participant to a client in the case of non-compliance with the requirements of paragraphs 9 to 11 of this Article.</w:t>
      </w:r>
    </w:p>
    <w:p w14:paraId="76C38C28" w14:textId="77777777" w:rsidR="00ED3A7E" w:rsidRPr="000550CF" w:rsidRDefault="00ED3A7E" w:rsidP="00F3494E">
      <w:pPr>
        <w:ind w:firstLine="720"/>
        <w:jc w:val="both"/>
      </w:pPr>
      <w:r>
        <w:t>13. A regulated market shall ensure that its rules on co-location services are transparent, fair and non-discriminatory.</w:t>
      </w:r>
    </w:p>
    <w:p w14:paraId="46E4C8E7" w14:textId="77777777" w:rsidR="00ED3A7E" w:rsidRPr="000550CF" w:rsidRDefault="00ED3A7E" w:rsidP="00F3494E">
      <w:pPr>
        <w:ind w:firstLine="720"/>
        <w:jc w:val="both"/>
      </w:pPr>
      <w:r>
        <w:t xml:space="preserve">14. A regulated market shall ensure that its fee structures including execution fees, ancillary fees and any rebates are transparent, fair and non-discriminatory and that they do not create incentives to place, modify or cancel orders or to execute transactions in a way which contributes to disorderly trading conditions or market abuse. A regulated market shall impose market making obligations in individual shares or a suitable basket of shares in exchange for any rebates that are granted. </w:t>
      </w:r>
    </w:p>
    <w:p w14:paraId="51FC0ED3" w14:textId="77777777" w:rsidR="00ED3A7E" w:rsidRPr="000550CF" w:rsidRDefault="00ED3A7E" w:rsidP="00F3494E">
      <w:pPr>
        <w:ind w:firstLine="720"/>
        <w:jc w:val="both"/>
      </w:pPr>
      <w:r>
        <w:t xml:space="preserve">15. A regulated market shall adjust its fees for cancelled orders according to the length of time for which the order was maintained and to calibrate the fees to each financial instrument to which they apply. </w:t>
      </w:r>
    </w:p>
    <w:p w14:paraId="4DD18460" w14:textId="77777777" w:rsidR="00ED3A7E" w:rsidRPr="000550CF" w:rsidRDefault="00ED3A7E" w:rsidP="00F3494E">
      <w:pPr>
        <w:ind w:firstLine="720"/>
        <w:jc w:val="both"/>
      </w:pPr>
      <w:r>
        <w:t>16. A regulated market may impose a higher fee for placing an order that is subsequently cancelled than an order which is executed and to impose a higher fee on participants placing a high ratio of cancelled orders to executed orders and on those operating a high-frequency algorithmic trading technique in order to reflect the additional burden on system capacity.</w:t>
      </w:r>
    </w:p>
    <w:p w14:paraId="79D03AE7" w14:textId="77777777" w:rsidR="00ED3A7E" w:rsidRPr="000550CF" w:rsidRDefault="00ED3A7E" w:rsidP="00F3494E">
      <w:pPr>
        <w:ind w:firstLine="720"/>
        <w:jc w:val="both"/>
      </w:pPr>
      <w:r>
        <w:t>17. A regulated market shall be able to identify, by means of flagging from members or participants, orders generated by algorithmic trading, the different algorithms used for the creation of orders and the relevant persons initiating those orders. That information shall be available to the supervisory authority upon request.</w:t>
      </w:r>
    </w:p>
    <w:p w14:paraId="44709C90" w14:textId="77777777" w:rsidR="00ED3A7E" w:rsidRPr="000550CF" w:rsidRDefault="00ED3A7E" w:rsidP="00F3494E">
      <w:pPr>
        <w:widowControl w:val="0"/>
        <w:ind w:firstLine="720"/>
        <w:jc w:val="both"/>
        <w:rPr>
          <w:szCs w:val="24"/>
        </w:rPr>
      </w:pPr>
      <w:r>
        <w:t>18. Upon request by the supervisory authority, a regulated market shall make available to the supervisory authority data relating to the order book or give the competent authority access to the order book so that it is able to monitor trading.</w:t>
      </w:r>
    </w:p>
    <w:p w14:paraId="2F3328D7" w14:textId="77777777" w:rsidR="00ED3A7E" w:rsidRPr="000550CF" w:rsidRDefault="00ED3A7E" w:rsidP="00F3494E">
      <w:pPr>
        <w:widowControl w:val="0"/>
        <w:ind w:firstLine="720"/>
        <w:jc w:val="both"/>
        <w:rPr>
          <w:szCs w:val="24"/>
          <w:lang w:eastAsia="lt-LT"/>
        </w:rPr>
      </w:pPr>
    </w:p>
    <w:p w14:paraId="58B2827E" w14:textId="77777777" w:rsidR="00ED3A7E" w:rsidRPr="000550CF" w:rsidRDefault="00ED3A7E" w:rsidP="00F3494E">
      <w:pPr>
        <w:widowControl w:val="0"/>
        <w:ind w:firstLine="720"/>
        <w:jc w:val="both"/>
        <w:rPr>
          <w:szCs w:val="24"/>
        </w:rPr>
      </w:pPr>
      <w:r>
        <w:rPr>
          <w:b/>
          <w:szCs w:val="24"/>
        </w:rPr>
        <w:t xml:space="preserve">Article 71. </w:t>
      </w:r>
      <w:r>
        <w:rPr>
          <w:b/>
        </w:rPr>
        <w:t>Synchronisation of business clocks</w:t>
      </w:r>
      <w:r>
        <w:rPr>
          <w:b/>
          <w:szCs w:val="24"/>
        </w:rPr>
        <w:t xml:space="preserve"> </w:t>
      </w:r>
    </w:p>
    <w:p w14:paraId="5344F310" w14:textId="77777777" w:rsidR="00ED3A7E" w:rsidRPr="000550CF" w:rsidRDefault="00ED3A7E" w:rsidP="00F3494E">
      <w:pPr>
        <w:widowControl w:val="0"/>
        <w:ind w:firstLine="720"/>
        <w:jc w:val="both"/>
        <w:rPr>
          <w:szCs w:val="24"/>
        </w:rPr>
      </w:pPr>
      <w:r>
        <w:t>All trading venues and their participants shall synchronise the business clocks they use to record the date and time of any reportable event.</w:t>
      </w:r>
    </w:p>
    <w:p w14:paraId="172D9E1B" w14:textId="77777777" w:rsidR="00ED3A7E" w:rsidRPr="000550CF" w:rsidRDefault="00ED3A7E" w:rsidP="00F3494E">
      <w:pPr>
        <w:widowControl w:val="0"/>
        <w:ind w:firstLine="720"/>
        <w:jc w:val="both"/>
        <w:rPr>
          <w:szCs w:val="24"/>
          <w:lang w:eastAsia="lt-LT"/>
        </w:rPr>
      </w:pPr>
    </w:p>
    <w:p w14:paraId="4C173DDC" w14:textId="77777777" w:rsidR="00ED3A7E" w:rsidRPr="000550CF" w:rsidRDefault="00ED3A7E" w:rsidP="00F3494E">
      <w:pPr>
        <w:widowControl w:val="0"/>
        <w:jc w:val="center"/>
        <w:rPr>
          <w:szCs w:val="24"/>
        </w:rPr>
      </w:pPr>
      <w:r>
        <w:rPr>
          <w:b/>
          <w:szCs w:val="24"/>
        </w:rPr>
        <w:t>CHAPTER IV</w:t>
      </w:r>
    </w:p>
    <w:p w14:paraId="32AD08C6" w14:textId="77777777" w:rsidR="00ED3A7E" w:rsidRPr="000550CF" w:rsidRDefault="00ED3A7E" w:rsidP="0007374E">
      <w:pPr>
        <w:widowControl w:val="0"/>
        <w:ind w:firstLine="720"/>
        <w:jc w:val="center"/>
        <w:rPr>
          <w:b/>
          <w:szCs w:val="24"/>
        </w:rPr>
      </w:pPr>
      <w:r>
        <w:rPr>
          <w:b/>
        </w:rPr>
        <w:t>POSITION LIMITS AND POSITION MANAGEMENT CONTROLS IN COMMODITY DERIVATIVES AND REPORTING</w:t>
      </w:r>
    </w:p>
    <w:p w14:paraId="33366454" w14:textId="77777777" w:rsidR="00ED3A7E" w:rsidRPr="000550CF" w:rsidRDefault="00ED3A7E" w:rsidP="00F3494E">
      <w:pPr>
        <w:widowControl w:val="0"/>
        <w:ind w:firstLine="720"/>
        <w:jc w:val="both"/>
        <w:rPr>
          <w:b/>
          <w:szCs w:val="24"/>
          <w:lang w:eastAsia="lt-LT"/>
        </w:rPr>
      </w:pPr>
    </w:p>
    <w:p w14:paraId="48B3C088" w14:textId="77777777" w:rsidR="00ED3A7E" w:rsidRPr="000550CF" w:rsidRDefault="00ED3A7E" w:rsidP="00F3494E">
      <w:pPr>
        <w:widowControl w:val="0"/>
        <w:ind w:firstLine="720"/>
        <w:jc w:val="both"/>
        <w:rPr>
          <w:szCs w:val="24"/>
        </w:rPr>
      </w:pPr>
      <w:r>
        <w:rPr>
          <w:b/>
          <w:szCs w:val="24"/>
        </w:rPr>
        <w:t xml:space="preserve">Article 72. Position limits on commodity derivatives </w:t>
      </w:r>
    </w:p>
    <w:p w14:paraId="1C0ABAD8" w14:textId="77777777" w:rsidR="001C276B" w:rsidRDefault="001C276B" w:rsidP="001C276B">
      <w:pPr>
        <w:spacing w:line="360" w:lineRule="atLeast"/>
        <w:ind w:firstLine="720"/>
        <w:jc w:val="both"/>
        <w:rPr>
          <w:color w:val="000000"/>
        </w:rPr>
      </w:pPr>
      <w:r>
        <w:rPr>
          <w:color w:val="000000"/>
        </w:rPr>
        <w:t xml:space="preserve">1. The supervisory authority, in line with the methodology for calculation determined by the European Securities and Markets Authority and approved by the European Commission, shall </w:t>
      </w:r>
      <w:proofErr w:type="gramStart"/>
      <w:r>
        <w:rPr>
          <w:color w:val="000000"/>
        </w:rPr>
        <w:t>establish</w:t>
      </w:r>
      <w:proofErr w:type="gramEnd"/>
      <w:r>
        <w:rPr>
          <w:color w:val="000000"/>
        </w:rPr>
        <w:t xml:space="preserve"> and apply position limits on the size of a net position which a person can hold at all times in agricultural commodity derivatives, essential or significant commodity derivatives traded on trading venues and economically equivalent OTC contracts.  Commodity derivatives shall be considered essential or significant if the sum of all net positions of the ultimate position holders is </w:t>
      </w:r>
      <w:r>
        <w:rPr>
          <w:color w:val="000000"/>
        </w:rPr>
        <w:lastRenderedPageBreak/>
        <w:t>equal to the size of their open position and they have an average of at least 300 thousand lots in a one-year period.</w:t>
      </w:r>
    </w:p>
    <w:p w14:paraId="62AEB840" w14:textId="77777777" w:rsidR="001C276B" w:rsidRPr="00BE49BD" w:rsidRDefault="001C276B" w:rsidP="001C276B">
      <w:pPr>
        <w:spacing w:line="360" w:lineRule="atLeast"/>
        <w:ind w:firstLine="720"/>
        <w:jc w:val="both"/>
        <w:rPr>
          <w:color w:val="000000"/>
        </w:rPr>
      </w:pPr>
      <w:bookmarkStart w:id="215" w:name="part_8c1a48ad8c534987bfe65650a1009309"/>
      <w:bookmarkEnd w:id="215"/>
      <w:r>
        <w:rPr>
          <w:color w:val="000000"/>
        </w:rPr>
        <w:t>2. The limits referred to in paragraph 1 of this Article shall be set on the basis of all positions held by a person and those held on its behalf at an aggregate group level in order to:</w:t>
      </w:r>
    </w:p>
    <w:p w14:paraId="63DF4989" w14:textId="77777777" w:rsidR="001C276B" w:rsidRPr="00BE49BD" w:rsidRDefault="001C276B" w:rsidP="001C276B">
      <w:pPr>
        <w:spacing w:line="360" w:lineRule="atLeast"/>
        <w:ind w:firstLine="720"/>
        <w:jc w:val="both"/>
        <w:rPr>
          <w:color w:val="000000"/>
        </w:rPr>
      </w:pPr>
      <w:bookmarkStart w:id="216" w:name="part_25e84c3485b04edf8a461f17d8b3e650"/>
      <w:bookmarkEnd w:id="216"/>
      <w:r>
        <w:rPr>
          <w:color w:val="000000"/>
        </w:rPr>
        <w:t xml:space="preserve">1) prevent market </w:t>
      </w:r>
      <w:proofErr w:type="gramStart"/>
      <w:r>
        <w:rPr>
          <w:color w:val="000000"/>
        </w:rPr>
        <w:t>abuse;</w:t>
      </w:r>
      <w:proofErr w:type="gramEnd"/>
    </w:p>
    <w:p w14:paraId="08150841" w14:textId="77777777" w:rsidR="001C276B" w:rsidRPr="00BE49BD" w:rsidRDefault="001C276B" w:rsidP="001C276B">
      <w:pPr>
        <w:spacing w:line="360" w:lineRule="atLeast"/>
        <w:ind w:firstLine="720"/>
        <w:jc w:val="both"/>
        <w:rPr>
          <w:color w:val="000000"/>
        </w:rPr>
      </w:pPr>
      <w:bookmarkStart w:id="217" w:name="part_1876d83812364b46af12d6d9be789a0e"/>
      <w:bookmarkEnd w:id="217"/>
      <w:r>
        <w:rPr>
          <w:color w:val="000000"/>
        </w:rPr>
        <w:t>2) support orderly pricing and settlement conditions, including preventing market distorting positions, and ensuring</w:t>
      </w:r>
      <w:proofErr w:type="gramStart"/>
      <w:r>
        <w:rPr>
          <w:color w:val="000000"/>
        </w:rPr>
        <w:t>, in particular, convergence</w:t>
      </w:r>
      <w:proofErr w:type="gramEnd"/>
      <w:r>
        <w:rPr>
          <w:color w:val="000000"/>
        </w:rPr>
        <w:t xml:space="preserve"> between prices of derivatives in the delivery month and spot prices for the underlying commodity, without prejudice to price discovery on the market for the underlying commodity.</w:t>
      </w:r>
    </w:p>
    <w:p w14:paraId="29EA6647" w14:textId="77777777" w:rsidR="001C276B" w:rsidRPr="00BE49BD" w:rsidRDefault="001C276B" w:rsidP="001C276B">
      <w:pPr>
        <w:spacing w:line="360" w:lineRule="atLeast"/>
        <w:ind w:firstLine="720"/>
        <w:jc w:val="both"/>
        <w:rPr>
          <w:color w:val="000000"/>
        </w:rPr>
      </w:pPr>
      <w:bookmarkStart w:id="218" w:name="part_b8616e409f464517b6fbac8c7dc9a6e7"/>
      <w:bookmarkEnd w:id="218"/>
      <w:r>
        <w:rPr>
          <w:color w:val="000000"/>
        </w:rPr>
        <w:t>3. Position limits on commodity derivatives shall not apply to:</w:t>
      </w:r>
    </w:p>
    <w:p w14:paraId="20628245" w14:textId="77777777" w:rsidR="001C276B" w:rsidRPr="00BE49BD" w:rsidRDefault="001C276B" w:rsidP="001C276B">
      <w:pPr>
        <w:spacing w:line="360" w:lineRule="atLeast"/>
        <w:ind w:firstLine="720"/>
        <w:jc w:val="both"/>
        <w:rPr>
          <w:color w:val="000000"/>
        </w:rPr>
      </w:pPr>
      <w:bookmarkStart w:id="219" w:name="part_6382d25b4617496c90a0fb21a5b90500"/>
      <w:bookmarkEnd w:id="219"/>
      <w:r>
        <w:rPr>
          <w:color w:val="000000"/>
        </w:rPr>
        <w:t xml:space="preserve">1) positions held by a non-financial institution or held on behalf of such an </w:t>
      </w:r>
      <w:proofErr w:type="gramStart"/>
      <w:r>
        <w:rPr>
          <w:color w:val="000000"/>
        </w:rPr>
        <w:t>institution</w:t>
      </w:r>
      <w:proofErr w:type="gramEnd"/>
      <w:r>
        <w:rPr>
          <w:color w:val="000000"/>
        </w:rPr>
        <w:t xml:space="preserve"> and which can be objectively assessed as reducing the risks directly related to the commercial activity of that non-financial institution;</w:t>
      </w:r>
    </w:p>
    <w:p w14:paraId="7E2C47B0" w14:textId="77777777" w:rsidR="001C276B" w:rsidRPr="00BE49BD" w:rsidRDefault="001C276B" w:rsidP="001C276B">
      <w:pPr>
        <w:spacing w:line="360" w:lineRule="atLeast"/>
        <w:ind w:firstLine="720"/>
        <w:jc w:val="both"/>
        <w:rPr>
          <w:color w:val="000000"/>
        </w:rPr>
      </w:pPr>
      <w:bookmarkStart w:id="220" w:name="part_3e52dde4b80e49fcabd5d55264e231e6"/>
      <w:bookmarkEnd w:id="220"/>
      <w:r>
        <w:rPr>
          <w:color w:val="000000"/>
        </w:rPr>
        <w:t xml:space="preserve">2) positions held by a financial institution belonging to a commercial activity group, acting on behalf of a commercial activity group and not of a non-financial institution, or held on behalf of such a financial institution, where those positions can be objectively assessed as reducing the risks directly related to the commercial activity of that non-financial </w:t>
      </w:r>
      <w:proofErr w:type="gramStart"/>
      <w:r>
        <w:rPr>
          <w:color w:val="000000"/>
        </w:rPr>
        <w:t>institution;</w:t>
      </w:r>
      <w:proofErr w:type="gramEnd"/>
    </w:p>
    <w:p w14:paraId="03C714BE" w14:textId="77777777" w:rsidR="001C276B" w:rsidRPr="00BE49BD" w:rsidRDefault="001C276B" w:rsidP="001C276B">
      <w:pPr>
        <w:spacing w:line="360" w:lineRule="atLeast"/>
        <w:ind w:firstLine="720"/>
        <w:jc w:val="both"/>
        <w:rPr>
          <w:color w:val="000000"/>
        </w:rPr>
      </w:pPr>
      <w:bookmarkStart w:id="221" w:name="part_0ba0b96dd4f04cc3a8dddd0cfa95acf1"/>
      <w:bookmarkEnd w:id="221"/>
      <w:r>
        <w:rPr>
          <w:color w:val="000000"/>
        </w:rPr>
        <w:t xml:space="preserve">3) positions of the parties to financial and non-financial transactions, which can be objectively assessed as arising from commodity derivatives and emission allowance transactions entered into in order to comply with the obligations to ensure liquidity on the trading venue, where such obligations are required by the supervisory authority in accordance with European Union or national laws acts or by trading </w:t>
      </w:r>
      <w:proofErr w:type="gramStart"/>
      <w:r>
        <w:rPr>
          <w:color w:val="000000"/>
        </w:rPr>
        <w:t>venues;</w:t>
      </w:r>
      <w:proofErr w:type="gramEnd"/>
    </w:p>
    <w:p w14:paraId="07735C6C" w14:textId="77777777" w:rsidR="001C276B" w:rsidRPr="00BE49BD" w:rsidRDefault="001C276B" w:rsidP="001C276B">
      <w:pPr>
        <w:spacing w:line="360" w:lineRule="atLeast"/>
        <w:ind w:firstLine="720"/>
        <w:jc w:val="both"/>
        <w:rPr>
          <w:color w:val="000000"/>
        </w:rPr>
      </w:pPr>
      <w:bookmarkStart w:id="222" w:name="part_b80ad0dd0d484ae289c8138b94d93882"/>
      <w:bookmarkEnd w:id="222"/>
      <w:r>
        <w:rPr>
          <w:color w:val="000000"/>
        </w:rPr>
        <w:t xml:space="preserve">4) any other securities defined in Article 3(52)(3) of this Law which are related to a </w:t>
      </w:r>
      <w:proofErr w:type="gramStart"/>
      <w:r>
        <w:rPr>
          <w:color w:val="000000"/>
        </w:rPr>
        <w:t>commodity</w:t>
      </w:r>
      <w:proofErr w:type="gramEnd"/>
      <w:r>
        <w:rPr>
          <w:color w:val="000000"/>
        </w:rPr>
        <w:t xml:space="preserve"> or a financial instrument referred to in Article 3(15)(10) of this Law.</w:t>
      </w:r>
    </w:p>
    <w:p w14:paraId="6FAD52D4" w14:textId="77777777" w:rsidR="001C276B" w:rsidRPr="00BE49BD" w:rsidRDefault="001C276B" w:rsidP="001C276B">
      <w:pPr>
        <w:spacing w:line="360" w:lineRule="atLeast"/>
        <w:ind w:firstLine="720"/>
        <w:jc w:val="both"/>
        <w:rPr>
          <w:color w:val="000000"/>
        </w:rPr>
      </w:pPr>
      <w:bookmarkStart w:id="223" w:name="part_58ba0420527e4cbcabad05f6e7ccc12c"/>
      <w:bookmarkEnd w:id="223"/>
      <w:r>
        <w:rPr>
          <w:color w:val="000000"/>
        </w:rPr>
        <w:t>4. When determining position limits, clear quantitative limits of the maximum size of a commodity derivative position that a person can hold shall be specified.</w:t>
      </w:r>
    </w:p>
    <w:p w14:paraId="674F86AD" w14:textId="77777777" w:rsidR="001C276B" w:rsidRPr="00BE49BD" w:rsidRDefault="001C276B" w:rsidP="001C276B">
      <w:pPr>
        <w:spacing w:line="360" w:lineRule="atLeast"/>
        <w:ind w:firstLine="720"/>
        <w:jc w:val="both"/>
        <w:rPr>
          <w:color w:val="000000"/>
        </w:rPr>
      </w:pPr>
      <w:bookmarkStart w:id="224" w:name="part_88355f00eefe4bac8f1da97124c16e70"/>
      <w:bookmarkEnd w:id="224"/>
      <w:r>
        <w:rPr>
          <w:color w:val="000000"/>
        </w:rPr>
        <w:t xml:space="preserve">5. </w:t>
      </w:r>
      <w:proofErr w:type="gramStart"/>
      <w:r>
        <w:rPr>
          <w:color w:val="000000"/>
        </w:rPr>
        <w:t>Taking into account</w:t>
      </w:r>
      <w:proofErr w:type="gramEnd"/>
      <w:r>
        <w:rPr>
          <w:color w:val="000000"/>
        </w:rPr>
        <w:t xml:space="preserve"> the calculation methods provided by the European Securities and Markets Authority and approved by the European Commission and referred to in paragraph 1 of this Article, the supervisory authority shall establish limits on the positions of essential or significant commodity derivatives and agricultural commodity derivatives that are traded in trading venues. Such position limits shall also include economically equivalent OTC contracts.</w:t>
      </w:r>
    </w:p>
    <w:p w14:paraId="70EE77D5" w14:textId="77777777" w:rsidR="001C276B" w:rsidRPr="00BE49BD" w:rsidRDefault="001C276B" w:rsidP="001C276B">
      <w:pPr>
        <w:spacing w:line="360" w:lineRule="atLeast"/>
        <w:ind w:firstLine="720"/>
        <w:jc w:val="both"/>
        <w:rPr>
          <w:color w:val="000000"/>
        </w:rPr>
      </w:pPr>
      <w:bookmarkStart w:id="225" w:name="part_35e00c0d4bda488ab475993c3c2b292e"/>
      <w:bookmarkEnd w:id="225"/>
      <w:r>
        <w:rPr>
          <w:color w:val="000000"/>
        </w:rPr>
        <w:t>6. Having identified any material changes in the offer or open positions of commodity derivatives or other significant changes in the market associated with the supply or open positions, the supervisory authority shall review and adjust the established position limits in accordance with the calculation methods provided by the European Securities and Markets Authority and approved by the European Commission.</w:t>
      </w:r>
    </w:p>
    <w:p w14:paraId="0778102E" w14:textId="77777777" w:rsidR="001C276B" w:rsidRPr="00BE49BD" w:rsidRDefault="001C276B" w:rsidP="001C276B">
      <w:pPr>
        <w:spacing w:line="360" w:lineRule="atLeast"/>
        <w:ind w:firstLine="720"/>
        <w:jc w:val="both"/>
        <w:rPr>
          <w:color w:val="000000"/>
        </w:rPr>
      </w:pPr>
      <w:bookmarkStart w:id="226" w:name="part_65b8af24c6d34481a12c956f135b0eb4"/>
      <w:bookmarkEnd w:id="226"/>
      <w:r>
        <w:rPr>
          <w:color w:val="000000"/>
        </w:rPr>
        <w:t>7. The supervisory authority shall be required to notify the European Securities and Markets Authority of the precise position limits on commodity derivatives that it intends to establish.</w:t>
      </w:r>
    </w:p>
    <w:p w14:paraId="24117A79" w14:textId="77777777" w:rsidR="001C276B" w:rsidRPr="00BE49BD" w:rsidRDefault="001C276B" w:rsidP="001C276B">
      <w:pPr>
        <w:spacing w:line="360" w:lineRule="atLeast"/>
        <w:ind w:firstLine="720"/>
        <w:jc w:val="both"/>
        <w:rPr>
          <w:color w:val="000000"/>
        </w:rPr>
      </w:pPr>
      <w:bookmarkStart w:id="227" w:name="part_bf0bdf8933e2468f928dfa01fbeb7d80"/>
      <w:bookmarkEnd w:id="227"/>
      <w:r>
        <w:rPr>
          <w:color w:val="000000"/>
        </w:rPr>
        <w:lastRenderedPageBreak/>
        <w:t xml:space="preserve">8. The supervisory authority shall adjust the position limits of commodity derivatives taking into account the opinion of the European Securities and Markets </w:t>
      </w:r>
      <w:proofErr w:type="gramStart"/>
      <w:r>
        <w:rPr>
          <w:color w:val="000000"/>
        </w:rPr>
        <w:t>Authority, or</w:t>
      </w:r>
      <w:proofErr w:type="gramEnd"/>
      <w:r>
        <w:rPr>
          <w:color w:val="000000"/>
        </w:rPr>
        <w:t xml:space="preserve"> shall provide this authority with reasons why it considers that changes are not necessary.</w:t>
      </w:r>
    </w:p>
    <w:p w14:paraId="4D942B8E" w14:textId="77777777" w:rsidR="001C276B" w:rsidRPr="00BE49BD" w:rsidRDefault="001C276B" w:rsidP="001C276B">
      <w:pPr>
        <w:spacing w:line="360" w:lineRule="atLeast"/>
        <w:ind w:firstLine="720"/>
        <w:jc w:val="both"/>
        <w:rPr>
          <w:color w:val="000000"/>
        </w:rPr>
      </w:pPr>
      <w:bookmarkStart w:id="228" w:name="part_c15e76db7d8945759baed2d83c4c435d"/>
      <w:bookmarkEnd w:id="228"/>
      <w:r>
        <w:rPr>
          <w:color w:val="000000"/>
        </w:rPr>
        <w:t>9. The supervisory authority, having established position limits for commodity derivatives that are contrary to the opinion of the European Securities and Markets Authority, shall immediately publish a notice on its website explaining in detail the reasons for setting those position limits.</w:t>
      </w:r>
    </w:p>
    <w:p w14:paraId="4857B7E2" w14:textId="77777777" w:rsidR="001C276B" w:rsidRPr="00BE49BD" w:rsidRDefault="001C276B" w:rsidP="001C276B">
      <w:pPr>
        <w:spacing w:line="360" w:lineRule="atLeast"/>
        <w:ind w:firstLine="720"/>
        <w:jc w:val="both"/>
        <w:rPr>
          <w:color w:val="000000"/>
        </w:rPr>
      </w:pPr>
      <w:bookmarkStart w:id="229" w:name="part_d49e766c2bf444dfbf6d67f850727ccd"/>
      <w:bookmarkEnd w:id="229"/>
      <w:r>
        <w:rPr>
          <w:color w:val="000000"/>
        </w:rPr>
        <w:t>10. Where agricultural commodity derivatives that are based on the same underlying instrument and have the same characteristics are traded on a large scale or where essential or significant commodity derivatives that are based on the same underlying instrument and that have the same characteristics are traded in trading venues located in more than one Member State, if the trading venue where the trading volume is the largest is in the Republic of Lithuania, the supervisory authority shall establish a general position limit applicable to all trading in those financial derivatives.  A supervisory authority that sets a general position limit on commodity derivatives shall be considered the central supervisory authority.</w:t>
      </w:r>
    </w:p>
    <w:p w14:paraId="68363603" w14:textId="77777777" w:rsidR="001C276B" w:rsidRPr="00BE49BD" w:rsidRDefault="001C276B" w:rsidP="001C276B">
      <w:pPr>
        <w:spacing w:line="360" w:lineRule="atLeast"/>
        <w:ind w:firstLine="720"/>
        <w:jc w:val="both"/>
        <w:rPr>
          <w:color w:val="000000"/>
        </w:rPr>
      </w:pPr>
      <w:bookmarkStart w:id="230" w:name="part_c3a05aa150ce499cadf31c406748bb59"/>
      <w:bookmarkEnd w:id="230"/>
      <w:r>
        <w:rPr>
          <w:color w:val="000000"/>
        </w:rPr>
        <w:t>11. As for applicable general position limit on commodity derivative and changes thereof, the central supervisory authority shall consult with the supervisory authorities of other trading venues where those agricultural commodity derivatives are traded on a large scale or where those essential or significant commodity derivatives are traded.  Should the supervisory authority disagree with the general position limits on commodity derivatives proposed by the central supervisory authority, it shall explain in writing all the reasons why, in its opinion, the requirements for the position limits established in paragraph 1 of this Article are not complied with.  Disputes between supervisory authorities pertaining to the general position limits on commodity derivatives shall be resolved by the European Securities and Markets Authority.</w:t>
      </w:r>
    </w:p>
    <w:p w14:paraId="02C2F3ED" w14:textId="77777777" w:rsidR="001C276B" w:rsidRPr="00BE49BD" w:rsidRDefault="001C276B" w:rsidP="001C276B">
      <w:pPr>
        <w:spacing w:line="360" w:lineRule="atLeast"/>
        <w:ind w:firstLine="720"/>
        <w:jc w:val="both"/>
        <w:rPr>
          <w:color w:val="000000"/>
        </w:rPr>
      </w:pPr>
      <w:bookmarkStart w:id="231" w:name="part_a004047010534997b5d25f4b758a48ad"/>
      <w:bookmarkEnd w:id="231"/>
      <w:r>
        <w:rPr>
          <w:color w:val="000000"/>
        </w:rPr>
        <w:t>12. Supervising authorities of trading venues that trade on a large scale in agricultural commodity derivatives based on the same commodity or having the same characteristics, or in essential or significant commodity derivatives based on the same commodity and having the same characteristics, and supervising authorities of holders of positions in that commodity derivative shall cooperate, including by exchanging information necessary for monitoring and applying general position limits.</w:t>
      </w:r>
    </w:p>
    <w:p w14:paraId="0C146E9E" w14:textId="77777777" w:rsidR="001C276B" w:rsidRDefault="001C276B" w:rsidP="001C276B">
      <w:pPr>
        <w:rPr>
          <w:color w:val="000000"/>
          <w:sz w:val="27"/>
          <w:szCs w:val="27"/>
        </w:rPr>
      </w:pPr>
      <w:r>
        <w:rPr>
          <w:i/>
          <w:iCs/>
          <w:color w:val="000000"/>
          <w:sz w:val="20"/>
        </w:rPr>
        <w:t>Amendments to Article:</w:t>
      </w:r>
    </w:p>
    <w:p w14:paraId="01757194" w14:textId="128CFF40" w:rsidR="001C276B" w:rsidRDefault="001C276B" w:rsidP="001C276B">
      <w:pPr>
        <w:jc w:val="both"/>
        <w:rPr>
          <w:color w:val="000000"/>
          <w:sz w:val="27"/>
          <w:szCs w:val="27"/>
        </w:rPr>
      </w:pPr>
      <w:r>
        <w:rPr>
          <w:i/>
          <w:iCs/>
          <w:color w:val="000000"/>
          <w:sz w:val="20"/>
        </w:rPr>
        <w:t xml:space="preserve">No </w:t>
      </w:r>
      <w:hyperlink r:id="rId132" w:tgtFrame="_parent" w:history="1">
        <w:r>
          <w:rPr>
            <w:rStyle w:val="Hyperlink"/>
            <w:i/>
            <w:iCs/>
            <w:sz w:val="20"/>
          </w:rPr>
          <w:t>XIV-821</w:t>
        </w:r>
      </w:hyperlink>
      <w:r>
        <w:rPr>
          <w:i/>
          <w:iCs/>
          <w:color w:val="000000"/>
          <w:sz w:val="20"/>
        </w:rPr>
        <w:t>, 23/12/2021, published in the RLA, 30/12/2021, ID code 2021-27710</w:t>
      </w:r>
    </w:p>
    <w:p w14:paraId="54F0A404" w14:textId="77777777" w:rsidR="001C276B" w:rsidRPr="000550CF" w:rsidRDefault="001C276B" w:rsidP="00F3494E">
      <w:pPr>
        <w:widowControl w:val="0"/>
        <w:ind w:firstLine="720"/>
        <w:jc w:val="both"/>
        <w:rPr>
          <w:szCs w:val="24"/>
          <w:lang w:eastAsia="lt-LT"/>
        </w:rPr>
      </w:pPr>
    </w:p>
    <w:p w14:paraId="66463ECB" w14:textId="77777777" w:rsidR="00ED3A7E" w:rsidRPr="000550CF" w:rsidRDefault="00ED3A7E" w:rsidP="00F3494E">
      <w:pPr>
        <w:widowControl w:val="0"/>
        <w:ind w:firstLine="720"/>
        <w:jc w:val="both"/>
        <w:rPr>
          <w:szCs w:val="24"/>
          <w:lang w:eastAsia="lt-LT"/>
        </w:rPr>
      </w:pPr>
    </w:p>
    <w:p w14:paraId="2FE3DFF8" w14:textId="77777777" w:rsidR="00ED3A7E" w:rsidRPr="000550CF" w:rsidRDefault="00ED3A7E" w:rsidP="00F3494E">
      <w:pPr>
        <w:widowControl w:val="0"/>
        <w:ind w:left="2410" w:hanging="1690"/>
        <w:jc w:val="both"/>
        <w:rPr>
          <w:szCs w:val="24"/>
        </w:rPr>
      </w:pPr>
      <w:r>
        <w:rPr>
          <w:b/>
          <w:szCs w:val="24"/>
        </w:rPr>
        <w:t xml:space="preserve">Article 73. Management controls of positions in commodity derivatives </w:t>
      </w:r>
    </w:p>
    <w:p w14:paraId="5413E7FD" w14:textId="77777777" w:rsidR="00ED3A7E" w:rsidRPr="000550CF" w:rsidRDefault="00ED3A7E" w:rsidP="00F3494E">
      <w:pPr>
        <w:widowControl w:val="0"/>
        <w:ind w:firstLine="720"/>
        <w:jc w:val="both"/>
        <w:rPr>
          <w:szCs w:val="24"/>
        </w:rPr>
      </w:pPr>
      <w:r>
        <w:t>1. A financial brokerage firm or a market operator operating a trading venue which trades commodity derivatives shall apply position management controls to such commodity derivatives.</w:t>
      </w:r>
    </w:p>
    <w:p w14:paraId="1AB7A5E9" w14:textId="77777777" w:rsidR="00ED3A7E" w:rsidRPr="000550CF" w:rsidRDefault="00ED3A7E" w:rsidP="00F3494E">
      <w:pPr>
        <w:widowControl w:val="0"/>
        <w:ind w:firstLine="720"/>
        <w:jc w:val="both"/>
        <w:rPr>
          <w:szCs w:val="24"/>
        </w:rPr>
      </w:pPr>
      <w:r>
        <w:t>2. For the purpose of position management controls referred to in paragraph 1 of this Article a financial brokerage firm or a market operator operating a trading venue which trades commodity derivatives shall have the following powers:</w:t>
      </w:r>
    </w:p>
    <w:p w14:paraId="12649CAF" w14:textId="77777777" w:rsidR="00ED3A7E" w:rsidRPr="000550CF" w:rsidRDefault="00ED3A7E" w:rsidP="00F3494E">
      <w:pPr>
        <w:widowControl w:val="0"/>
        <w:ind w:firstLine="720"/>
        <w:jc w:val="both"/>
        <w:rPr>
          <w:szCs w:val="24"/>
        </w:rPr>
      </w:pPr>
      <w:r>
        <w:t xml:space="preserve">1) monitor the open interest positions of persons; </w:t>
      </w:r>
    </w:p>
    <w:p w14:paraId="38DBB287" w14:textId="77777777" w:rsidR="00ED3A7E" w:rsidRPr="000550CF" w:rsidRDefault="00ED3A7E" w:rsidP="00F3494E">
      <w:pPr>
        <w:widowControl w:val="0"/>
        <w:ind w:firstLine="720"/>
        <w:jc w:val="both"/>
        <w:rPr>
          <w:szCs w:val="24"/>
        </w:rPr>
      </w:pPr>
      <w:r>
        <w:t xml:space="preserve">2) access information, including all relevant documentation, from persons about the size and purpose of a position or exposure entered into, information about beneficial or underlying owners, any concert arrangements, and any related assets or liabilities in the underlying market; </w:t>
      </w:r>
    </w:p>
    <w:p w14:paraId="5F5CAD6C" w14:textId="77777777" w:rsidR="00ED3A7E" w:rsidRPr="000550CF" w:rsidRDefault="00ED3A7E" w:rsidP="00F3494E">
      <w:pPr>
        <w:widowControl w:val="0"/>
        <w:ind w:firstLine="720"/>
        <w:jc w:val="both"/>
        <w:rPr>
          <w:szCs w:val="24"/>
        </w:rPr>
      </w:pPr>
      <w:r>
        <w:t xml:space="preserve">3) require a person to terminate or reduce a position, on a temporary or permanent basis as the </w:t>
      </w:r>
      <w:r>
        <w:lastRenderedPageBreak/>
        <w:t xml:space="preserve">specific case may require and to unilaterally take appropriate action to ensure the termination or reduction if the person does not comply; </w:t>
      </w:r>
    </w:p>
    <w:p w14:paraId="11C10BCF" w14:textId="39220929" w:rsidR="008B3B7C" w:rsidRDefault="00ED3A7E" w:rsidP="008B3B7C">
      <w:pPr>
        <w:spacing w:line="360" w:lineRule="atLeast"/>
        <w:ind w:firstLine="720"/>
        <w:jc w:val="both"/>
        <w:rPr>
          <w:color w:val="000000"/>
        </w:rPr>
      </w:pPr>
      <w:r>
        <w:t xml:space="preserve">4) require a person to temporarily restore liquidity back into the market at an agreed price and volume on a temporary basis with the express intent of mitigating the effects of a large or dominant position. </w:t>
      </w:r>
    </w:p>
    <w:p w14:paraId="35EED220" w14:textId="77777777" w:rsidR="008B3B7C" w:rsidRDefault="008B3B7C" w:rsidP="008B3B7C">
      <w:pPr>
        <w:rPr>
          <w:color w:val="000000"/>
          <w:sz w:val="27"/>
          <w:szCs w:val="27"/>
        </w:rPr>
      </w:pPr>
      <w:r>
        <w:rPr>
          <w:i/>
          <w:iCs/>
          <w:color w:val="000000"/>
          <w:sz w:val="20"/>
        </w:rPr>
        <w:t>Amendments to the paragraph of the Article:</w:t>
      </w:r>
    </w:p>
    <w:p w14:paraId="25FFEBDF" w14:textId="77777777" w:rsidR="008B3B7C" w:rsidRDefault="008B3B7C" w:rsidP="008B3B7C">
      <w:pPr>
        <w:jc w:val="both"/>
        <w:rPr>
          <w:color w:val="000000"/>
          <w:sz w:val="27"/>
          <w:szCs w:val="27"/>
        </w:rPr>
      </w:pPr>
      <w:r>
        <w:rPr>
          <w:i/>
          <w:iCs/>
          <w:color w:val="000000"/>
          <w:sz w:val="20"/>
        </w:rPr>
        <w:t xml:space="preserve">No </w:t>
      </w:r>
      <w:hyperlink r:id="rId133" w:tgtFrame="_parent" w:history="1">
        <w:r>
          <w:rPr>
            <w:rStyle w:val="Hyperlink"/>
            <w:i/>
            <w:iCs/>
            <w:sz w:val="20"/>
          </w:rPr>
          <w:t>XIV-821</w:t>
        </w:r>
      </w:hyperlink>
      <w:r>
        <w:rPr>
          <w:i/>
          <w:iCs/>
          <w:color w:val="000000"/>
          <w:sz w:val="20"/>
        </w:rPr>
        <w:t>, 23/12/2021, published in the RLA, 30/12/2021, ID code 2021-27710</w:t>
      </w:r>
    </w:p>
    <w:p w14:paraId="0175F3E9" w14:textId="6608801C" w:rsidR="00ED3A7E" w:rsidRPr="000550CF" w:rsidRDefault="00ED3A7E" w:rsidP="00F3494E">
      <w:pPr>
        <w:widowControl w:val="0"/>
        <w:ind w:firstLine="720"/>
        <w:jc w:val="both"/>
        <w:rPr>
          <w:szCs w:val="24"/>
          <w:lang w:eastAsia="lt-LT"/>
        </w:rPr>
      </w:pPr>
    </w:p>
    <w:p w14:paraId="251AE5CC" w14:textId="77777777" w:rsidR="00ED3A7E" w:rsidRPr="000550CF" w:rsidRDefault="00ED3A7E" w:rsidP="00F3494E">
      <w:pPr>
        <w:widowControl w:val="0"/>
        <w:ind w:firstLine="720"/>
        <w:jc w:val="both"/>
        <w:rPr>
          <w:szCs w:val="24"/>
        </w:rPr>
      </w:pPr>
      <w:r>
        <w:t>3. The position limits on commodity derivatives and position management controls shall be transparent and non-discriminatory, specifying how they apply to persons and taking account of the nature and composition of market participants and of the use they make of the contracts submitted to trading.</w:t>
      </w:r>
    </w:p>
    <w:p w14:paraId="13EE86C6" w14:textId="77777777" w:rsidR="00ED3A7E" w:rsidRPr="000550CF" w:rsidRDefault="00ED3A7E" w:rsidP="00F3494E">
      <w:pPr>
        <w:ind w:firstLine="720"/>
        <w:jc w:val="both"/>
      </w:pPr>
      <w:r>
        <w:t xml:space="preserve">4. A financial brokerage firm or a market operator operating a trading venue shall inform the supervisory authority of the details management controls of positions in commodity derivatives. </w:t>
      </w:r>
    </w:p>
    <w:p w14:paraId="40B519BB" w14:textId="77777777" w:rsidR="00ED3A7E" w:rsidRPr="000550CF" w:rsidRDefault="00ED3A7E" w:rsidP="00F3494E">
      <w:pPr>
        <w:widowControl w:val="0"/>
        <w:ind w:firstLine="720"/>
        <w:jc w:val="both"/>
        <w:rPr>
          <w:szCs w:val="24"/>
        </w:rPr>
      </w:pPr>
      <w:r>
        <w:t>5. The supervisory authority shall communicate the information referred to in paragraph 4 of this Article as well as the details of the position limits it has established to ESMA.</w:t>
      </w:r>
    </w:p>
    <w:p w14:paraId="7EA8FB2D" w14:textId="77777777" w:rsidR="00ED3A7E" w:rsidRPr="000550CF" w:rsidRDefault="00ED3A7E" w:rsidP="00F3494E">
      <w:pPr>
        <w:widowControl w:val="0"/>
        <w:ind w:firstLine="720"/>
        <w:jc w:val="both"/>
        <w:rPr>
          <w:szCs w:val="24"/>
          <w:lang w:eastAsia="lt-LT"/>
        </w:rPr>
      </w:pPr>
    </w:p>
    <w:p w14:paraId="33B8E695" w14:textId="77777777" w:rsidR="00ED3A7E" w:rsidRPr="000550CF" w:rsidRDefault="00ED3A7E" w:rsidP="00F3494E">
      <w:pPr>
        <w:widowControl w:val="0"/>
        <w:ind w:left="2410" w:hanging="1690"/>
        <w:jc w:val="both"/>
        <w:rPr>
          <w:szCs w:val="24"/>
        </w:rPr>
      </w:pPr>
      <w:r>
        <w:rPr>
          <w:b/>
          <w:szCs w:val="24"/>
        </w:rPr>
        <w:t xml:space="preserve">Article 74. More restrictive position limits on commodity derivatives </w:t>
      </w:r>
    </w:p>
    <w:p w14:paraId="5772B812" w14:textId="77777777" w:rsidR="00ED3A7E" w:rsidRPr="000550CF" w:rsidRDefault="00ED3A7E" w:rsidP="00F3494E">
      <w:pPr>
        <w:ind w:firstLine="720"/>
        <w:jc w:val="both"/>
      </w:pPr>
      <w:r>
        <w:t xml:space="preserve">1. The supervisory authority shall not impose position limits on commodity derivatives which are more restrictive than those adopted pursuant to paragraph 1 of Article 72 of this Law except in exceptional cases where they are objectively justified and proportionate taking into account the liquidity of the specific market and the orderly functioning of that market. </w:t>
      </w:r>
    </w:p>
    <w:p w14:paraId="670C717D" w14:textId="77777777" w:rsidR="00ED3A7E" w:rsidRPr="000550CF" w:rsidRDefault="00ED3A7E" w:rsidP="00F3494E">
      <w:pPr>
        <w:ind w:firstLine="720"/>
        <w:jc w:val="both"/>
        <w:rPr>
          <w:szCs w:val="24"/>
        </w:rPr>
      </w:pPr>
      <w:r>
        <w:t xml:space="preserve">2. The supervisory authority shall publish on its website the details of the more restrictive position limits they decide to impose on commodity derivatives. </w:t>
      </w:r>
    </w:p>
    <w:p w14:paraId="636AB847" w14:textId="77777777" w:rsidR="00ED3A7E" w:rsidRPr="000550CF" w:rsidRDefault="00ED3A7E" w:rsidP="00F3494E">
      <w:pPr>
        <w:widowControl w:val="0"/>
        <w:ind w:firstLine="720"/>
        <w:jc w:val="both"/>
        <w:rPr>
          <w:szCs w:val="24"/>
        </w:rPr>
      </w:pPr>
      <w:r>
        <w:t>3. More restrictive position limits referred to in paragraph 2 of this Article shall be valid for a period of six months from the date of their publication on the website. The more restrictive position limits may be renewed for further periods not exceeding six months at a time if the grounds for the restriction continue to be applicable. If not renewed after that six-month period, they shall automatically expire.</w:t>
      </w:r>
    </w:p>
    <w:p w14:paraId="102C5CE7" w14:textId="77777777" w:rsidR="00ED3A7E" w:rsidRPr="000550CF" w:rsidRDefault="00ED3A7E" w:rsidP="00F3494E">
      <w:pPr>
        <w:widowControl w:val="0"/>
        <w:ind w:firstLine="720"/>
        <w:jc w:val="both"/>
        <w:rPr>
          <w:szCs w:val="24"/>
        </w:rPr>
      </w:pPr>
      <w:r>
        <w:t>4. Where the supervisory authority decides to impose more restrictive position limits, it shall notify ESMA. The notification inter alia shall include a justification for the more restrictive position limits.</w:t>
      </w:r>
    </w:p>
    <w:p w14:paraId="10F4CCFB" w14:textId="77777777" w:rsidR="00ED3A7E" w:rsidRPr="000550CF" w:rsidRDefault="00ED3A7E" w:rsidP="00F3494E">
      <w:pPr>
        <w:widowControl w:val="0"/>
        <w:ind w:firstLine="720"/>
        <w:jc w:val="both"/>
        <w:rPr>
          <w:szCs w:val="24"/>
        </w:rPr>
      </w:pPr>
      <w:r>
        <w:t xml:space="preserve">5. Where the supervisory authority imposes limits contrary to an ESMA opinion, it shall publish within one working day on its website a notice fully explaining its reasons for doing so. </w:t>
      </w:r>
    </w:p>
    <w:p w14:paraId="1A688277" w14:textId="77777777" w:rsidR="00ED3A7E" w:rsidRPr="000550CF" w:rsidRDefault="00ED3A7E" w:rsidP="00F3494E">
      <w:pPr>
        <w:widowControl w:val="0"/>
        <w:ind w:firstLine="720"/>
        <w:jc w:val="both"/>
        <w:rPr>
          <w:szCs w:val="24"/>
          <w:lang w:eastAsia="lt-LT"/>
        </w:rPr>
      </w:pPr>
    </w:p>
    <w:p w14:paraId="3661DB6F" w14:textId="77777777" w:rsidR="00ED3A7E" w:rsidRPr="000550CF" w:rsidRDefault="00ED3A7E" w:rsidP="00F3494E">
      <w:pPr>
        <w:widowControl w:val="0"/>
        <w:ind w:left="2410" w:hanging="1690"/>
        <w:jc w:val="both"/>
        <w:rPr>
          <w:szCs w:val="24"/>
        </w:rPr>
      </w:pPr>
      <w:r>
        <w:rPr>
          <w:b/>
          <w:szCs w:val="24"/>
        </w:rPr>
        <w:t>Article 75. Infringements of position limits on commodity derivatives</w:t>
      </w:r>
    </w:p>
    <w:p w14:paraId="632C00BF" w14:textId="77777777" w:rsidR="00ED3A7E" w:rsidRPr="000550CF" w:rsidRDefault="00ED3A7E" w:rsidP="00F3494E">
      <w:pPr>
        <w:widowControl w:val="0"/>
        <w:ind w:firstLine="720"/>
        <w:jc w:val="both"/>
        <w:rPr>
          <w:szCs w:val="24"/>
        </w:rPr>
      </w:pPr>
      <w:r>
        <w:t>The supervisory authority shall apply sanctions established in this Law for infringements of position limits on commodity derivatives set in accordance with requirements of this Chapter to:</w:t>
      </w:r>
    </w:p>
    <w:p w14:paraId="2A258DE8" w14:textId="77777777" w:rsidR="00ED3A7E" w:rsidRPr="000550CF" w:rsidRDefault="00ED3A7E" w:rsidP="00F3494E">
      <w:pPr>
        <w:widowControl w:val="0"/>
        <w:ind w:firstLine="720"/>
        <w:jc w:val="both"/>
        <w:rPr>
          <w:szCs w:val="24"/>
        </w:rPr>
      </w:pPr>
      <w:r>
        <w:t xml:space="preserve">1) positions held by persons situated or operating in the territory of the Republic of Lithuania or abroad which exceed the limits on commodity derivative contracts the supervisory authority has set in relation to contracts on trading venues situated or operating in the territory of the Republic of Lithuania or economically equivalent OTC contracts; </w:t>
      </w:r>
    </w:p>
    <w:p w14:paraId="7DC1D40B" w14:textId="77777777" w:rsidR="00ED3A7E" w:rsidRPr="000550CF" w:rsidRDefault="00ED3A7E" w:rsidP="00F3494E">
      <w:pPr>
        <w:widowControl w:val="0"/>
        <w:ind w:firstLine="720"/>
        <w:jc w:val="both"/>
        <w:rPr>
          <w:szCs w:val="24"/>
        </w:rPr>
      </w:pPr>
      <w:r>
        <w:t>2) positions held by persons situated or operating in the territory of the Republic of Lithuania which exceed the limits on commodity derivative contracts set by supervisory authorities in other Member States.</w:t>
      </w:r>
    </w:p>
    <w:p w14:paraId="0FF0B73D" w14:textId="77777777" w:rsidR="00ED3A7E" w:rsidRPr="000550CF" w:rsidRDefault="00ED3A7E" w:rsidP="00F3494E">
      <w:pPr>
        <w:widowControl w:val="0"/>
        <w:ind w:firstLine="720"/>
        <w:jc w:val="both"/>
        <w:rPr>
          <w:szCs w:val="24"/>
          <w:lang w:eastAsia="lt-LT"/>
        </w:rPr>
      </w:pPr>
    </w:p>
    <w:p w14:paraId="20B261C6" w14:textId="77777777" w:rsidR="00ED3A7E" w:rsidRPr="000550CF" w:rsidRDefault="00ED3A7E" w:rsidP="00F3494E">
      <w:pPr>
        <w:widowControl w:val="0"/>
        <w:ind w:left="2410" w:hanging="1690"/>
        <w:jc w:val="both"/>
        <w:rPr>
          <w:b/>
          <w:szCs w:val="24"/>
        </w:rPr>
      </w:pPr>
      <w:r>
        <w:rPr>
          <w:b/>
          <w:szCs w:val="24"/>
        </w:rPr>
        <w:t>Article 76. Commodity derivative position</w:t>
      </w:r>
      <w:r>
        <w:rPr>
          <w:b/>
        </w:rPr>
        <w:t xml:space="preserve"> reporting</w:t>
      </w:r>
      <w:r>
        <w:rPr>
          <w:b/>
          <w:szCs w:val="24"/>
        </w:rPr>
        <w:t xml:space="preserve"> </w:t>
      </w:r>
      <w:r>
        <w:rPr>
          <w:b/>
        </w:rPr>
        <w:t>by categories of position holders</w:t>
      </w:r>
    </w:p>
    <w:p w14:paraId="765DAEC3" w14:textId="77777777" w:rsidR="00ED3A7E" w:rsidRPr="000550CF" w:rsidRDefault="00ED3A7E" w:rsidP="00F3494E">
      <w:pPr>
        <w:ind w:firstLine="720"/>
        <w:jc w:val="both"/>
      </w:pPr>
      <w:r>
        <w:t xml:space="preserve">1. A financial brokerage firm or a market operator operating a trading venue which trades commodity derivatives or emission allowances or derivatives thereof shall: </w:t>
      </w:r>
    </w:p>
    <w:p w14:paraId="030653C6" w14:textId="77777777" w:rsidR="00ED3A7E" w:rsidRPr="000550CF" w:rsidRDefault="00ED3A7E" w:rsidP="00F3494E">
      <w:pPr>
        <w:widowControl w:val="0"/>
        <w:ind w:firstLine="720"/>
        <w:jc w:val="both"/>
        <w:rPr>
          <w:szCs w:val="24"/>
        </w:rPr>
      </w:pPr>
      <w:r>
        <w:t xml:space="preserve">1) make public a weekly report with the aggregate positions held by the different categories of persons for the different commodity derivatives or emission allowances or derivatives thereof traded on their trading venue, specifying the number of long and short positions by such categories, </w:t>
      </w:r>
      <w:r>
        <w:lastRenderedPageBreak/>
        <w:t xml:space="preserve">changes thereto since the previous report, the percentage of the total open interest represented by each category and the number of persons holding a position in each category in accordance with paragraph 6 of this Article; </w:t>
      </w:r>
    </w:p>
    <w:p w14:paraId="24C879D2" w14:textId="77777777" w:rsidR="00ED3A7E" w:rsidRPr="000550CF" w:rsidRDefault="00ED3A7E" w:rsidP="00F3494E">
      <w:pPr>
        <w:widowControl w:val="0"/>
        <w:ind w:firstLine="720"/>
        <w:jc w:val="both"/>
        <w:rPr>
          <w:szCs w:val="24"/>
        </w:rPr>
      </w:pPr>
      <w:r>
        <w:t xml:space="preserve">2) communicate the report referred to in point 1 of this paragraph to the supervisory authority and to </w:t>
      </w:r>
      <w:proofErr w:type="gramStart"/>
      <w:r>
        <w:t>ESMA;</w:t>
      </w:r>
      <w:proofErr w:type="gramEnd"/>
      <w:r>
        <w:t xml:space="preserve"> </w:t>
      </w:r>
    </w:p>
    <w:p w14:paraId="39F62B2F" w14:textId="77777777" w:rsidR="00ED3A7E" w:rsidRPr="000550CF" w:rsidRDefault="00ED3A7E" w:rsidP="00F3494E">
      <w:pPr>
        <w:widowControl w:val="0"/>
        <w:ind w:firstLine="720"/>
        <w:jc w:val="both"/>
        <w:rPr>
          <w:szCs w:val="24"/>
        </w:rPr>
      </w:pPr>
      <w:r>
        <w:t xml:space="preserve">3) provide the supervisory authority with a complete breakdown of the positions held by all persons, including the members or participants and the clients thereof, on that trading venue, at least </w:t>
      </w:r>
      <w:proofErr w:type="gramStart"/>
      <w:r>
        <w:t>on a daily basis</w:t>
      </w:r>
      <w:proofErr w:type="gramEnd"/>
      <w:r>
        <w:t xml:space="preserve">. </w:t>
      </w:r>
    </w:p>
    <w:p w14:paraId="54F9AB91" w14:textId="76499328" w:rsidR="00167C46" w:rsidRPr="00167C46" w:rsidRDefault="00ED3A7E" w:rsidP="00167C46">
      <w:pPr>
        <w:spacing w:line="360" w:lineRule="atLeast"/>
        <w:ind w:firstLine="720"/>
        <w:jc w:val="both"/>
        <w:rPr>
          <w:color w:val="000000"/>
          <w:szCs w:val="24"/>
        </w:rPr>
      </w:pPr>
      <w:r>
        <w:t xml:space="preserve">2.  </w:t>
      </w:r>
      <w:r>
        <w:rPr>
          <w:color w:val="000000"/>
          <w:szCs w:val="24"/>
        </w:rPr>
        <w:t xml:space="preserve">The obligations referred to in sub-paragraphs 1 and 2 of paragraph 1 of this Article shall only apply when both the number of persons and their open positions exceed minimum thresholds set by legal acts.  The requirement to provide a position sheet shall not apply to other securities that are referred to in Article 3(52)(3) of this Law and that are related to a </w:t>
      </w:r>
      <w:proofErr w:type="gramStart"/>
      <w:r>
        <w:rPr>
          <w:color w:val="000000"/>
          <w:szCs w:val="24"/>
        </w:rPr>
        <w:t>commodity</w:t>
      </w:r>
      <w:proofErr w:type="gramEnd"/>
      <w:r>
        <w:rPr>
          <w:color w:val="000000"/>
          <w:szCs w:val="24"/>
        </w:rPr>
        <w:t xml:space="preserve"> or a financial instrument referred to in Article 3(15)(10) of this Law.</w:t>
      </w:r>
    </w:p>
    <w:p w14:paraId="0937AAC0" w14:textId="77777777" w:rsidR="00167C46" w:rsidRDefault="00167C46" w:rsidP="00167C46">
      <w:pPr>
        <w:rPr>
          <w:color w:val="000000"/>
          <w:sz w:val="27"/>
          <w:szCs w:val="27"/>
        </w:rPr>
      </w:pPr>
      <w:r>
        <w:rPr>
          <w:i/>
          <w:iCs/>
          <w:color w:val="000000"/>
          <w:sz w:val="20"/>
        </w:rPr>
        <w:t>Amendments to the paragraph of the Article:</w:t>
      </w:r>
    </w:p>
    <w:p w14:paraId="379E4FC2" w14:textId="77777777" w:rsidR="00167C46" w:rsidRDefault="00167C46" w:rsidP="00167C46">
      <w:pPr>
        <w:jc w:val="both"/>
        <w:rPr>
          <w:color w:val="000000"/>
          <w:sz w:val="27"/>
          <w:szCs w:val="27"/>
        </w:rPr>
      </w:pPr>
      <w:r>
        <w:rPr>
          <w:i/>
          <w:iCs/>
          <w:color w:val="000000"/>
          <w:sz w:val="20"/>
        </w:rPr>
        <w:t xml:space="preserve">No </w:t>
      </w:r>
      <w:hyperlink r:id="rId134" w:tgtFrame="_parent" w:history="1">
        <w:r>
          <w:rPr>
            <w:rStyle w:val="Hyperlink"/>
            <w:i/>
            <w:iCs/>
            <w:sz w:val="20"/>
          </w:rPr>
          <w:t>XIV-821</w:t>
        </w:r>
      </w:hyperlink>
      <w:r>
        <w:rPr>
          <w:i/>
          <w:iCs/>
          <w:color w:val="000000"/>
          <w:sz w:val="20"/>
        </w:rPr>
        <w:t>, 23/12/2021, published in the RLA, 30/12/2021, ID code 2021-27710</w:t>
      </w:r>
    </w:p>
    <w:p w14:paraId="33E375E7" w14:textId="4F668E4E" w:rsidR="00ED3A7E" w:rsidRPr="000550CF" w:rsidRDefault="00ED3A7E" w:rsidP="00F3494E">
      <w:pPr>
        <w:widowControl w:val="0"/>
        <w:ind w:firstLine="720"/>
        <w:jc w:val="both"/>
        <w:rPr>
          <w:szCs w:val="24"/>
          <w:lang w:eastAsia="lt-LT"/>
        </w:rPr>
      </w:pPr>
    </w:p>
    <w:p w14:paraId="382EF1DD" w14:textId="77777777" w:rsidR="00ED3A7E" w:rsidRPr="000550CF" w:rsidRDefault="00ED3A7E" w:rsidP="00F3494E">
      <w:pPr>
        <w:widowControl w:val="0"/>
        <w:ind w:firstLine="720"/>
        <w:jc w:val="both"/>
        <w:rPr>
          <w:szCs w:val="24"/>
        </w:rPr>
      </w:pPr>
      <w:r>
        <w:t xml:space="preserve">3. The reports referred to in point 1 of paragraph 1 of this Article and the </w:t>
      </w:r>
      <w:proofErr w:type="gramStart"/>
      <w:r>
        <w:t>breakdowns  referred</w:t>
      </w:r>
      <w:proofErr w:type="gramEnd"/>
      <w:r>
        <w:t xml:space="preserve"> to in point 3 of paragraph 1 of this Article positions in commodity derivatives shall be classified as: </w:t>
      </w:r>
    </w:p>
    <w:p w14:paraId="7C01880B" w14:textId="77777777" w:rsidR="00ED3A7E" w:rsidRPr="000550CF" w:rsidRDefault="00ED3A7E" w:rsidP="00F3494E">
      <w:pPr>
        <w:widowControl w:val="0"/>
        <w:ind w:firstLine="720"/>
        <w:jc w:val="both"/>
        <w:rPr>
          <w:szCs w:val="24"/>
        </w:rPr>
      </w:pPr>
      <w:r>
        <w:t xml:space="preserve">1) positions objectively measurable as reducing risks directly relating to the commercial </w:t>
      </w:r>
      <w:proofErr w:type="gramStart"/>
      <w:r>
        <w:t>activity;</w:t>
      </w:r>
      <w:proofErr w:type="gramEnd"/>
      <w:r>
        <w:t xml:space="preserve"> </w:t>
      </w:r>
    </w:p>
    <w:p w14:paraId="61CD0940" w14:textId="77777777" w:rsidR="00ED3A7E" w:rsidRPr="000550CF" w:rsidRDefault="00ED3A7E" w:rsidP="00F3494E">
      <w:pPr>
        <w:widowControl w:val="0"/>
        <w:ind w:firstLine="720"/>
        <w:jc w:val="both"/>
        <w:rPr>
          <w:szCs w:val="24"/>
        </w:rPr>
      </w:pPr>
      <w:r>
        <w:t>2) other positions.</w:t>
      </w:r>
    </w:p>
    <w:p w14:paraId="11E8D4D0" w14:textId="77777777" w:rsidR="00ED3A7E" w:rsidRPr="000550CF" w:rsidRDefault="00ED3A7E" w:rsidP="00F3494E">
      <w:pPr>
        <w:widowControl w:val="0"/>
        <w:ind w:firstLine="720"/>
        <w:jc w:val="both"/>
        <w:rPr>
          <w:szCs w:val="24"/>
        </w:rPr>
      </w:pPr>
      <w:r>
        <w:t>4. Financial brokerage firms trading in commodity derivatives or emission allowances or derivatives thereof outside a trading venue shall provide the supervisory authority of the trading venue where the commodity derivatives or emission allowances or derivatives thereof are traded or the central supervisory authority where the commodity derivatives or emission allowances or derivatives thereof are traded in significant volumes on trading venues in more than one Member State at least on a daily basis with:</w:t>
      </w:r>
    </w:p>
    <w:p w14:paraId="2C38ED01" w14:textId="77777777" w:rsidR="00ED3A7E" w:rsidRPr="000550CF" w:rsidRDefault="00ED3A7E" w:rsidP="00F3494E">
      <w:pPr>
        <w:widowControl w:val="0"/>
        <w:ind w:firstLine="720"/>
        <w:jc w:val="both"/>
        <w:rPr>
          <w:szCs w:val="24"/>
        </w:rPr>
      </w:pPr>
      <w:r>
        <w:t xml:space="preserve">1) a complete breakdown of their positions taken in commodity derivatives or emission allowances or derivatives thereof traded on a trading venue and economically equivalent OTC </w:t>
      </w:r>
      <w:proofErr w:type="gramStart"/>
      <w:r>
        <w:t>contracts;</w:t>
      </w:r>
      <w:proofErr w:type="gramEnd"/>
    </w:p>
    <w:p w14:paraId="3E93F6A8" w14:textId="12C0E64C" w:rsidR="00167C46" w:rsidRDefault="00ED3A7E" w:rsidP="00167C46">
      <w:pPr>
        <w:spacing w:line="360" w:lineRule="atLeast"/>
        <w:ind w:firstLine="720"/>
        <w:jc w:val="both"/>
        <w:rPr>
          <w:color w:val="000000"/>
        </w:rPr>
      </w:pPr>
      <w:r>
        <w:t>2) data about their customers and the customers of those customers until the end customer is arrived at, as specified in Article 26 of Regulation (EU) No 600/2014 and Article 8 of Regulation (EU) No 1227/2011 when it concerns wholesale energy products.</w:t>
      </w:r>
    </w:p>
    <w:p w14:paraId="4D6A4EFE" w14:textId="77777777" w:rsidR="00167C46" w:rsidRDefault="00167C46" w:rsidP="00167C46">
      <w:pPr>
        <w:rPr>
          <w:color w:val="000000"/>
          <w:sz w:val="27"/>
          <w:szCs w:val="27"/>
        </w:rPr>
      </w:pPr>
      <w:r>
        <w:rPr>
          <w:i/>
          <w:iCs/>
          <w:color w:val="000000"/>
          <w:sz w:val="20"/>
        </w:rPr>
        <w:t>Amendments to the paragraph of the Article:</w:t>
      </w:r>
    </w:p>
    <w:p w14:paraId="7FE69AE3" w14:textId="093A859C" w:rsidR="00167C46" w:rsidRDefault="00167C46" w:rsidP="00167C46">
      <w:pPr>
        <w:jc w:val="both"/>
        <w:rPr>
          <w:color w:val="000000"/>
          <w:sz w:val="27"/>
          <w:szCs w:val="27"/>
        </w:rPr>
      </w:pPr>
      <w:r>
        <w:rPr>
          <w:i/>
          <w:iCs/>
          <w:color w:val="000000"/>
          <w:sz w:val="20"/>
        </w:rPr>
        <w:t xml:space="preserve">No </w:t>
      </w:r>
      <w:hyperlink r:id="rId135" w:tgtFrame="_parent" w:history="1">
        <w:r>
          <w:rPr>
            <w:rStyle w:val="Hyperlink"/>
            <w:i/>
            <w:iCs/>
            <w:sz w:val="20"/>
          </w:rPr>
          <w:t>XIV-821</w:t>
        </w:r>
      </w:hyperlink>
      <w:r>
        <w:rPr>
          <w:i/>
          <w:iCs/>
          <w:color w:val="000000"/>
          <w:sz w:val="20"/>
        </w:rPr>
        <w:t>, 23/12/2021, published in the RLA, 30/12/2021, ID code 2021-27710</w:t>
      </w:r>
    </w:p>
    <w:p w14:paraId="1EE9171B" w14:textId="4CD0F0C0" w:rsidR="00ED3A7E" w:rsidRPr="000550CF" w:rsidRDefault="00ED3A7E" w:rsidP="00F3494E">
      <w:pPr>
        <w:ind w:firstLine="720"/>
        <w:jc w:val="both"/>
        <w:rPr>
          <w:lang w:eastAsia="lt-LT"/>
        </w:rPr>
      </w:pPr>
    </w:p>
    <w:p w14:paraId="6F28352E" w14:textId="77777777" w:rsidR="00ED3A7E" w:rsidRPr="000550CF" w:rsidRDefault="00ED3A7E" w:rsidP="00F3494E">
      <w:pPr>
        <w:widowControl w:val="0"/>
        <w:ind w:firstLine="720"/>
        <w:jc w:val="both"/>
        <w:rPr>
          <w:szCs w:val="24"/>
        </w:rPr>
      </w:pPr>
      <w:r>
        <w:t>5. In order to enable monitoring of compliance with Article 72(1) of this Law, Member members or participants of a regulated market, clients of an MTF and of an OTF shall be required to report to the financial brokerage firm or market operator operating that trading venue the details of their own positions held through contracts traded on that trading venue at least on a daily basis, as well as those of their clients and the clients of those clients until the end client is reached.</w:t>
      </w:r>
    </w:p>
    <w:p w14:paraId="748D25C3" w14:textId="77777777" w:rsidR="00ED3A7E" w:rsidRPr="000550CF" w:rsidRDefault="00ED3A7E" w:rsidP="00F3494E">
      <w:pPr>
        <w:widowControl w:val="0"/>
        <w:ind w:firstLine="720"/>
        <w:jc w:val="both"/>
        <w:rPr>
          <w:szCs w:val="24"/>
        </w:rPr>
      </w:pPr>
      <w:r>
        <w:t xml:space="preserve">6. Persons holding positions in a commodity derivative or emission </w:t>
      </w:r>
      <w:proofErr w:type="gramStart"/>
      <w:r>
        <w:t>allowance</w:t>
      </w:r>
      <w:proofErr w:type="gramEnd"/>
      <w:r>
        <w:t xml:space="preserve"> or derivative thereof shall be classified by the financial brokerage firm or market operator operating that trading venue according to the nature of their main business, taking account of any applicable authorisation, as either:</w:t>
      </w:r>
    </w:p>
    <w:p w14:paraId="65EE9403" w14:textId="77777777" w:rsidR="00ED3A7E" w:rsidRPr="000550CF" w:rsidRDefault="00ED3A7E" w:rsidP="00F3494E">
      <w:pPr>
        <w:widowControl w:val="0"/>
        <w:ind w:firstLine="720"/>
        <w:jc w:val="both"/>
        <w:rPr>
          <w:szCs w:val="24"/>
        </w:rPr>
      </w:pPr>
      <w:r>
        <w:t xml:space="preserve">1) financial brokerage firms or credit </w:t>
      </w:r>
      <w:proofErr w:type="gramStart"/>
      <w:r>
        <w:t>institutions;</w:t>
      </w:r>
      <w:proofErr w:type="gramEnd"/>
    </w:p>
    <w:p w14:paraId="0CB11FC5" w14:textId="77777777" w:rsidR="00ED3A7E" w:rsidRPr="000550CF" w:rsidRDefault="00ED3A7E" w:rsidP="00F3494E">
      <w:pPr>
        <w:widowControl w:val="0"/>
        <w:ind w:firstLine="720"/>
        <w:jc w:val="both"/>
        <w:rPr>
          <w:szCs w:val="24"/>
        </w:rPr>
      </w:pPr>
      <w:r>
        <w:t xml:space="preserve">2) collective investment undertakings or management companies of collective investment undertakings intended for professional </w:t>
      </w:r>
      <w:proofErr w:type="gramStart"/>
      <w:r>
        <w:t>investors;</w:t>
      </w:r>
      <w:proofErr w:type="gramEnd"/>
      <w:r>
        <w:t xml:space="preserve"> </w:t>
      </w:r>
    </w:p>
    <w:p w14:paraId="021C7288" w14:textId="77777777" w:rsidR="00ED3A7E" w:rsidRPr="000550CF" w:rsidRDefault="00ED3A7E" w:rsidP="00F3494E">
      <w:pPr>
        <w:widowControl w:val="0"/>
        <w:ind w:firstLine="720"/>
        <w:jc w:val="both"/>
        <w:rPr>
          <w:szCs w:val="24"/>
        </w:rPr>
      </w:pPr>
      <w:r>
        <w:t xml:space="preserve">3) other financial institutions, including insurance undertakings and reinsurance undertakings and institutions for occupational retirement </w:t>
      </w:r>
      <w:proofErr w:type="gramStart"/>
      <w:r>
        <w:t>provision;</w:t>
      </w:r>
      <w:proofErr w:type="gramEnd"/>
      <w:r>
        <w:t xml:space="preserve"> </w:t>
      </w:r>
    </w:p>
    <w:p w14:paraId="18627418" w14:textId="77777777" w:rsidR="00ED3A7E" w:rsidRPr="000550CF" w:rsidRDefault="00ED3A7E" w:rsidP="00F3494E">
      <w:pPr>
        <w:widowControl w:val="0"/>
        <w:ind w:firstLine="720"/>
        <w:jc w:val="both"/>
        <w:rPr>
          <w:szCs w:val="24"/>
        </w:rPr>
      </w:pPr>
      <w:r>
        <w:t xml:space="preserve">4) commercial </w:t>
      </w:r>
      <w:proofErr w:type="gramStart"/>
      <w:r>
        <w:t>undertakings;</w:t>
      </w:r>
      <w:proofErr w:type="gramEnd"/>
    </w:p>
    <w:p w14:paraId="140C8867" w14:textId="77777777" w:rsidR="00ED3A7E" w:rsidRPr="000550CF" w:rsidRDefault="00ED3A7E" w:rsidP="00F3494E">
      <w:pPr>
        <w:widowControl w:val="0"/>
        <w:ind w:firstLine="720"/>
        <w:jc w:val="both"/>
        <w:rPr>
          <w:szCs w:val="24"/>
        </w:rPr>
      </w:pPr>
      <w:r>
        <w:lastRenderedPageBreak/>
        <w:t xml:space="preserve">5) in the case of emission allowances or derivatives thereof, operators with compliance obligations under the Law on Financial Instruments for Climate Change Management. </w:t>
      </w:r>
    </w:p>
    <w:p w14:paraId="3FD98D11" w14:textId="77777777" w:rsidR="00ED3A7E" w:rsidRPr="000550CF" w:rsidRDefault="00ED3A7E" w:rsidP="00F3494E">
      <w:pPr>
        <w:widowControl w:val="0"/>
        <w:ind w:firstLine="720"/>
        <w:jc w:val="center"/>
        <w:rPr>
          <w:szCs w:val="24"/>
          <w:lang w:eastAsia="lt-LT"/>
        </w:rPr>
      </w:pPr>
    </w:p>
    <w:p w14:paraId="1805A11E" w14:textId="4EB3CEFA" w:rsidR="00ED3A7E" w:rsidRDefault="00ED3A7E" w:rsidP="00F3494E">
      <w:pPr>
        <w:widowControl w:val="0"/>
        <w:jc w:val="center"/>
        <w:rPr>
          <w:b/>
          <w:szCs w:val="24"/>
        </w:rPr>
      </w:pPr>
      <w:r>
        <w:rPr>
          <w:b/>
          <w:szCs w:val="24"/>
        </w:rPr>
        <w:t>CHAPTER V</w:t>
      </w:r>
    </w:p>
    <w:p w14:paraId="67491919" w14:textId="77777777" w:rsidR="00167C46" w:rsidRDefault="00167C46" w:rsidP="00167C46">
      <w:pPr>
        <w:ind w:firstLine="567"/>
        <w:jc w:val="both"/>
        <w:rPr>
          <w:color w:val="000000"/>
          <w:sz w:val="27"/>
          <w:szCs w:val="27"/>
        </w:rPr>
      </w:pPr>
      <w:r>
        <w:rPr>
          <w:i/>
          <w:iCs/>
          <w:color w:val="000000"/>
          <w:sz w:val="20"/>
        </w:rPr>
        <w:t>Lost validity as of 02/01/2022</w:t>
      </w:r>
    </w:p>
    <w:p w14:paraId="7A54C79E" w14:textId="77777777" w:rsidR="00167C46" w:rsidRDefault="00167C46" w:rsidP="00167C46">
      <w:pPr>
        <w:rPr>
          <w:color w:val="000000"/>
          <w:sz w:val="27"/>
          <w:szCs w:val="27"/>
        </w:rPr>
      </w:pPr>
      <w:r>
        <w:rPr>
          <w:i/>
          <w:iCs/>
          <w:color w:val="000000"/>
          <w:sz w:val="20"/>
        </w:rPr>
        <w:t>Chapter repeal:</w:t>
      </w:r>
    </w:p>
    <w:p w14:paraId="217AFC0D" w14:textId="77777777" w:rsidR="00167C46" w:rsidRDefault="00167C46" w:rsidP="00167C46">
      <w:pPr>
        <w:jc w:val="both"/>
        <w:rPr>
          <w:color w:val="000000"/>
          <w:sz w:val="27"/>
          <w:szCs w:val="27"/>
        </w:rPr>
      </w:pPr>
      <w:r>
        <w:rPr>
          <w:i/>
          <w:iCs/>
          <w:color w:val="000000"/>
          <w:sz w:val="20"/>
        </w:rPr>
        <w:t xml:space="preserve">No </w:t>
      </w:r>
      <w:hyperlink r:id="rId136" w:tgtFrame="_parent" w:history="1">
        <w:r>
          <w:rPr>
            <w:rStyle w:val="Hyperlink"/>
            <w:i/>
            <w:iCs/>
            <w:sz w:val="20"/>
          </w:rPr>
          <w:t>XIV-821</w:t>
        </w:r>
      </w:hyperlink>
      <w:r>
        <w:rPr>
          <w:i/>
          <w:iCs/>
          <w:color w:val="000000"/>
          <w:sz w:val="20"/>
        </w:rPr>
        <w:t>, 23/12/2021, published in the RLA, 30/12/2021, ID code 2021-27710</w:t>
      </w:r>
    </w:p>
    <w:p w14:paraId="6318192C" w14:textId="77777777" w:rsidR="00167C46" w:rsidRPr="000550CF" w:rsidRDefault="00167C46" w:rsidP="00F3494E">
      <w:pPr>
        <w:widowControl w:val="0"/>
        <w:jc w:val="center"/>
        <w:rPr>
          <w:szCs w:val="24"/>
          <w:lang w:eastAsia="lt-LT"/>
        </w:rPr>
      </w:pPr>
    </w:p>
    <w:p w14:paraId="177CD8B9" w14:textId="77777777" w:rsidR="00ED3A7E" w:rsidRPr="000550CF" w:rsidRDefault="00ED3A7E" w:rsidP="00F3494E">
      <w:pPr>
        <w:widowControl w:val="0"/>
        <w:ind w:firstLine="720"/>
        <w:jc w:val="center"/>
        <w:rPr>
          <w:b/>
          <w:szCs w:val="24"/>
          <w:lang w:eastAsia="lt-LT"/>
        </w:rPr>
      </w:pPr>
    </w:p>
    <w:p w14:paraId="2B92DE17" w14:textId="77777777" w:rsidR="00ED3A7E" w:rsidRPr="000550CF" w:rsidRDefault="00ED3A7E" w:rsidP="00F3494E">
      <w:pPr>
        <w:widowControl w:val="0"/>
        <w:jc w:val="center"/>
        <w:rPr>
          <w:szCs w:val="24"/>
        </w:rPr>
      </w:pPr>
      <w:r>
        <w:rPr>
          <w:b/>
          <w:szCs w:val="24"/>
        </w:rPr>
        <w:t>CHAPTER VI</w:t>
      </w:r>
    </w:p>
    <w:p w14:paraId="3C5EEAA1" w14:textId="77777777" w:rsidR="00ED3A7E" w:rsidRPr="000550CF" w:rsidRDefault="00ED3A7E" w:rsidP="00F3494E">
      <w:pPr>
        <w:widowControl w:val="0"/>
        <w:jc w:val="center"/>
        <w:rPr>
          <w:szCs w:val="24"/>
        </w:rPr>
      </w:pPr>
      <w:r>
        <w:rPr>
          <w:b/>
          <w:szCs w:val="24"/>
        </w:rPr>
        <w:t>ACCOUNTING OF FINANCIAL INSTRUMENTS</w:t>
      </w:r>
    </w:p>
    <w:p w14:paraId="205BE6E6" w14:textId="77777777" w:rsidR="00ED3A7E" w:rsidRPr="000550CF" w:rsidRDefault="00ED3A7E" w:rsidP="00F3494E">
      <w:pPr>
        <w:widowControl w:val="0"/>
        <w:ind w:firstLine="720"/>
        <w:rPr>
          <w:szCs w:val="24"/>
          <w:lang w:eastAsia="lt-LT"/>
        </w:rPr>
      </w:pPr>
    </w:p>
    <w:p w14:paraId="00B5D92E" w14:textId="77777777" w:rsidR="00ED3A7E" w:rsidRPr="000550CF" w:rsidRDefault="00ED3A7E" w:rsidP="00F3494E">
      <w:pPr>
        <w:widowControl w:val="0"/>
        <w:ind w:firstLine="720"/>
        <w:jc w:val="both"/>
        <w:rPr>
          <w:szCs w:val="24"/>
        </w:rPr>
      </w:pPr>
      <w:r>
        <w:rPr>
          <w:b/>
          <w:szCs w:val="24"/>
        </w:rPr>
        <w:t>Article 87. Accounting of financial instruments</w:t>
      </w:r>
    </w:p>
    <w:p w14:paraId="5B596219" w14:textId="77777777" w:rsidR="00ED3A7E" w:rsidRPr="000550CF" w:rsidRDefault="00ED3A7E" w:rsidP="00F3494E">
      <w:pPr>
        <w:widowControl w:val="0"/>
        <w:ind w:firstLine="720"/>
        <w:jc w:val="both"/>
        <w:rPr>
          <w:szCs w:val="24"/>
        </w:rPr>
      </w:pPr>
      <w:r>
        <w:t xml:space="preserve">1. Financial instruments shall be recorded in book-entry form in financial instruments accounts maintained in accordance with the procedure set forth by this Law. The account operators – financial brokerage firms, credit institutions and central depositaries (hereinafter – account operators) shall be authorised to open and maintain financial instruments accounts. </w:t>
      </w:r>
    </w:p>
    <w:p w14:paraId="0F152F41" w14:textId="77777777" w:rsidR="00ED3A7E" w:rsidRPr="000550CF" w:rsidRDefault="00ED3A7E" w:rsidP="00F3494E">
      <w:pPr>
        <w:widowControl w:val="0"/>
        <w:ind w:firstLine="720"/>
        <w:jc w:val="both"/>
        <w:rPr>
          <w:szCs w:val="24"/>
        </w:rPr>
      </w:pPr>
      <w:r>
        <w:t xml:space="preserve">2. The accounting system of financial instruments shall consist of legal acts regulating the maintenance of interrelated financial instruments accounts at the top tier level and the lower tier level maintained by a central depositary and other account operators as well as the accounting principles of financial instruments. </w:t>
      </w:r>
    </w:p>
    <w:p w14:paraId="3AC28B35" w14:textId="77777777" w:rsidR="00ED3A7E" w:rsidRPr="000550CF" w:rsidRDefault="00ED3A7E" w:rsidP="00F3494E">
      <w:pPr>
        <w:ind w:firstLine="720"/>
        <w:jc w:val="both"/>
      </w:pPr>
      <w:r>
        <w:t xml:space="preserve">3. The top tier level accounts of financial instruments shall include financial instruments accounts opened in a central depositary and sorted according to the data of records. </w:t>
      </w:r>
      <w:proofErr w:type="gramStart"/>
      <w:r>
        <w:t>For the purpose of</w:t>
      </w:r>
      <w:proofErr w:type="gramEnd"/>
      <w:r>
        <w:t xml:space="preserve"> a book-entry form recording in the financial instruments accounts the following data shall be recorded:</w:t>
      </w:r>
    </w:p>
    <w:p w14:paraId="54634BBE" w14:textId="77777777" w:rsidR="00ED3A7E" w:rsidRPr="000550CF" w:rsidRDefault="00ED3A7E" w:rsidP="00F3494E">
      <w:pPr>
        <w:widowControl w:val="0"/>
        <w:ind w:firstLine="720"/>
        <w:jc w:val="both"/>
        <w:rPr>
          <w:szCs w:val="24"/>
        </w:rPr>
      </w:pPr>
      <w:r>
        <w:t xml:space="preserve">1) the number of financial instruments of each issue of financial instruments issued by an issuer or other person and registered with the central depositary. The number of financial instruments of such issue of financial instruments shall be recorded by making entries only in one central </w:t>
      </w:r>
      <w:proofErr w:type="gramStart"/>
      <w:r>
        <w:t>depositary;</w:t>
      </w:r>
      <w:proofErr w:type="gramEnd"/>
    </w:p>
    <w:p w14:paraId="005D898D" w14:textId="77777777" w:rsidR="00ED3A7E" w:rsidRPr="000550CF" w:rsidRDefault="00ED3A7E" w:rsidP="00F3494E">
      <w:pPr>
        <w:widowControl w:val="0"/>
        <w:ind w:firstLine="720"/>
        <w:jc w:val="both"/>
        <w:rPr>
          <w:szCs w:val="24"/>
        </w:rPr>
      </w:pPr>
      <w:r>
        <w:t xml:space="preserve">2) the number of financial instruments held by the account operators’ clients by indicating that the financial instruments account is opened in the name of the account operators and on behalf of their </w:t>
      </w:r>
      <w:proofErr w:type="gramStart"/>
      <w:r>
        <w:t>clients;</w:t>
      </w:r>
      <w:proofErr w:type="gramEnd"/>
    </w:p>
    <w:p w14:paraId="1F728B51" w14:textId="77777777" w:rsidR="00ED3A7E" w:rsidRPr="000550CF" w:rsidRDefault="00ED3A7E" w:rsidP="00F3494E">
      <w:pPr>
        <w:widowControl w:val="0"/>
        <w:ind w:firstLine="720"/>
        <w:jc w:val="both"/>
        <w:rPr>
          <w:szCs w:val="24"/>
        </w:rPr>
      </w:pPr>
      <w:r>
        <w:t xml:space="preserve">3) the number of financial instruments held by clients of the account operators’ client where the latter is authorised to maintain financial instruments accounts, by indicating that the financial instruments account is opened in the name of the account operator’s client and on behalf of its </w:t>
      </w:r>
      <w:proofErr w:type="gramStart"/>
      <w:r>
        <w:t>clients;</w:t>
      </w:r>
      <w:proofErr w:type="gramEnd"/>
    </w:p>
    <w:p w14:paraId="08575289" w14:textId="77777777" w:rsidR="00ED3A7E" w:rsidRPr="000550CF" w:rsidRDefault="00ED3A7E" w:rsidP="00F3494E">
      <w:pPr>
        <w:widowControl w:val="0"/>
        <w:ind w:firstLine="720"/>
        <w:jc w:val="both"/>
        <w:rPr>
          <w:szCs w:val="24"/>
        </w:rPr>
      </w:pPr>
      <w:r>
        <w:t xml:space="preserve">4) the number of own financial instruments held by account operators, by indicating that the financial instruments account is opened in the name and on behalf of the account </w:t>
      </w:r>
      <w:proofErr w:type="gramStart"/>
      <w:r>
        <w:t>operators;</w:t>
      </w:r>
      <w:proofErr w:type="gramEnd"/>
    </w:p>
    <w:p w14:paraId="190604CC" w14:textId="77777777" w:rsidR="00ED3A7E" w:rsidRPr="000550CF" w:rsidRDefault="00ED3A7E" w:rsidP="00F3494E">
      <w:pPr>
        <w:widowControl w:val="0"/>
        <w:ind w:firstLine="720"/>
        <w:jc w:val="both"/>
        <w:rPr>
          <w:szCs w:val="24"/>
        </w:rPr>
      </w:pPr>
      <w:r>
        <w:t>5) the number of financial instruments held by the account operators’ client, by indicating that the financial instruments account is opened in the name and on behalf of the financial instruments account holders.</w:t>
      </w:r>
    </w:p>
    <w:p w14:paraId="16F2D456" w14:textId="77777777" w:rsidR="00ED3A7E" w:rsidRPr="000550CF" w:rsidRDefault="00ED3A7E" w:rsidP="00F3494E">
      <w:pPr>
        <w:widowControl w:val="0"/>
        <w:ind w:firstLine="720"/>
        <w:jc w:val="both"/>
        <w:rPr>
          <w:szCs w:val="24"/>
        </w:rPr>
      </w:pPr>
      <w:r>
        <w:t>4. A central depositary shall be authorised to open and maintain other financial instruments accounts which may be used for accounting and settlements.</w:t>
      </w:r>
    </w:p>
    <w:p w14:paraId="7CC8B2FE" w14:textId="77777777" w:rsidR="00ED3A7E" w:rsidRPr="000550CF" w:rsidRDefault="00ED3A7E" w:rsidP="00F3494E">
      <w:pPr>
        <w:widowControl w:val="0"/>
        <w:ind w:firstLine="720"/>
        <w:jc w:val="both"/>
        <w:rPr>
          <w:szCs w:val="24"/>
        </w:rPr>
      </w:pPr>
      <w:r>
        <w:t>5. A central depositary shall ensure that account operators can distinguish financial instruments of its client from financial instruments of any other of its clients.</w:t>
      </w:r>
    </w:p>
    <w:p w14:paraId="3A87AC9D" w14:textId="77777777" w:rsidR="00ED3A7E" w:rsidRPr="000550CF" w:rsidRDefault="00ED3A7E" w:rsidP="00F3494E">
      <w:pPr>
        <w:widowControl w:val="0"/>
        <w:ind w:firstLine="720"/>
        <w:jc w:val="both"/>
        <w:rPr>
          <w:szCs w:val="24"/>
        </w:rPr>
      </w:pPr>
      <w:r>
        <w:t xml:space="preserve">6. A central depositary shall ensure the integrity of the accounting system of financial instruments so that the number of issued financial instruments of each issue of financial instruments recorded in a book-entry form in accordance with the procedure set forth in point 1 of paragraph 3 of this Article is equal to the number of that issue’s financial instruments entered in other financial instruments accounts opened and maintained by account operators of the top tier level of accounting of financial instruments. </w:t>
      </w:r>
    </w:p>
    <w:p w14:paraId="01F5E412" w14:textId="77777777" w:rsidR="00ED3A7E" w:rsidRPr="000550CF" w:rsidRDefault="00ED3A7E" w:rsidP="00F3494E">
      <w:pPr>
        <w:widowControl w:val="0"/>
        <w:ind w:firstLine="720"/>
        <w:jc w:val="both"/>
        <w:rPr>
          <w:szCs w:val="24"/>
        </w:rPr>
      </w:pPr>
      <w:r>
        <w:t xml:space="preserve">7. The lower tier level accounts of financial instruments shall include financial instruments accounts opened by account operators and sorted according to the data of records. </w:t>
      </w:r>
      <w:proofErr w:type="gramStart"/>
      <w:r>
        <w:t>For the purpose of</w:t>
      </w:r>
      <w:proofErr w:type="gramEnd"/>
      <w:r>
        <w:t xml:space="preserve"> a book-entry form recording in the financial instruments accounts the following data shall be </w:t>
      </w:r>
      <w:r>
        <w:lastRenderedPageBreak/>
        <w:t>recorded:</w:t>
      </w:r>
    </w:p>
    <w:p w14:paraId="513B42A1" w14:textId="77777777" w:rsidR="00ED3A7E" w:rsidRPr="000550CF" w:rsidRDefault="00ED3A7E" w:rsidP="00F3494E">
      <w:pPr>
        <w:widowControl w:val="0"/>
        <w:ind w:firstLine="720"/>
        <w:jc w:val="both"/>
        <w:rPr>
          <w:szCs w:val="24"/>
        </w:rPr>
      </w:pPr>
      <w:r>
        <w:t xml:space="preserve">1) the number of financial instruments held by the account operators’ client, by indicating that the financial instruments account is opened in the name and on behalf of the financial instruments account </w:t>
      </w:r>
      <w:proofErr w:type="gramStart"/>
      <w:r>
        <w:t>holders;</w:t>
      </w:r>
      <w:proofErr w:type="gramEnd"/>
    </w:p>
    <w:p w14:paraId="69780E41" w14:textId="77777777" w:rsidR="00ED3A7E" w:rsidRPr="000550CF" w:rsidRDefault="00ED3A7E" w:rsidP="00F3494E">
      <w:pPr>
        <w:ind w:firstLine="720"/>
        <w:jc w:val="both"/>
      </w:pPr>
      <w:r>
        <w:t xml:space="preserve">2) the number of financial instruments held by clients of an account operator registered in the Republic of Lithuania, Member States or third countries. Those financial instruments accounts may be opened in the name of account operators with another account operator, other than a central depositary, by indicating that such account operator is acting in the capacity of account operators and that the financial instruments account is opened on behalf of their clients. </w:t>
      </w:r>
    </w:p>
    <w:p w14:paraId="3DC7B672" w14:textId="77777777" w:rsidR="00ED3A7E" w:rsidRPr="000550CF" w:rsidRDefault="00ED3A7E" w:rsidP="00F3494E">
      <w:pPr>
        <w:widowControl w:val="0"/>
        <w:ind w:firstLine="720"/>
        <w:jc w:val="both"/>
        <w:rPr>
          <w:szCs w:val="24"/>
        </w:rPr>
      </w:pPr>
      <w:r>
        <w:t>8. Account operators shall be authorised to open and maintain other financial instruments accounts, which may be used for accounting and settlements.</w:t>
      </w:r>
    </w:p>
    <w:p w14:paraId="31AEFD4B" w14:textId="77777777" w:rsidR="00ED3A7E" w:rsidRPr="000550CF" w:rsidRDefault="00ED3A7E" w:rsidP="00F3494E">
      <w:pPr>
        <w:widowControl w:val="0"/>
        <w:ind w:firstLine="720"/>
        <w:jc w:val="both"/>
        <w:rPr>
          <w:szCs w:val="24"/>
        </w:rPr>
      </w:pPr>
      <w:r>
        <w:t xml:space="preserve">9. Account operators shall ensure the integrity of the lower tier level of accounts of financial instruments so that the number of financial instruments in the top tier level financial instruments accounts opened and maintained by account operators is equal to the number of that issue’s financial instruments in the financial </w:t>
      </w:r>
      <w:proofErr w:type="gramStart"/>
      <w:r>
        <w:t>instruments</w:t>
      </w:r>
      <w:proofErr w:type="gramEnd"/>
      <w:r>
        <w:t xml:space="preserve"> accounts opened and maintained at the lower tier level of accounts of financial instruments. Entries in the financial </w:t>
      </w:r>
      <w:proofErr w:type="gramStart"/>
      <w:r>
        <w:t>instruments</w:t>
      </w:r>
      <w:proofErr w:type="gramEnd"/>
      <w:r>
        <w:t xml:space="preserve"> accounts of the lower tier level shall be made immediately on the basis of the statement or report of the top tier level financial instruments account.</w:t>
      </w:r>
    </w:p>
    <w:p w14:paraId="213803D5" w14:textId="77777777" w:rsidR="00ED3A7E" w:rsidRPr="000550CF" w:rsidRDefault="00ED3A7E" w:rsidP="00F3494E">
      <w:pPr>
        <w:widowControl w:val="0"/>
        <w:ind w:firstLine="720"/>
        <w:jc w:val="both"/>
        <w:rPr>
          <w:szCs w:val="24"/>
        </w:rPr>
      </w:pPr>
      <w:r>
        <w:t>10. Financial instruments that are pledged or provided as financial collateral may be recorded:</w:t>
      </w:r>
    </w:p>
    <w:p w14:paraId="7CF7D732" w14:textId="77777777" w:rsidR="00ED3A7E" w:rsidRPr="000550CF" w:rsidRDefault="00ED3A7E" w:rsidP="00F3494E">
      <w:pPr>
        <w:widowControl w:val="0"/>
        <w:ind w:firstLine="720"/>
        <w:jc w:val="both"/>
        <w:rPr>
          <w:szCs w:val="24"/>
        </w:rPr>
      </w:pPr>
      <w:r>
        <w:t>1) in a book-entry form in accordance with the procedure ser forth in point 5 of paragraph 3 or point 1 of paragraph 7 of this Article, by indicating the account operator clients’ ownership  right to the financial instruments. In that case, the right of disposal of the financial instruments held in the financial instruments account shall be partially or fully restricted;</w:t>
      </w:r>
    </w:p>
    <w:p w14:paraId="4B078AAE" w14:textId="77777777" w:rsidR="00ED3A7E" w:rsidRPr="000550CF" w:rsidRDefault="00ED3A7E" w:rsidP="00F3494E">
      <w:pPr>
        <w:widowControl w:val="0"/>
        <w:ind w:firstLine="720"/>
        <w:jc w:val="both"/>
        <w:rPr>
          <w:szCs w:val="24"/>
        </w:rPr>
      </w:pPr>
      <w:r>
        <w:t xml:space="preserve">2) in the financial instruments accounts opened for the purpose of pledge or provision of financial collateral. Those financial instruments accounts may be opened in the name of the provider or holder of the pledge (collateral), by indicating the owner of the financial instruments. The crediting of financial instruments in the financial instruments account opened in the name of the provider or holder of the pledge (collateral) shall be considered to be their transfer to the pledge (collateral) holder. </w:t>
      </w:r>
    </w:p>
    <w:p w14:paraId="7B60163D" w14:textId="77777777" w:rsidR="00ED3A7E" w:rsidRPr="000550CF" w:rsidRDefault="00ED3A7E" w:rsidP="00F3494E">
      <w:pPr>
        <w:widowControl w:val="0"/>
        <w:ind w:firstLine="720"/>
        <w:jc w:val="both"/>
        <w:rPr>
          <w:szCs w:val="24"/>
        </w:rPr>
      </w:pPr>
      <w:r>
        <w:t xml:space="preserve">11. Financial instruments pledged with the European Central Bank or with a central bank of another Member State shall be recorded in a book-entry form in the financial instruments accounts opened with a central depositary in the name of the Bank of Lithuania, by indicating the pledge holder and the owner of the financial instruments. Book-entries in such accounts shall be made in accordance with the procedure set forth by the Bank of Lithuania. </w:t>
      </w:r>
    </w:p>
    <w:p w14:paraId="30422AFB" w14:textId="77777777" w:rsidR="00ED3A7E" w:rsidRPr="000550CF" w:rsidRDefault="00ED3A7E" w:rsidP="00F3494E">
      <w:pPr>
        <w:widowControl w:val="0"/>
        <w:ind w:firstLine="720"/>
        <w:jc w:val="both"/>
        <w:rPr>
          <w:szCs w:val="24"/>
        </w:rPr>
      </w:pPr>
      <w:r>
        <w:t>12. Financial instruments transferred to the ownership of the European Central Bank or a central bank of another Member State by way of a repurchase or other transactions may be recorded in a book-entry form in the financial instruments accounts opened with a central depositary in the name of the Bank of Lithuania, by indicating the Central European Bank or the central bank of the Member as the holder of financial instruments. Book-entries in such accounts shall be made in accordance with the procedure set forth by the Bank Lithuania.</w:t>
      </w:r>
    </w:p>
    <w:p w14:paraId="7577ACBB" w14:textId="77777777" w:rsidR="00ED3A7E" w:rsidRPr="000550CF" w:rsidRDefault="00ED3A7E" w:rsidP="00F3494E">
      <w:pPr>
        <w:widowControl w:val="0"/>
        <w:ind w:firstLine="720"/>
        <w:jc w:val="both"/>
        <w:rPr>
          <w:szCs w:val="24"/>
          <w:lang w:eastAsia="lt-LT"/>
        </w:rPr>
      </w:pPr>
    </w:p>
    <w:p w14:paraId="0B2A8211" w14:textId="77777777" w:rsidR="00ED3A7E" w:rsidRPr="000550CF" w:rsidRDefault="00ED3A7E" w:rsidP="00F3494E">
      <w:pPr>
        <w:widowControl w:val="0"/>
        <w:ind w:firstLine="720"/>
        <w:jc w:val="both"/>
        <w:rPr>
          <w:szCs w:val="24"/>
        </w:rPr>
      </w:pPr>
      <w:r>
        <w:rPr>
          <w:b/>
          <w:szCs w:val="24"/>
        </w:rPr>
        <w:t>Article 88. Maintaining of financial instruments accounts</w:t>
      </w:r>
    </w:p>
    <w:p w14:paraId="78CC6AAA" w14:textId="77777777" w:rsidR="00ED3A7E" w:rsidRPr="000550CF" w:rsidRDefault="00ED3A7E" w:rsidP="00F3494E">
      <w:pPr>
        <w:widowControl w:val="0"/>
        <w:ind w:firstLine="720"/>
        <w:jc w:val="both"/>
        <w:rPr>
          <w:szCs w:val="24"/>
        </w:rPr>
      </w:pPr>
      <w:r>
        <w:t>1. For the purpose of maintaining financial instruments accounts of all types account operators must observe the following principles:</w:t>
      </w:r>
    </w:p>
    <w:p w14:paraId="5524E734" w14:textId="77777777" w:rsidR="00ED3A7E" w:rsidRPr="000550CF" w:rsidRDefault="00ED3A7E" w:rsidP="00F3494E">
      <w:pPr>
        <w:widowControl w:val="0"/>
        <w:ind w:firstLine="720"/>
        <w:jc w:val="both"/>
        <w:rPr>
          <w:szCs w:val="24"/>
        </w:rPr>
      </w:pPr>
      <w:r>
        <w:t>1) the principle of mandatory recording, which means that all transactions should be recorded;</w:t>
      </w:r>
    </w:p>
    <w:p w14:paraId="03C6A204" w14:textId="77777777" w:rsidR="00ED3A7E" w:rsidRPr="000550CF" w:rsidRDefault="00ED3A7E" w:rsidP="00F3494E">
      <w:pPr>
        <w:widowControl w:val="0"/>
        <w:ind w:firstLine="720"/>
        <w:jc w:val="both"/>
        <w:rPr>
          <w:szCs w:val="24"/>
        </w:rPr>
      </w:pPr>
      <w:r>
        <w:t>2) the principle of a separate accounting, which means that the records on own financial instruments of the account operators and on financial instruments of each of their clients must be kept separately, and for the purpose of maintaining the top tier level financial instruments accounts by a central depositary, the financial instruments of individual account operators as well as financial instruments of those account operators and their clients must be segregated. This principle shall apply mutatis mutandis to the accounting of funds of the account operators and their clients;</w:t>
      </w:r>
    </w:p>
    <w:p w14:paraId="76422B0C" w14:textId="77777777" w:rsidR="00ED3A7E" w:rsidRPr="000550CF" w:rsidRDefault="00ED3A7E" w:rsidP="00F3494E">
      <w:pPr>
        <w:widowControl w:val="0"/>
        <w:ind w:firstLine="720"/>
        <w:jc w:val="both"/>
        <w:rPr>
          <w:szCs w:val="24"/>
        </w:rPr>
      </w:pPr>
      <w:r>
        <w:t>3) the principle of transparency, which means that the account operators’ records in a book-</w:t>
      </w:r>
      <w:r>
        <w:lastRenderedPageBreak/>
        <w:t>entry form shall clearly identify the owners of financial instruments and the financial instruments included in the accounting of financial instruments accounts opened in their name, excluding the exemptions provided for by this Law. Records made in a book-entry form in a central depositary shall clearly identify the account operators and financial instruments included in the accounting of financial instruments accounts opened in their name.</w:t>
      </w:r>
    </w:p>
    <w:p w14:paraId="637A6305" w14:textId="77777777" w:rsidR="00ED3A7E" w:rsidRPr="000550CF" w:rsidRDefault="00ED3A7E" w:rsidP="00F3494E">
      <w:pPr>
        <w:widowControl w:val="0"/>
        <w:ind w:firstLine="720"/>
        <w:jc w:val="both"/>
        <w:rPr>
          <w:szCs w:val="24"/>
        </w:rPr>
      </w:pPr>
      <w:r>
        <w:t>2. An issuer or another entity who issues financial instruments entered in the top tier level or lower tier level accounts of financial instruments must conclude an agreement with the account operator or with a central depositary for opening, maintaining and closing the financial instruments account in which entries are made in accordance with the procedure set forth in Article 87(3)(1) of this Law. Where the agreement is not concluded or is terminated, the issuer or another person who issues financial instruments must immediately, but not later than within three business days, conclude such agreement with another account operator or with a central depositary. The responsibility for the conclusion of that agreement shall rest upon the management body of the issuer or another person who issues financial instruments.</w:t>
      </w:r>
    </w:p>
    <w:p w14:paraId="693593CD" w14:textId="77777777" w:rsidR="00ED3A7E" w:rsidRPr="000550CF" w:rsidRDefault="00ED3A7E" w:rsidP="00F3494E">
      <w:pPr>
        <w:widowControl w:val="0"/>
        <w:ind w:firstLine="720"/>
        <w:jc w:val="both"/>
        <w:rPr>
          <w:szCs w:val="24"/>
        </w:rPr>
      </w:pPr>
      <w:r>
        <w:t xml:space="preserve">3. Financial instruments accounts in which records are made in a book-entry form under Article 87(3)(1) of this Law shall be opened and maintained by a central depositary. Financial instruments accounts in which records are made in a book-entry form under points 2 to 5 and paragraph 7 of Article 87(3) of this Law shall be opened and maintained by account operators. </w:t>
      </w:r>
    </w:p>
    <w:p w14:paraId="47740945" w14:textId="77777777" w:rsidR="00ED3A7E" w:rsidRPr="000550CF" w:rsidRDefault="00ED3A7E" w:rsidP="00F3494E">
      <w:pPr>
        <w:widowControl w:val="0"/>
        <w:ind w:firstLine="720"/>
        <w:jc w:val="both"/>
        <w:rPr>
          <w:szCs w:val="24"/>
        </w:rPr>
      </w:pPr>
      <w:r>
        <w:t xml:space="preserve">4. Financial instruments account in which records are made in a book-entry form under point 5 of Article 87(3) or point 1 of Article 87(7) of this Law shall be opened and maintained on the basis of an agreement concluded between the account operator and the owner of such financial instruments account. </w:t>
      </w:r>
    </w:p>
    <w:p w14:paraId="49948830" w14:textId="77777777" w:rsidR="00ED3A7E" w:rsidRPr="000550CF" w:rsidRDefault="00ED3A7E" w:rsidP="00F3494E">
      <w:pPr>
        <w:widowControl w:val="0"/>
        <w:ind w:firstLine="720"/>
        <w:jc w:val="both"/>
        <w:rPr>
          <w:szCs w:val="24"/>
        </w:rPr>
      </w:pPr>
      <w:r>
        <w:t>5. Each transaction related to financial instruments shall be recorded in a book-entry form in financial instruments accounts:</w:t>
      </w:r>
    </w:p>
    <w:p w14:paraId="62397765" w14:textId="77777777" w:rsidR="00ED3A7E" w:rsidRPr="000550CF" w:rsidRDefault="00ED3A7E" w:rsidP="00F3494E">
      <w:pPr>
        <w:ind w:firstLine="720"/>
        <w:jc w:val="both"/>
      </w:pPr>
      <w:r>
        <w:t>1) the recording in a book-entry form under point 5 of Article 87(3) or point 1 of Article 87(7) of this Law shall constitute the evidence of the right of ownership; therefore, when making such recording in a book-entry form the owners of financial instruments and the financial instruments entered in the accounts opened in their name must be clearly identified. The account operators maintaining financial instruments accounts in which records are made in a book-entry form under point 5 of Article 87(3) or point 1 of Article 87(7) of this Law must issue the statements of accounts at the request of their holders. Transactions related to financial instruments held in such accounts shall be executed on the basis of orders, investment decisions, and agreements on disposal of financial instruments and on other lawful grounds. Records in a book-entry form in the financial instruments accounts referred to in this paragraph may be made without the owner’s consent when correcting errors in accordance with the procedure set forth by the central depositary. Account operators must retain all documents on the basis of which records were made in a book-entry form in the lower tier level accounts of financial instruments;</w:t>
      </w:r>
    </w:p>
    <w:p w14:paraId="51A6555A" w14:textId="77777777" w:rsidR="00ED3A7E" w:rsidRPr="000550CF" w:rsidRDefault="00ED3A7E" w:rsidP="00F3494E">
      <w:pPr>
        <w:widowControl w:val="0"/>
        <w:ind w:firstLine="720"/>
        <w:jc w:val="both"/>
        <w:rPr>
          <w:szCs w:val="24"/>
        </w:rPr>
      </w:pPr>
      <w:r>
        <w:t>2) the records in a book-entry form maintained under points 2 to 5 of paragraph 3 and under point 2 of paragraph 7 of Article 87 of this Law ensure the administrative segregation of clients, but they shall not constitute the evidence of the right of ownership.</w:t>
      </w:r>
    </w:p>
    <w:p w14:paraId="75253A9A" w14:textId="77777777" w:rsidR="00ED3A7E" w:rsidRPr="000550CF" w:rsidRDefault="00ED3A7E" w:rsidP="00F3494E">
      <w:pPr>
        <w:widowControl w:val="0"/>
        <w:ind w:firstLine="720"/>
        <w:jc w:val="both"/>
        <w:rPr>
          <w:szCs w:val="24"/>
        </w:rPr>
      </w:pPr>
      <w:r>
        <w:t xml:space="preserve">6. When carrying out any operation in financial instruments held in the financial instruments accounts in which records are made in a book-entry form under point 5 of Article 87(3) or point 1 of Article 87(7) of this Law, the account operator must verify the related operation so as to ensure that the transaction is concluded by the authorised counterparties and meets the requirements established for the disposal of those financial instruments. In the agreement on the disposal of financial instruments which is provided to account operators the parties shall indicate the name of the company the financial instruments of which are being disposed, its legal form, code, registered office address, the type and number of financial instruments being disposed as well as other details specified by legal acts regulating disposal of financial instruments. The account operator must refuse the recording in a book-entry form in the financial instruments accounts of the transferor and of the transferee of the financial instruments in which recording in a book-entry form is made under point 5 of Article 87(3) or point 1 of Article 87(7) of this Law where at least one of the above specified data is not indicated </w:t>
      </w:r>
      <w:r>
        <w:lastRenderedPageBreak/>
        <w:t xml:space="preserve">in the agreement. </w:t>
      </w:r>
    </w:p>
    <w:p w14:paraId="30462F24" w14:textId="77777777" w:rsidR="00ED3A7E" w:rsidRPr="000550CF" w:rsidRDefault="00ED3A7E" w:rsidP="00F3494E">
      <w:pPr>
        <w:widowControl w:val="0"/>
        <w:ind w:firstLine="720"/>
        <w:jc w:val="both"/>
        <w:rPr>
          <w:szCs w:val="24"/>
        </w:rPr>
      </w:pPr>
      <w:r>
        <w:t>7. The right to maintain financial instruments accounts in the account operator’s name and change their content shall be granted only to the account operator’s employees and other persons who are authorised under the account operator’s instruments of incorporation to take independent decisions on the maintenance of accounts. The account operator must ensure the owner’s right of continuous disposal of financial instruments.</w:t>
      </w:r>
    </w:p>
    <w:p w14:paraId="661AFFAB" w14:textId="66A0213C" w:rsidR="00167C46" w:rsidRPr="00167C46" w:rsidRDefault="00ED3A7E" w:rsidP="00167C46">
      <w:pPr>
        <w:spacing w:line="360" w:lineRule="atLeast"/>
        <w:ind w:firstLine="720"/>
        <w:jc w:val="both"/>
        <w:rPr>
          <w:color w:val="000000"/>
          <w:szCs w:val="24"/>
        </w:rPr>
      </w:pPr>
      <w:r>
        <w:t xml:space="preserve">8.  </w:t>
      </w:r>
      <w:r>
        <w:rPr>
          <w:color w:val="000000"/>
          <w:szCs w:val="24"/>
        </w:rPr>
        <w:t xml:space="preserve">The account operator must ensure the confidentiality of information accessed when maintaining the accounts, excluding the cases of mandatory disclosure of information provided for by laws. Account operators may provide the information on balances of financial instruments accounts in which the recording in a book-entry form is made under point 5 of Article 87(3) or point 1 of Article 87(7) of this Law only to the account holder and their authorised persons.  Other persons may be provided with such information only in the cases established by laws of the Republic of Lithuania. Account operators must submit the lists of owners of financial instruments to a central depositary which exercises </w:t>
      </w:r>
      <w:r>
        <w:rPr>
          <w:color w:val="000000"/>
          <w:szCs w:val="24"/>
          <w:shd w:val="clear" w:color="auto" w:fill="FFFFFF"/>
        </w:rPr>
        <w:t>the right of the issuer or another person issuing financial instruments as specified in Article 89</w:t>
      </w:r>
      <w:r>
        <w:rPr>
          <w:color w:val="000000"/>
          <w:szCs w:val="24"/>
          <w:shd w:val="clear" w:color="auto" w:fill="FFFFFF"/>
          <w:vertAlign w:val="superscript"/>
        </w:rPr>
        <w:t>1</w:t>
      </w:r>
      <w:r>
        <w:rPr>
          <w:color w:val="000000"/>
          <w:szCs w:val="24"/>
          <w:shd w:val="clear" w:color="auto" w:fill="FFFFFF"/>
        </w:rPr>
        <w:t>(2) of this Law.</w:t>
      </w:r>
    </w:p>
    <w:p w14:paraId="34CF3C48" w14:textId="77777777" w:rsidR="00167C46" w:rsidRDefault="00167C46" w:rsidP="00167C46">
      <w:pPr>
        <w:rPr>
          <w:color w:val="000000"/>
          <w:sz w:val="27"/>
          <w:szCs w:val="27"/>
        </w:rPr>
      </w:pPr>
      <w:r>
        <w:rPr>
          <w:i/>
          <w:iCs/>
          <w:color w:val="000000"/>
          <w:sz w:val="20"/>
        </w:rPr>
        <w:t>Amendments to the paragraph of the Article:</w:t>
      </w:r>
    </w:p>
    <w:p w14:paraId="0D4864FC" w14:textId="77777777" w:rsidR="00167C46" w:rsidRDefault="00167C46" w:rsidP="00167C46">
      <w:pPr>
        <w:jc w:val="both"/>
        <w:rPr>
          <w:color w:val="000000"/>
          <w:sz w:val="27"/>
          <w:szCs w:val="27"/>
        </w:rPr>
      </w:pPr>
      <w:r>
        <w:rPr>
          <w:i/>
          <w:iCs/>
          <w:color w:val="000000"/>
          <w:sz w:val="20"/>
        </w:rPr>
        <w:t xml:space="preserve">No </w:t>
      </w:r>
      <w:hyperlink r:id="rId137" w:tgtFrame="_parent" w:history="1">
        <w:r>
          <w:rPr>
            <w:rStyle w:val="Hyperlink"/>
            <w:i/>
            <w:iCs/>
            <w:sz w:val="20"/>
          </w:rPr>
          <w:t>XIII-2252</w:t>
        </w:r>
      </w:hyperlink>
      <w:r>
        <w:rPr>
          <w:i/>
          <w:iCs/>
          <w:color w:val="000000"/>
          <w:sz w:val="20"/>
        </w:rPr>
        <w:t>, 27/06/2019, published in the RLA, 05/07/2019, ID code 2019-11172</w:t>
      </w:r>
    </w:p>
    <w:p w14:paraId="0F8B4209" w14:textId="2D56CE52" w:rsidR="00ED3A7E" w:rsidRPr="000550CF" w:rsidRDefault="00ED3A7E" w:rsidP="00F3494E">
      <w:pPr>
        <w:ind w:firstLine="720"/>
        <w:jc w:val="both"/>
        <w:rPr>
          <w:lang w:eastAsia="lt-LT"/>
        </w:rPr>
      </w:pPr>
    </w:p>
    <w:p w14:paraId="6C711175" w14:textId="77777777" w:rsidR="00ED3A7E" w:rsidRPr="000550CF" w:rsidRDefault="00ED3A7E" w:rsidP="00F3494E">
      <w:pPr>
        <w:widowControl w:val="0"/>
        <w:ind w:firstLine="720"/>
        <w:jc w:val="both"/>
        <w:rPr>
          <w:szCs w:val="24"/>
        </w:rPr>
      </w:pPr>
      <w:r>
        <w:t xml:space="preserve">9. Where financial instruments acquired by account operators and/or their clients issued not in the Republic of Lithuania are held in the central depositary’s accounts opened with central or international depositaries of other countries, provisions of this Law shall apply mutatis mutandis to the accounting of such financial instruments in Lithuania, excluding the requirements specified in Article 87(3)(1) of this Law. </w:t>
      </w:r>
    </w:p>
    <w:p w14:paraId="6B575E3E" w14:textId="71149232" w:rsidR="00167C46" w:rsidRPr="00167C46" w:rsidRDefault="00ED3A7E" w:rsidP="00167C46">
      <w:pPr>
        <w:spacing w:line="360" w:lineRule="atLeast"/>
        <w:ind w:firstLine="720"/>
        <w:jc w:val="both"/>
        <w:rPr>
          <w:color w:val="000000"/>
          <w:szCs w:val="24"/>
        </w:rPr>
      </w:pPr>
      <w:r>
        <w:t xml:space="preserve">10.  </w:t>
      </w:r>
      <w:r>
        <w:rPr>
          <w:color w:val="000000"/>
          <w:szCs w:val="24"/>
        </w:rPr>
        <w:t>Shares and bonds of public companies shall be recorded in the accounts maintained at the top tier level and lower tier level of accounting of financial instruments.  Other publicly offered financial instruments that are admitted to trading on a regulated market and/or an MTF operating in the Republic of Lithuania and/or an MTF or are distributed by technical organisational means of a market operator and/or settlement system shall be recorded in the accounts maintained at the top tier level and lower tier level of accounting of financial instruments. Where shares of private companies are recorded and financial instruments accounts are maintained according to the provisions of this Law, including references in to this Law made in the Civil Code of the Republic of Lithuania and in the Law on Companies, they may be recorded in the financial instruments accounts maintained at the top tier level and lower tier level or in the lower tier level accounts of financial instruments.</w:t>
      </w:r>
    </w:p>
    <w:p w14:paraId="11C76F88" w14:textId="77777777" w:rsidR="00167C46" w:rsidRDefault="00167C46" w:rsidP="00167C46">
      <w:pPr>
        <w:rPr>
          <w:color w:val="000000"/>
          <w:sz w:val="27"/>
          <w:szCs w:val="27"/>
        </w:rPr>
      </w:pPr>
      <w:r>
        <w:rPr>
          <w:i/>
          <w:iCs/>
          <w:color w:val="000000"/>
          <w:sz w:val="20"/>
        </w:rPr>
        <w:t>Amendments to the paragraph of the Article:</w:t>
      </w:r>
    </w:p>
    <w:p w14:paraId="2B0E6363" w14:textId="77777777" w:rsidR="00167C46" w:rsidRDefault="00167C46" w:rsidP="00167C46">
      <w:pPr>
        <w:jc w:val="both"/>
        <w:rPr>
          <w:color w:val="000000"/>
          <w:sz w:val="27"/>
          <w:szCs w:val="27"/>
        </w:rPr>
      </w:pPr>
      <w:r>
        <w:rPr>
          <w:i/>
          <w:iCs/>
          <w:color w:val="000000"/>
          <w:sz w:val="20"/>
        </w:rPr>
        <w:t xml:space="preserve">No </w:t>
      </w:r>
      <w:hyperlink r:id="rId138" w:tgtFrame="_parent" w:history="1">
        <w:r>
          <w:rPr>
            <w:rStyle w:val="Hyperlink"/>
            <w:i/>
            <w:iCs/>
            <w:sz w:val="20"/>
          </w:rPr>
          <w:t>XIII-1877</w:t>
        </w:r>
      </w:hyperlink>
      <w:r>
        <w:rPr>
          <w:i/>
          <w:iCs/>
          <w:color w:val="000000"/>
          <w:sz w:val="20"/>
        </w:rPr>
        <w:t>, 20/12/2018, published in the RLA, 08/01/2019, ID code 2019-00227</w:t>
      </w:r>
    </w:p>
    <w:p w14:paraId="48B7AC91" w14:textId="6207A288" w:rsidR="00ED3A7E" w:rsidRPr="000550CF" w:rsidRDefault="00ED3A7E" w:rsidP="00F3494E">
      <w:pPr>
        <w:widowControl w:val="0"/>
        <w:ind w:firstLine="720"/>
        <w:jc w:val="both"/>
        <w:rPr>
          <w:szCs w:val="24"/>
          <w:lang w:eastAsia="lt-LT"/>
        </w:rPr>
      </w:pPr>
    </w:p>
    <w:p w14:paraId="49640247" w14:textId="77777777" w:rsidR="00ED3A7E" w:rsidRPr="000550CF" w:rsidRDefault="00ED3A7E" w:rsidP="00F3494E">
      <w:pPr>
        <w:widowControl w:val="0"/>
        <w:ind w:firstLine="720"/>
        <w:jc w:val="both"/>
        <w:rPr>
          <w:szCs w:val="24"/>
        </w:rPr>
      </w:pPr>
      <w:r>
        <w:t>11. Units or shares of a collective investment undertaking may (and in the cases established under the Law on Collective Investment Undertakings – must) be recorded in the top tier level and lower tier level accounts of financial instruments. Requirements of this Law shall apply mutatis mutandis to the accounting of financial instruments issued by collective investment undertakings recorded in the top tier level and the lower tier level accounts of financial instruments or only in the lower tier level accounts of financial instruments.</w:t>
      </w:r>
    </w:p>
    <w:p w14:paraId="1CB84233" w14:textId="77777777" w:rsidR="00ED3A7E" w:rsidRPr="000550CF" w:rsidRDefault="00ED3A7E" w:rsidP="00F3494E">
      <w:pPr>
        <w:widowControl w:val="0"/>
        <w:ind w:firstLine="720"/>
        <w:jc w:val="both"/>
        <w:rPr>
          <w:szCs w:val="24"/>
        </w:rPr>
      </w:pPr>
      <w:r>
        <w:t xml:space="preserve">12. Financial instruments recorded by central depositaries and account operators in the top tier level and at the lower tier level accounts of financial instruments must have the international identification number of financial instruments – </w:t>
      </w:r>
      <w:proofErr w:type="spellStart"/>
      <w:r>
        <w:t>ISIN</w:t>
      </w:r>
      <w:proofErr w:type="spellEnd"/>
      <w:r>
        <w:t xml:space="preserve"> code.</w:t>
      </w:r>
    </w:p>
    <w:p w14:paraId="63D06149" w14:textId="77777777" w:rsidR="00ED3A7E" w:rsidRPr="000550CF" w:rsidRDefault="00ED3A7E" w:rsidP="00F3494E">
      <w:pPr>
        <w:widowControl w:val="0"/>
        <w:ind w:firstLine="720"/>
        <w:jc w:val="both"/>
        <w:rPr>
          <w:szCs w:val="24"/>
          <w:lang w:eastAsia="lt-LT"/>
        </w:rPr>
      </w:pPr>
    </w:p>
    <w:p w14:paraId="4C3127A7" w14:textId="77777777" w:rsidR="00ED3A7E" w:rsidRPr="000550CF" w:rsidRDefault="00ED3A7E" w:rsidP="00F3494E">
      <w:pPr>
        <w:widowControl w:val="0"/>
        <w:ind w:left="2410" w:hanging="1690"/>
        <w:jc w:val="both"/>
        <w:rPr>
          <w:szCs w:val="24"/>
        </w:rPr>
      </w:pPr>
      <w:r>
        <w:rPr>
          <w:b/>
          <w:szCs w:val="24"/>
        </w:rPr>
        <w:t xml:space="preserve">Article 89. Events of financial instruments and provision of information related to </w:t>
      </w:r>
      <w:r>
        <w:rPr>
          <w:b/>
          <w:szCs w:val="24"/>
        </w:rPr>
        <w:lastRenderedPageBreak/>
        <w:t xml:space="preserve">financial </w:t>
      </w:r>
      <w:proofErr w:type="gramStart"/>
      <w:r>
        <w:rPr>
          <w:b/>
          <w:szCs w:val="24"/>
        </w:rPr>
        <w:t>instruments</w:t>
      </w:r>
      <w:proofErr w:type="gramEnd"/>
      <w:r>
        <w:rPr>
          <w:b/>
          <w:szCs w:val="24"/>
        </w:rPr>
        <w:t xml:space="preserve"> </w:t>
      </w:r>
    </w:p>
    <w:p w14:paraId="3349B181" w14:textId="77777777" w:rsidR="00167C46" w:rsidRDefault="00167C46" w:rsidP="00167C46">
      <w:pPr>
        <w:spacing w:line="360" w:lineRule="atLeast"/>
        <w:ind w:firstLine="720"/>
        <w:jc w:val="both"/>
        <w:rPr>
          <w:color w:val="000000"/>
        </w:rPr>
      </w:pPr>
      <w:r>
        <w:rPr>
          <w:color w:val="000000"/>
        </w:rPr>
        <w:t xml:space="preserve">1. An event of financial instruments shall include the issue of financial instruments, the general meeting of shareholders, payments of dividends, interest or other payments, the granting and exercising of property and non-property rights, as well as other events initiated or controlled by the issuer or another person whose financial instruments’ issue is registered with the central depositary which are likely to change parameters of financial instruments accounts. </w:t>
      </w:r>
    </w:p>
    <w:p w14:paraId="2D2B6B85" w14:textId="77777777" w:rsidR="00167C46" w:rsidRPr="00BE49BD" w:rsidRDefault="00167C46" w:rsidP="00167C46">
      <w:pPr>
        <w:spacing w:line="360" w:lineRule="atLeast"/>
        <w:ind w:firstLine="720"/>
        <w:jc w:val="both"/>
        <w:rPr>
          <w:color w:val="000000"/>
        </w:rPr>
      </w:pPr>
      <w:bookmarkStart w:id="232" w:name="part_0d989fb40855444fbcd282bb21e75396"/>
      <w:bookmarkEnd w:id="232"/>
      <w:r>
        <w:rPr>
          <w:color w:val="000000"/>
        </w:rPr>
        <w:t xml:space="preserve">2. A complete list of events of financial instruments, the procedure of carrying out of operations related to them, the principles of rounding of financial instruments and/or funds applied to events of financial instruments at the top tier level of accounts of financial instruments shall be established by the central depositary in observance of the generally accepted international standards on events of financial instruments. </w:t>
      </w:r>
    </w:p>
    <w:p w14:paraId="75C895FE" w14:textId="77777777" w:rsidR="00167C46" w:rsidRPr="00BE49BD" w:rsidRDefault="00167C46" w:rsidP="00167C46">
      <w:pPr>
        <w:spacing w:line="360" w:lineRule="atLeast"/>
        <w:ind w:firstLine="720"/>
        <w:jc w:val="both"/>
        <w:rPr>
          <w:color w:val="000000"/>
        </w:rPr>
      </w:pPr>
      <w:bookmarkStart w:id="233" w:name="part_58fd7948af1842ec8b0f737aa1fd5f13"/>
      <w:bookmarkEnd w:id="233"/>
      <w:r>
        <w:rPr>
          <w:color w:val="000000"/>
        </w:rPr>
        <w:t xml:space="preserve">3. Issuers and other persons whose issue of financial instruments is registered with the central depository shall adopt decisions and initiate the events of financial instruments, however, they shall be required to notify the central depository about the events of financial instruments in accordance with the procedure and within the terms established by it and shall provide it with related documents and information necessary for such events to be carried out. The events of financial instruments shall be carried out by the central depository and shall be considered to have occurred upon the </w:t>
      </w:r>
      <w:proofErr w:type="spellStart"/>
      <w:r>
        <w:rPr>
          <w:color w:val="000000"/>
        </w:rPr>
        <w:t>the</w:t>
      </w:r>
      <w:proofErr w:type="spellEnd"/>
      <w:r>
        <w:rPr>
          <w:color w:val="000000"/>
        </w:rPr>
        <w:t xml:space="preserve"> making by the central depository of appropriate entries in the accounts of financial instruments and/or funds based on the documents submitted to it.</w:t>
      </w:r>
    </w:p>
    <w:p w14:paraId="2B2F38D2" w14:textId="77777777" w:rsidR="00167C46" w:rsidRPr="00BE49BD" w:rsidRDefault="00167C46" w:rsidP="00167C46">
      <w:pPr>
        <w:spacing w:line="360" w:lineRule="atLeast"/>
        <w:ind w:firstLine="720"/>
        <w:jc w:val="both"/>
        <w:rPr>
          <w:color w:val="000000"/>
        </w:rPr>
      </w:pPr>
      <w:bookmarkStart w:id="234" w:name="part_ac9fa7dc522048458bf3b11c4aa4b284"/>
      <w:bookmarkEnd w:id="234"/>
      <w:r>
        <w:rPr>
          <w:color w:val="000000"/>
        </w:rPr>
        <w:t>4. The central depository shall notify on events of financial instruments the account operators of the owners of financial instruments who handle the information on issuers whose financial instruments are admitted to trading on a regulated market and who have reported an event of financial instruments, in accordance with the procedure and within the terms set by the central depository.</w:t>
      </w:r>
    </w:p>
    <w:p w14:paraId="4DA39A65" w14:textId="77777777" w:rsidR="00167C46" w:rsidRPr="00BE49BD" w:rsidRDefault="00167C46" w:rsidP="00167C46">
      <w:pPr>
        <w:spacing w:line="360" w:lineRule="atLeast"/>
        <w:ind w:firstLine="720"/>
        <w:jc w:val="both"/>
        <w:rPr>
          <w:color w:val="000000"/>
        </w:rPr>
      </w:pPr>
      <w:bookmarkStart w:id="235" w:name="part_785d07deba324a358ec7a4c147110ef9"/>
      <w:bookmarkEnd w:id="235"/>
      <w:r>
        <w:rPr>
          <w:color w:val="000000"/>
        </w:rPr>
        <w:t>5. An account operator must, in observance of the procedure, manner and periodicity specified in the agreement concluded with the owner of financial instruments, notify the owner of financial instruments of any change in the financial instruments account in which the recording in a book-entry form is made under point 5 of Article 87(3) or point 1 of Article 87(7) of this Law. At the end of a calendar year, account operators shall submit a report, in the manner and according to the procedure specified in the agreement, on the status of the personal financial instruments account as at the end of the last day of the previous year.</w:t>
      </w:r>
    </w:p>
    <w:p w14:paraId="1866E0D2" w14:textId="77777777" w:rsidR="00167C46" w:rsidRPr="00BE49BD" w:rsidRDefault="00167C46" w:rsidP="00167C46">
      <w:pPr>
        <w:spacing w:line="360" w:lineRule="atLeast"/>
        <w:ind w:firstLine="720"/>
        <w:jc w:val="both"/>
        <w:rPr>
          <w:color w:val="000000"/>
        </w:rPr>
      </w:pPr>
      <w:bookmarkStart w:id="236" w:name="part_d4af5c9f50434ce29f18c9df2fce3c24"/>
      <w:bookmarkEnd w:id="236"/>
      <w:r>
        <w:rPr>
          <w:color w:val="000000"/>
        </w:rPr>
        <w:t>6. An account operator that maintains the financial instruments accounts in which recording in a book-entry form is made under point 5 of Article 87(3) or point 1 of Article 87(7) of this Law must immediately transmit to the owner of financial instruments whose accounts are managed by it, of the issuer whose financial instruments are admitted to trading on a regulated market or to a person authorised by him/her:</w:t>
      </w:r>
    </w:p>
    <w:p w14:paraId="3DCBA0BF" w14:textId="77777777" w:rsidR="00167C46" w:rsidRPr="00BE49BD" w:rsidRDefault="00167C46" w:rsidP="00167C46">
      <w:pPr>
        <w:spacing w:line="360" w:lineRule="atLeast"/>
        <w:ind w:firstLine="720"/>
        <w:jc w:val="both"/>
        <w:rPr>
          <w:color w:val="000000"/>
        </w:rPr>
      </w:pPr>
      <w:bookmarkStart w:id="237" w:name="part_f6e856c80ba14ce1b1117bfabf5fbbeb"/>
      <w:bookmarkEnd w:id="237"/>
      <w:r>
        <w:rPr>
          <w:color w:val="000000"/>
        </w:rPr>
        <w:t>1) information about events of financial instruments relating to property or non-property rights of the owner of the financial instruments, which are granted to him/her by the financial instruments owned by him/her and which can be exercised by all owners of the same class of shares, or</w:t>
      </w:r>
    </w:p>
    <w:p w14:paraId="47E28BAA" w14:textId="77777777" w:rsidR="00167C46" w:rsidRPr="00BE49BD" w:rsidRDefault="00167C46" w:rsidP="00167C46">
      <w:pPr>
        <w:spacing w:line="360" w:lineRule="atLeast"/>
        <w:ind w:firstLine="720"/>
        <w:jc w:val="both"/>
        <w:rPr>
          <w:color w:val="000000"/>
        </w:rPr>
      </w:pPr>
      <w:bookmarkStart w:id="238" w:name="part_65cd7a750c46482e9dfad7ba2ed79b50"/>
      <w:bookmarkEnd w:id="238"/>
      <w:r>
        <w:rPr>
          <w:color w:val="000000"/>
        </w:rPr>
        <w:lastRenderedPageBreak/>
        <w:t>2) a notification with a link to the website of the issuer whose financial instruments are admitted to trading on a regulated market, if it contains the information referred to in sub-paragraph 1 of this paragraph about the events of financial instruments, and</w:t>
      </w:r>
    </w:p>
    <w:p w14:paraId="5914CF26" w14:textId="77777777" w:rsidR="00167C46" w:rsidRPr="00BE49BD" w:rsidRDefault="00167C46" w:rsidP="00167C46">
      <w:pPr>
        <w:spacing w:line="360" w:lineRule="atLeast"/>
        <w:ind w:firstLine="720"/>
        <w:jc w:val="both"/>
        <w:rPr>
          <w:color w:val="000000"/>
        </w:rPr>
      </w:pPr>
      <w:bookmarkStart w:id="239" w:name="part_95a2ee89e7404e4aa44b28ef73f8b27e"/>
      <w:bookmarkEnd w:id="239"/>
      <w:r>
        <w:rPr>
          <w:color w:val="000000"/>
        </w:rPr>
        <w:t>3) information on how the owner of financial instruments can exercise the property and non-property rights of the owner of financial instruments or how to submit a voting instruction to the account operator for voting to the benefit of the owner of financial instruments.</w:t>
      </w:r>
    </w:p>
    <w:p w14:paraId="0E5BCF35" w14:textId="77777777" w:rsidR="00167C46" w:rsidRPr="00BE49BD" w:rsidRDefault="00167C46" w:rsidP="00167C46">
      <w:pPr>
        <w:spacing w:line="360" w:lineRule="atLeast"/>
        <w:ind w:firstLine="720"/>
        <w:jc w:val="both"/>
        <w:rPr>
          <w:color w:val="000000"/>
        </w:rPr>
      </w:pPr>
      <w:bookmarkStart w:id="240" w:name="part_d677c66ac335426d8bb21e3299ffe159"/>
      <w:bookmarkEnd w:id="240"/>
      <w:r>
        <w:rPr>
          <w:color w:val="000000"/>
        </w:rPr>
        <w:t>7. The requirement established in paragraph 6 of this Article for account operators to immediately transmit information shall not apply if the issuer whose financial instruments are admitted to trading on a regulated market provides the information or notification directly to all owners of financial instruments or their authorised persons.</w:t>
      </w:r>
    </w:p>
    <w:p w14:paraId="7328D508" w14:textId="77777777" w:rsidR="00167C46" w:rsidRDefault="00167C46" w:rsidP="00167C46">
      <w:pPr>
        <w:spacing w:line="360" w:lineRule="atLeast"/>
        <w:ind w:firstLine="720"/>
        <w:jc w:val="both"/>
        <w:rPr>
          <w:color w:val="000000"/>
        </w:rPr>
      </w:pPr>
      <w:bookmarkStart w:id="241" w:name="part_758c8e7585e44dc89eaa9fc33010140c"/>
      <w:bookmarkEnd w:id="241"/>
      <w:r>
        <w:rPr>
          <w:color w:val="000000"/>
        </w:rPr>
        <w:t>8. An account operator that maintains the financial instruments accounts in which recording in a book-entry form is made under point 5 of Article 87(3) or point 1 of Article 87(7) of this Law, in accordance with the instructions of the owner of the financial instruments whose financial instruments accounts it manages, shall immediately transmit to the issuer of the financial instruments admitted to trading on a regulated market the information received from the owner of the financial instruments, pertaining to property and non-property rights that he/she is entitled to that are granted to him/her by the financial instruments owned by him/her and that can be exercised by all owners of shares of the same class.  The account operator shall have the right to implement this obligation through the central depository.</w:t>
      </w:r>
    </w:p>
    <w:p w14:paraId="00817744" w14:textId="77777777" w:rsidR="00167C46" w:rsidRDefault="00167C46" w:rsidP="00167C46">
      <w:pPr>
        <w:spacing w:line="360" w:lineRule="atLeast"/>
        <w:ind w:firstLine="720"/>
        <w:jc w:val="both"/>
        <w:rPr>
          <w:color w:val="000000"/>
        </w:rPr>
      </w:pPr>
      <w:bookmarkStart w:id="242" w:name="part_e3d5682cf18d429abfe8eca23c226632"/>
      <w:bookmarkEnd w:id="242"/>
      <w:r>
        <w:rPr>
          <w:color w:val="000000"/>
        </w:rPr>
        <w:t>9. Where, in the cases referred to in paragraphs 6 and 8 of this Article, more than one account operator (chain of account operators) are involved in the transmission of information through an account operator, any account operator shall immediately transmit the information to another account operator, unless the account operator is capable of transmitting the information to the issuer, owner of financial instruments or his/her authorised person directly.</w:t>
      </w:r>
    </w:p>
    <w:p w14:paraId="01C919CA" w14:textId="77777777" w:rsidR="00167C46" w:rsidRDefault="00167C46" w:rsidP="00167C46">
      <w:pPr>
        <w:spacing w:line="360" w:lineRule="atLeast"/>
        <w:ind w:firstLine="720"/>
        <w:jc w:val="both"/>
        <w:rPr>
          <w:color w:val="000000"/>
        </w:rPr>
      </w:pPr>
      <w:bookmarkStart w:id="243" w:name="part_854203441098463e8b24483c0c90b0d7"/>
      <w:bookmarkEnd w:id="243"/>
      <w:r>
        <w:rPr>
          <w:color w:val="000000"/>
        </w:rPr>
        <w:t>10. Transmission of the information or notifications referred to in this Article shall be guided by Commission Implementing Regulation (EU) 2018/1212 of 3 September 2018 laying down minimum requirements implementing the provisions of Directive 2007/36/EC of the European Parliament and of the Council as regards shareholder identification, the transmission of information and the facilitation of the exercise of shareholders rights (OJ 2018 L 223, p. 1).</w:t>
      </w:r>
    </w:p>
    <w:p w14:paraId="1AEF02B3" w14:textId="77777777" w:rsidR="00167C46" w:rsidRDefault="00167C46" w:rsidP="00167C46">
      <w:pPr>
        <w:spacing w:line="360" w:lineRule="atLeast"/>
        <w:ind w:firstLine="720"/>
        <w:jc w:val="both"/>
        <w:rPr>
          <w:color w:val="000000"/>
        </w:rPr>
      </w:pPr>
      <w:bookmarkStart w:id="244" w:name="part_01c53bc58be84e3caaf8f0b5d693c86b"/>
      <w:bookmarkEnd w:id="244"/>
      <w:r>
        <w:rPr>
          <w:color w:val="000000"/>
        </w:rPr>
        <w:t>11. The central depository and account operators shall be required to publicly display the fees of their services referred to in this Article on their website, by specifying the fees of each service separately.  Such fees must be proportionate, non-discriminatory and determined taking into account the actual costs of provision of the services.  The fees for services provided in the Republic of Lithuania and on a cross-border scale may differ, but the different fees must be substantiated and compatible with the difference in the actual costs of providing the services.</w:t>
      </w:r>
    </w:p>
    <w:p w14:paraId="5E47415C" w14:textId="77777777" w:rsidR="00167C46" w:rsidRDefault="00167C46" w:rsidP="00167C46">
      <w:pPr>
        <w:rPr>
          <w:color w:val="000000"/>
          <w:sz w:val="27"/>
          <w:szCs w:val="27"/>
        </w:rPr>
      </w:pPr>
      <w:r>
        <w:rPr>
          <w:i/>
          <w:iCs/>
          <w:color w:val="000000"/>
          <w:sz w:val="20"/>
        </w:rPr>
        <w:t>Amendments to Article:</w:t>
      </w:r>
    </w:p>
    <w:p w14:paraId="6EA35E0B" w14:textId="0C61259C" w:rsidR="00167C46" w:rsidRDefault="00167C46" w:rsidP="00167C46">
      <w:pPr>
        <w:jc w:val="both"/>
        <w:rPr>
          <w:i/>
          <w:iCs/>
          <w:color w:val="000000"/>
          <w:sz w:val="20"/>
        </w:rPr>
      </w:pPr>
      <w:r>
        <w:rPr>
          <w:i/>
          <w:iCs/>
          <w:color w:val="000000"/>
          <w:sz w:val="20"/>
        </w:rPr>
        <w:t xml:space="preserve">No </w:t>
      </w:r>
      <w:hyperlink r:id="rId139" w:tgtFrame="_parent" w:history="1">
        <w:r>
          <w:rPr>
            <w:rStyle w:val="Hyperlink"/>
            <w:i/>
            <w:iCs/>
            <w:sz w:val="20"/>
          </w:rPr>
          <w:t>XIII-2252</w:t>
        </w:r>
      </w:hyperlink>
      <w:r>
        <w:rPr>
          <w:i/>
          <w:iCs/>
          <w:color w:val="000000"/>
          <w:sz w:val="20"/>
        </w:rPr>
        <w:t>, 27/06/2019, published in the RLA, 05/07/2019, ID code 2019-11172</w:t>
      </w:r>
    </w:p>
    <w:p w14:paraId="05EC9988" w14:textId="77777777" w:rsidR="00167C46" w:rsidRDefault="00167C46" w:rsidP="00167C46">
      <w:pPr>
        <w:jc w:val="both"/>
        <w:rPr>
          <w:i/>
          <w:iCs/>
          <w:color w:val="000000"/>
          <w:sz w:val="20"/>
        </w:rPr>
      </w:pPr>
    </w:p>
    <w:p w14:paraId="2C2B0888" w14:textId="77777777" w:rsidR="00167C46" w:rsidRPr="00167C46" w:rsidRDefault="00167C46" w:rsidP="00167C46">
      <w:pPr>
        <w:spacing w:line="360" w:lineRule="atLeast"/>
        <w:ind w:firstLine="720"/>
        <w:jc w:val="both"/>
        <w:rPr>
          <w:color w:val="000000"/>
          <w:szCs w:val="24"/>
        </w:rPr>
      </w:pPr>
      <w:r>
        <w:rPr>
          <w:b/>
          <w:bCs/>
          <w:color w:val="000000"/>
          <w:szCs w:val="24"/>
        </w:rPr>
        <w:t>Article 89</w:t>
      </w:r>
      <w:r>
        <w:rPr>
          <w:b/>
          <w:bCs/>
          <w:color w:val="000000"/>
          <w:szCs w:val="24"/>
          <w:vertAlign w:val="superscript"/>
        </w:rPr>
        <w:t>1</w:t>
      </w:r>
      <w:r>
        <w:rPr>
          <w:b/>
          <w:bCs/>
          <w:color w:val="000000"/>
          <w:szCs w:val="24"/>
        </w:rPr>
        <w:t>. Information on financial instruments and their owners</w:t>
      </w:r>
    </w:p>
    <w:p w14:paraId="09F318E9" w14:textId="77777777" w:rsidR="00167C46" w:rsidRPr="00BE49BD" w:rsidRDefault="00167C46" w:rsidP="00167C46">
      <w:pPr>
        <w:spacing w:line="360" w:lineRule="atLeast"/>
        <w:ind w:firstLine="720"/>
        <w:jc w:val="both"/>
        <w:rPr>
          <w:color w:val="000000"/>
          <w:szCs w:val="24"/>
        </w:rPr>
      </w:pPr>
      <w:bookmarkStart w:id="245" w:name="part_d75b2aa4bd56466baa08a3029e951aa4"/>
      <w:bookmarkEnd w:id="245"/>
      <w:r>
        <w:rPr>
          <w:color w:val="000000"/>
        </w:rPr>
        <w:t xml:space="preserve">1. This Article establishes the right of the issuer or another person who has issued financial instruments to receive the lists of owners of registered financial instruments issued in its name and of </w:t>
      </w:r>
      <w:r>
        <w:rPr>
          <w:color w:val="000000"/>
        </w:rPr>
        <w:lastRenderedPageBreak/>
        <w:t>persons in whose name financial instruments accounts are opened in which the recording in a book-entry form is made under point 5 of Article 87(3) or point 1 of Article 87(7) of this Law (hereinafter – the financial instrument owner information).</w:t>
      </w:r>
    </w:p>
    <w:p w14:paraId="4E0F4B68" w14:textId="77777777" w:rsidR="00167C46" w:rsidRPr="00BE49BD" w:rsidRDefault="00167C46" w:rsidP="00167C46">
      <w:pPr>
        <w:spacing w:line="360" w:lineRule="atLeast"/>
        <w:ind w:firstLine="720"/>
        <w:jc w:val="both"/>
        <w:rPr>
          <w:color w:val="000000"/>
        </w:rPr>
      </w:pPr>
      <w:bookmarkStart w:id="246" w:name="part_b9d225761cd546fcaaa0372c3d92b764"/>
      <w:bookmarkEnd w:id="246"/>
      <w:r>
        <w:rPr>
          <w:color w:val="000000"/>
        </w:rPr>
        <w:t>2. An issuer or another entity issuing financial instruments shall have the right to request, at any time, from account operators the financial instrument owner information. This right can be exercised by submitting an inquiry to the central depository which, at the choice of the issuer or another entity issuing financial instruments, shall provide a list of account operators or the financial instrument owner information.  Before each ordinary general meeting of shareholders, the list of account operators shall be provided free of charge at the request of the issuer or another entity issuing financial instruments.</w:t>
      </w:r>
    </w:p>
    <w:p w14:paraId="3BCCA76E" w14:textId="77777777" w:rsidR="00167C46" w:rsidRDefault="00167C46" w:rsidP="00167C46">
      <w:pPr>
        <w:spacing w:line="360" w:lineRule="atLeast"/>
        <w:ind w:firstLine="720"/>
        <w:jc w:val="both"/>
        <w:rPr>
          <w:color w:val="000000"/>
        </w:rPr>
      </w:pPr>
      <w:bookmarkStart w:id="247" w:name="part_77870f40f25a4beb8cd5ecfb15a165c3"/>
      <w:bookmarkEnd w:id="247"/>
      <w:r>
        <w:rPr>
          <w:color w:val="000000"/>
        </w:rPr>
        <w:t>3. The information on holders of financial instruments includes:</w:t>
      </w:r>
    </w:p>
    <w:p w14:paraId="353FE7DA" w14:textId="77777777" w:rsidR="00167C46" w:rsidRDefault="00167C46" w:rsidP="00167C46">
      <w:pPr>
        <w:spacing w:line="360" w:lineRule="atLeast"/>
        <w:ind w:firstLine="720"/>
        <w:jc w:val="both"/>
        <w:rPr>
          <w:color w:val="000000"/>
        </w:rPr>
      </w:pPr>
      <w:bookmarkStart w:id="248" w:name="part_5c09418aa8064f3ca9e55eb4839e3ffb"/>
      <w:bookmarkEnd w:id="248"/>
      <w:r>
        <w:rPr>
          <w:color w:val="000000"/>
        </w:rPr>
        <w:t>(1) the name, surname, residence or correspondence address of the natural person; the name, legal form, code, registered office of the legal person and the name, surname, residence or correspondence address of the representative of the legal person;</w:t>
      </w:r>
    </w:p>
    <w:p w14:paraId="6FAE5535" w14:textId="77777777" w:rsidR="00167C46" w:rsidRDefault="00167C46" w:rsidP="00167C46">
      <w:pPr>
        <w:spacing w:line="360" w:lineRule="atLeast"/>
        <w:ind w:firstLine="720"/>
        <w:jc w:val="both"/>
        <w:rPr>
          <w:color w:val="000000"/>
        </w:rPr>
      </w:pPr>
      <w:bookmarkStart w:id="249" w:name="part_4b5b1bf8b42f4690af53bd02e752e62d"/>
      <w:bookmarkEnd w:id="249"/>
      <w:r>
        <w:rPr>
          <w:color w:val="000000"/>
        </w:rPr>
        <w:t>(2) the number of shares owned by the holder of the financial instruments and, if requested by the issuer, information on the classes of shares and/or the date of acquisition;</w:t>
      </w:r>
    </w:p>
    <w:p w14:paraId="0E07C93E" w14:textId="77777777" w:rsidR="00167C46" w:rsidRDefault="00167C46" w:rsidP="00167C46">
      <w:pPr>
        <w:spacing w:line="360" w:lineRule="atLeast"/>
        <w:ind w:firstLine="720"/>
        <w:jc w:val="both"/>
        <w:rPr>
          <w:color w:val="000000"/>
        </w:rPr>
      </w:pPr>
      <w:bookmarkStart w:id="250" w:name="part_bddff10fe6dc4b5686d612e5d0e292af"/>
      <w:bookmarkEnd w:id="250"/>
      <w:r>
        <w:rPr>
          <w:color w:val="000000"/>
        </w:rPr>
        <w:t>(3) the email address (if any) of the natural person holding the financial instruments;</w:t>
      </w:r>
    </w:p>
    <w:p w14:paraId="5BC01415" w14:textId="77777777" w:rsidR="00167C46" w:rsidRDefault="00167C46" w:rsidP="00167C46">
      <w:pPr>
        <w:spacing w:line="360" w:lineRule="atLeast"/>
        <w:ind w:firstLine="720"/>
        <w:jc w:val="both"/>
        <w:rPr>
          <w:color w:val="000000"/>
        </w:rPr>
      </w:pPr>
      <w:bookmarkStart w:id="251" w:name="part_baff80ccaa8749eeb336831496378814"/>
      <w:bookmarkEnd w:id="251"/>
      <w:r>
        <w:rPr>
          <w:color w:val="000000"/>
        </w:rPr>
        <w:t>(4) the unique identification number (if any) of the legal person holing the financial instruments;</w:t>
      </w:r>
    </w:p>
    <w:p w14:paraId="72CF4B2F" w14:textId="77777777" w:rsidR="00167C46" w:rsidRDefault="00167C46" w:rsidP="00167C46">
      <w:pPr>
        <w:spacing w:line="360" w:lineRule="atLeast"/>
        <w:ind w:firstLine="720"/>
        <w:jc w:val="both"/>
        <w:rPr>
          <w:color w:val="000000"/>
        </w:rPr>
      </w:pPr>
      <w:bookmarkStart w:id="252" w:name="part_eb07009dc082408b978168384d91d3ba"/>
      <w:bookmarkEnd w:id="252"/>
      <w:r>
        <w:rPr>
          <w:color w:val="000000"/>
        </w:rPr>
        <w:t>(5) the name of the authorised person (if any) of the holder of the financial instruments or the unique identifier.</w:t>
      </w:r>
    </w:p>
    <w:p w14:paraId="158436F3" w14:textId="77777777" w:rsidR="00167C46" w:rsidRDefault="00167C46" w:rsidP="00167C46">
      <w:pPr>
        <w:spacing w:line="360" w:lineRule="atLeast"/>
        <w:ind w:firstLine="720"/>
        <w:jc w:val="both"/>
        <w:rPr>
          <w:color w:val="000000"/>
        </w:rPr>
      </w:pPr>
      <w:bookmarkStart w:id="253" w:name="part_9882c906fda7481391b692e7b88510d2"/>
      <w:bookmarkEnd w:id="253"/>
      <w:r>
        <w:rPr>
          <w:color w:val="000000"/>
        </w:rPr>
        <w:t>4. The account operator shall be responsible for submitting information about the owners of financial instruments to the central depository.  Account operators shall submit the information in their records about the owners of financial instruments in accordance with the procedure established by the central depository.</w:t>
      </w:r>
    </w:p>
    <w:p w14:paraId="0C3CB8E9" w14:textId="77777777" w:rsidR="00167C46" w:rsidRDefault="00167C46" w:rsidP="00167C46">
      <w:pPr>
        <w:spacing w:line="360" w:lineRule="atLeast"/>
        <w:ind w:firstLine="720"/>
        <w:jc w:val="both"/>
        <w:rPr>
          <w:color w:val="000000"/>
        </w:rPr>
      </w:pPr>
      <w:bookmarkStart w:id="254" w:name="part_9853d8a2d73d4d9e81dc79cdbf79d760"/>
      <w:bookmarkEnd w:id="254"/>
      <w:r>
        <w:rPr>
          <w:color w:val="000000"/>
        </w:rPr>
        <w:t>5. In cases where there is more than one account operator in the chain of account operators, the account operators shall immediately transmit to each other the request of the central depository or the issuer or another entity who issued the financial instruments, and any account operator who has information about the owners of the financial instruments shall immediately transfer this information to another account operator in the chain, so that such information is provided as soon as possible to the central depository or the issuer or another entity who issued the financial instruments.  At the request of the central depository or the issuer or other entity who issued the financial instruments, the account operators shall immediately provide information about the next account operator in the chain of account operators.</w:t>
      </w:r>
    </w:p>
    <w:p w14:paraId="108E71B4" w14:textId="77777777" w:rsidR="00167C46" w:rsidRDefault="00167C46" w:rsidP="00167C46">
      <w:pPr>
        <w:spacing w:line="360" w:lineRule="atLeast"/>
        <w:ind w:firstLine="720"/>
        <w:jc w:val="both"/>
        <w:rPr>
          <w:color w:val="000000"/>
        </w:rPr>
      </w:pPr>
      <w:bookmarkStart w:id="255" w:name="part_048eaeed2d834ecea9aa8c986952852a"/>
      <w:bookmarkEnd w:id="255"/>
      <w:r>
        <w:rPr>
          <w:color w:val="000000"/>
        </w:rPr>
        <w:t>6. An issuer or another entity who issued financial instruments, or an account operator, upon noticing or receiving a notification about incomplete and inaccurate data or information referred to in paragraph 3 of this Article, shall correct such data or information in accordance with the procedure established by the central depository.</w:t>
      </w:r>
    </w:p>
    <w:p w14:paraId="43ACBC90" w14:textId="77777777" w:rsidR="00167C46" w:rsidRDefault="00167C46" w:rsidP="00167C46">
      <w:pPr>
        <w:spacing w:line="360" w:lineRule="atLeast"/>
        <w:ind w:firstLine="720"/>
        <w:jc w:val="both"/>
        <w:rPr>
          <w:color w:val="000000"/>
        </w:rPr>
      </w:pPr>
      <w:bookmarkStart w:id="256" w:name="part_eec74ee51fc6483caff971092c3ee65e"/>
      <w:bookmarkEnd w:id="256"/>
      <w:r>
        <w:rPr>
          <w:color w:val="000000"/>
        </w:rPr>
        <w:t xml:space="preserve">7. Issuers, another person who issued financial instruments, account operators or the central depository shall retain the information on the owners of financial instruments referred to in paragraph </w:t>
      </w:r>
      <w:r>
        <w:rPr>
          <w:color w:val="000000"/>
        </w:rPr>
        <w:lastRenderedPageBreak/>
        <w:t>3 of this Article for no longer than 12 months from the time they learned that a natural or legal person ceased to be the owner of the financial instruments of a specific company.  The term of storage of information about the owners of financial instruments established in this paragraph does not change the longer storage terms for information about the owners of financial instruments established in other laws or legal acts of the European Union.</w:t>
      </w:r>
    </w:p>
    <w:p w14:paraId="54CAC6AA" w14:textId="77777777" w:rsidR="00167C46" w:rsidRDefault="00167C46" w:rsidP="00167C46">
      <w:pPr>
        <w:spacing w:line="360" w:lineRule="atLeast"/>
        <w:ind w:firstLine="720"/>
        <w:jc w:val="both"/>
        <w:rPr>
          <w:color w:val="000000"/>
        </w:rPr>
      </w:pPr>
      <w:bookmarkStart w:id="257" w:name="part_c4ae2dd0c0f748babcede5b1bcb92d37"/>
      <w:bookmarkEnd w:id="257"/>
      <w:r>
        <w:rPr>
          <w:color w:val="000000"/>
        </w:rPr>
        <w:t>8. The personal data of the owners of financial instruments shall be processed in accordance with this Article in order to facilitate for the issuer or another entity who issued financial instruments the identification of the owners of the financial instruments issued by it and to ensure their right to exercise their property and non-property rights.  An account operator who disclosed the data of the owners of financial instruments in accordance with the procedure established in this Article shall not be considered to have violated the restriction on the disclosure of information about the owners of financial instruments established in the agreement, law or another legal act.</w:t>
      </w:r>
    </w:p>
    <w:p w14:paraId="0234463F" w14:textId="77777777" w:rsidR="00167C46" w:rsidRDefault="00167C46" w:rsidP="00167C46">
      <w:pPr>
        <w:spacing w:line="360" w:lineRule="atLeast"/>
        <w:ind w:firstLine="720"/>
        <w:jc w:val="both"/>
        <w:rPr>
          <w:color w:val="000000"/>
        </w:rPr>
      </w:pPr>
      <w:bookmarkStart w:id="258" w:name="part_0ce5becf92e24ebeb420fd27c0b4d43a"/>
      <w:bookmarkEnd w:id="258"/>
      <w:r>
        <w:rPr>
          <w:color w:val="000000"/>
        </w:rPr>
        <w:t>9. Provisions of Article 89(10) and (11) of this Law shall apply to the provision of information on financial instruments and their owners laid down by this Article.</w:t>
      </w:r>
    </w:p>
    <w:p w14:paraId="2A77943D" w14:textId="77777777" w:rsidR="00167C46" w:rsidRDefault="00167C46" w:rsidP="00167C46">
      <w:pPr>
        <w:rPr>
          <w:color w:val="000000"/>
          <w:sz w:val="27"/>
          <w:szCs w:val="27"/>
        </w:rPr>
      </w:pPr>
      <w:r>
        <w:rPr>
          <w:i/>
          <w:iCs/>
          <w:color w:val="000000"/>
          <w:sz w:val="20"/>
        </w:rPr>
        <w:t>Supplemented with an Article:</w:t>
      </w:r>
    </w:p>
    <w:p w14:paraId="487EA83A" w14:textId="77777777" w:rsidR="00167C46" w:rsidRDefault="00167C46" w:rsidP="00167C46">
      <w:pPr>
        <w:jc w:val="both"/>
        <w:rPr>
          <w:color w:val="000000"/>
          <w:sz w:val="27"/>
          <w:szCs w:val="27"/>
        </w:rPr>
      </w:pPr>
      <w:r>
        <w:rPr>
          <w:i/>
          <w:iCs/>
          <w:color w:val="000000"/>
          <w:sz w:val="20"/>
        </w:rPr>
        <w:t xml:space="preserve">No </w:t>
      </w:r>
      <w:hyperlink r:id="rId140" w:tgtFrame="_parent" w:history="1">
        <w:r>
          <w:rPr>
            <w:rStyle w:val="Hyperlink"/>
            <w:i/>
            <w:iCs/>
            <w:sz w:val="20"/>
          </w:rPr>
          <w:t>XIII-2252</w:t>
        </w:r>
      </w:hyperlink>
      <w:r>
        <w:rPr>
          <w:i/>
          <w:iCs/>
          <w:color w:val="000000"/>
          <w:sz w:val="20"/>
        </w:rPr>
        <w:t>, 27/06/2019, published in the RLA, 05/07/2019, ID code 2019-11172</w:t>
      </w:r>
    </w:p>
    <w:p w14:paraId="7D481F74" w14:textId="77777777" w:rsidR="00167C46" w:rsidRDefault="00167C46" w:rsidP="00167C46">
      <w:pPr>
        <w:jc w:val="both"/>
        <w:rPr>
          <w:color w:val="000000"/>
          <w:sz w:val="27"/>
          <w:szCs w:val="27"/>
        </w:rPr>
      </w:pPr>
    </w:p>
    <w:p w14:paraId="28D9F9DB" w14:textId="77777777" w:rsidR="00ED3A7E" w:rsidRPr="000550CF" w:rsidRDefault="00ED3A7E" w:rsidP="00F3494E">
      <w:pPr>
        <w:widowControl w:val="0"/>
        <w:ind w:firstLine="720"/>
        <w:jc w:val="both"/>
        <w:rPr>
          <w:szCs w:val="24"/>
          <w:lang w:eastAsia="lt-LT"/>
        </w:rPr>
      </w:pPr>
    </w:p>
    <w:p w14:paraId="4D5302E0" w14:textId="77777777" w:rsidR="00ED3A7E" w:rsidRPr="000550CF" w:rsidRDefault="00ED3A7E" w:rsidP="00F3494E">
      <w:pPr>
        <w:widowControl w:val="0"/>
        <w:ind w:left="2268" w:hanging="1548"/>
        <w:jc w:val="both"/>
        <w:rPr>
          <w:szCs w:val="24"/>
        </w:rPr>
      </w:pPr>
      <w:r>
        <w:rPr>
          <w:b/>
          <w:szCs w:val="24"/>
        </w:rPr>
        <w:t xml:space="preserve">Article 90. Monitoring of account operators and other obligations of a central depositary </w:t>
      </w:r>
    </w:p>
    <w:p w14:paraId="04A22DAF" w14:textId="77777777" w:rsidR="00ED3A7E" w:rsidRPr="000550CF" w:rsidRDefault="00ED3A7E" w:rsidP="00F3494E">
      <w:pPr>
        <w:widowControl w:val="0"/>
        <w:ind w:firstLine="720"/>
        <w:jc w:val="both"/>
        <w:rPr>
          <w:szCs w:val="24"/>
        </w:rPr>
      </w:pPr>
      <w:r>
        <w:t>1. A central depositary shall monitor how account operators who are participants in the central depositary comply with the requirements for maintenance of financial instruments accounts and shall report any identified infringements to the supervisory authority.</w:t>
      </w:r>
    </w:p>
    <w:p w14:paraId="669A6D5C" w14:textId="3AFB0100" w:rsidR="00167C46" w:rsidRPr="00167C46" w:rsidRDefault="00ED3A7E" w:rsidP="00167C46">
      <w:pPr>
        <w:spacing w:line="360" w:lineRule="atLeast"/>
        <w:ind w:firstLine="720"/>
        <w:jc w:val="both"/>
        <w:rPr>
          <w:color w:val="000000"/>
          <w:szCs w:val="24"/>
        </w:rPr>
      </w:pPr>
      <w:r>
        <w:t xml:space="preserve">2. </w:t>
      </w:r>
      <w:r>
        <w:rPr>
          <w:color w:val="000000"/>
          <w:sz w:val="27"/>
          <w:szCs w:val="27"/>
        </w:rPr>
        <w:t xml:space="preserve"> </w:t>
      </w:r>
      <w:r>
        <w:rPr>
          <w:color w:val="000000"/>
          <w:szCs w:val="24"/>
        </w:rPr>
        <w:t>The central depository shall monitor how issuers or other persons who have issued financial instruments, or account operators who are participants in the central depository, comply with the requirements set forth in Articles 89 and 89</w:t>
      </w:r>
      <w:r>
        <w:rPr>
          <w:color w:val="000000"/>
          <w:szCs w:val="24"/>
          <w:vertAlign w:val="superscript"/>
        </w:rPr>
        <w:t>1</w:t>
      </w:r>
      <w:r>
        <w:rPr>
          <w:color w:val="000000"/>
          <w:szCs w:val="24"/>
        </w:rPr>
        <w:t xml:space="preserve"> of this Law, and shall inform the supervisory authority of any violations identified.</w:t>
      </w:r>
    </w:p>
    <w:p w14:paraId="4D624A93" w14:textId="77777777" w:rsidR="00167C46" w:rsidRDefault="00167C46" w:rsidP="00167C46">
      <w:pPr>
        <w:rPr>
          <w:color w:val="000000"/>
          <w:sz w:val="27"/>
          <w:szCs w:val="27"/>
        </w:rPr>
      </w:pPr>
      <w:r>
        <w:rPr>
          <w:i/>
          <w:iCs/>
          <w:color w:val="000000"/>
          <w:sz w:val="20"/>
        </w:rPr>
        <w:t>Supplemented with the paragraph to the Article:</w:t>
      </w:r>
    </w:p>
    <w:p w14:paraId="4ED3C650" w14:textId="77777777" w:rsidR="00167C46" w:rsidRDefault="00167C46" w:rsidP="00167C46">
      <w:pPr>
        <w:jc w:val="both"/>
        <w:rPr>
          <w:color w:val="000000"/>
          <w:sz w:val="27"/>
          <w:szCs w:val="27"/>
        </w:rPr>
      </w:pPr>
      <w:r>
        <w:rPr>
          <w:i/>
          <w:iCs/>
          <w:color w:val="000000"/>
          <w:sz w:val="20"/>
        </w:rPr>
        <w:t xml:space="preserve">No </w:t>
      </w:r>
      <w:hyperlink r:id="rId141" w:tgtFrame="_parent" w:history="1">
        <w:r>
          <w:rPr>
            <w:rStyle w:val="Hyperlink"/>
            <w:i/>
            <w:iCs/>
            <w:sz w:val="20"/>
          </w:rPr>
          <w:t>XIII-2252</w:t>
        </w:r>
      </w:hyperlink>
      <w:r>
        <w:rPr>
          <w:i/>
          <w:iCs/>
          <w:color w:val="000000"/>
          <w:sz w:val="20"/>
        </w:rPr>
        <w:t>, 27/06/2019, published in the RLA, 05/07/2019, ID code 2019-11172</w:t>
      </w:r>
    </w:p>
    <w:p w14:paraId="5CBF5209" w14:textId="2D6BCDE5" w:rsidR="00ED3A7E" w:rsidRPr="000550CF" w:rsidRDefault="00ED3A7E" w:rsidP="00F3494E">
      <w:pPr>
        <w:ind w:firstLine="720"/>
        <w:jc w:val="both"/>
        <w:rPr>
          <w:lang w:eastAsia="lt-LT"/>
        </w:rPr>
      </w:pPr>
    </w:p>
    <w:p w14:paraId="58C20844" w14:textId="4A62411B" w:rsidR="00167C46" w:rsidRPr="00167C46" w:rsidRDefault="00ED3A7E" w:rsidP="00167C46">
      <w:pPr>
        <w:spacing w:line="360" w:lineRule="atLeast"/>
        <w:ind w:firstLine="720"/>
        <w:jc w:val="both"/>
        <w:rPr>
          <w:color w:val="000000"/>
          <w:szCs w:val="24"/>
        </w:rPr>
      </w:pPr>
      <w:r>
        <w:t xml:space="preserve">3.  </w:t>
      </w:r>
      <w:r>
        <w:rPr>
          <w:color w:val="000000"/>
          <w:szCs w:val="24"/>
        </w:rPr>
        <w:t>A central depositary acting in observance of provisions of Regulation (EU) No 909/2014 shall have the right to check the compliance of the account operators who are participants in the central depositary comply with the requirements for maintenance of financial instruments accounts, to receive the related information and to apply sanctions for the non-compliance with the established requirements.</w:t>
      </w:r>
    </w:p>
    <w:p w14:paraId="26C40E58" w14:textId="77777777" w:rsidR="00167C46" w:rsidRDefault="00167C46" w:rsidP="00167C46">
      <w:pPr>
        <w:rPr>
          <w:color w:val="000000"/>
          <w:sz w:val="27"/>
          <w:szCs w:val="27"/>
        </w:rPr>
      </w:pPr>
      <w:r>
        <w:rPr>
          <w:i/>
          <w:iCs/>
          <w:color w:val="000000"/>
          <w:sz w:val="20"/>
        </w:rPr>
        <w:t>Amendments to the numbering of the paragraph of the Article:</w:t>
      </w:r>
    </w:p>
    <w:p w14:paraId="4A670030" w14:textId="77777777" w:rsidR="00167C46" w:rsidRDefault="00167C46" w:rsidP="00167C46">
      <w:pPr>
        <w:jc w:val="both"/>
        <w:rPr>
          <w:color w:val="000000"/>
          <w:sz w:val="27"/>
          <w:szCs w:val="27"/>
        </w:rPr>
      </w:pPr>
      <w:r>
        <w:rPr>
          <w:i/>
          <w:iCs/>
          <w:color w:val="000000"/>
          <w:sz w:val="20"/>
        </w:rPr>
        <w:t xml:space="preserve">No </w:t>
      </w:r>
      <w:hyperlink r:id="rId142" w:tgtFrame="_parent" w:history="1">
        <w:r>
          <w:rPr>
            <w:rStyle w:val="Hyperlink"/>
            <w:i/>
            <w:iCs/>
            <w:sz w:val="20"/>
          </w:rPr>
          <w:t>XIII-2252</w:t>
        </w:r>
      </w:hyperlink>
      <w:r>
        <w:rPr>
          <w:i/>
          <w:iCs/>
          <w:color w:val="000000"/>
          <w:sz w:val="20"/>
        </w:rPr>
        <w:t>, 27/06/2019, published in the RLA, 05/07/2019, ID code 2019-11172</w:t>
      </w:r>
    </w:p>
    <w:p w14:paraId="32BB1DB4" w14:textId="6C7F1072" w:rsidR="00ED3A7E" w:rsidRPr="000550CF" w:rsidRDefault="00ED3A7E" w:rsidP="00F3494E">
      <w:pPr>
        <w:widowControl w:val="0"/>
        <w:ind w:firstLine="720"/>
        <w:jc w:val="both"/>
        <w:rPr>
          <w:szCs w:val="24"/>
          <w:lang w:eastAsia="lt-LT"/>
        </w:rPr>
      </w:pPr>
    </w:p>
    <w:p w14:paraId="7FAFE2EF" w14:textId="36687610" w:rsidR="00167C46" w:rsidRPr="00167C46" w:rsidRDefault="00ED3A7E" w:rsidP="00167C46">
      <w:pPr>
        <w:spacing w:line="360" w:lineRule="atLeast"/>
        <w:ind w:firstLine="720"/>
        <w:jc w:val="both"/>
        <w:rPr>
          <w:color w:val="000000"/>
          <w:szCs w:val="24"/>
        </w:rPr>
      </w:pPr>
      <w:r>
        <w:t xml:space="preserve">4.  </w:t>
      </w:r>
      <w:r>
        <w:rPr>
          <w:color w:val="000000"/>
          <w:szCs w:val="24"/>
        </w:rPr>
        <w:t>Where wrong book-entries are made in the top tier level or lower tier level accounts of financial instruments, they must be corrected without undue delay.</w:t>
      </w:r>
    </w:p>
    <w:p w14:paraId="19A1DDEB" w14:textId="77777777" w:rsidR="00167C46" w:rsidRDefault="00167C46" w:rsidP="00167C46">
      <w:pPr>
        <w:rPr>
          <w:color w:val="000000"/>
          <w:sz w:val="27"/>
          <w:szCs w:val="27"/>
        </w:rPr>
      </w:pPr>
      <w:r>
        <w:rPr>
          <w:i/>
          <w:iCs/>
          <w:color w:val="000000"/>
          <w:sz w:val="20"/>
        </w:rPr>
        <w:t>Amendments to the numbering of the paragraph of the Article:</w:t>
      </w:r>
    </w:p>
    <w:p w14:paraId="71CB33D8" w14:textId="77777777" w:rsidR="00167C46" w:rsidRDefault="00167C46" w:rsidP="00167C46">
      <w:pPr>
        <w:jc w:val="both"/>
        <w:rPr>
          <w:color w:val="000000"/>
          <w:sz w:val="27"/>
          <w:szCs w:val="27"/>
        </w:rPr>
      </w:pPr>
      <w:r>
        <w:rPr>
          <w:i/>
          <w:iCs/>
          <w:color w:val="000000"/>
          <w:sz w:val="20"/>
        </w:rPr>
        <w:t xml:space="preserve">No </w:t>
      </w:r>
      <w:hyperlink r:id="rId143" w:tgtFrame="_parent" w:history="1">
        <w:r>
          <w:rPr>
            <w:rStyle w:val="Hyperlink"/>
            <w:i/>
            <w:iCs/>
            <w:sz w:val="20"/>
          </w:rPr>
          <w:t>XIII-2252</w:t>
        </w:r>
      </w:hyperlink>
      <w:r>
        <w:rPr>
          <w:i/>
          <w:iCs/>
          <w:color w:val="000000"/>
          <w:sz w:val="20"/>
        </w:rPr>
        <w:t>, 27/06/2019, published in the RLA, 05/07/2019, ID code 2019-11172</w:t>
      </w:r>
    </w:p>
    <w:p w14:paraId="4F6F5496" w14:textId="1B90DD82" w:rsidR="00ED3A7E" w:rsidRPr="000550CF" w:rsidRDefault="00ED3A7E" w:rsidP="00F3494E">
      <w:pPr>
        <w:widowControl w:val="0"/>
        <w:ind w:firstLine="720"/>
        <w:jc w:val="both"/>
        <w:rPr>
          <w:szCs w:val="24"/>
          <w:lang w:eastAsia="lt-LT"/>
        </w:rPr>
      </w:pPr>
    </w:p>
    <w:p w14:paraId="09C154B2" w14:textId="48FB8A28" w:rsidR="00167C46" w:rsidRPr="00167C46" w:rsidRDefault="00ED3A7E" w:rsidP="00167C46">
      <w:pPr>
        <w:spacing w:line="360" w:lineRule="atLeast"/>
        <w:ind w:firstLine="720"/>
        <w:jc w:val="both"/>
        <w:rPr>
          <w:color w:val="000000"/>
          <w:szCs w:val="24"/>
        </w:rPr>
      </w:pPr>
      <w:r>
        <w:t xml:space="preserve">5.  </w:t>
      </w:r>
      <w:r>
        <w:rPr>
          <w:color w:val="000000"/>
          <w:szCs w:val="24"/>
        </w:rPr>
        <w:t>Damage caused by an account operator to clients or third parties shall be indemnified in accordance with the procedure established by the Civil Code.</w:t>
      </w:r>
    </w:p>
    <w:p w14:paraId="58DAF107" w14:textId="77777777" w:rsidR="00167C46" w:rsidRDefault="00167C46" w:rsidP="00167C46">
      <w:pPr>
        <w:rPr>
          <w:color w:val="000000"/>
          <w:sz w:val="27"/>
          <w:szCs w:val="27"/>
        </w:rPr>
      </w:pPr>
      <w:r>
        <w:rPr>
          <w:i/>
          <w:iCs/>
          <w:color w:val="000000"/>
          <w:sz w:val="20"/>
        </w:rPr>
        <w:t>Amendments to the numbering of the paragraph of the Article:</w:t>
      </w:r>
    </w:p>
    <w:p w14:paraId="625D8001" w14:textId="77777777" w:rsidR="00167C46" w:rsidRDefault="00167C46" w:rsidP="00167C46">
      <w:pPr>
        <w:jc w:val="both"/>
        <w:rPr>
          <w:color w:val="000000"/>
          <w:sz w:val="27"/>
          <w:szCs w:val="27"/>
        </w:rPr>
      </w:pPr>
      <w:r>
        <w:rPr>
          <w:i/>
          <w:iCs/>
          <w:color w:val="000000"/>
          <w:sz w:val="20"/>
        </w:rPr>
        <w:t xml:space="preserve">No </w:t>
      </w:r>
      <w:hyperlink r:id="rId144" w:tgtFrame="_parent" w:history="1">
        <w:r>
          <w:rPr>
            <w:rStyle w:val="Hyperlink"/>
            <w:i/>
            <w:iCs/>
            <w:sz w:val="20"/>
          </w:rPr>
          <w:t>XIII-2252</w:t>
        </w:r>
      </w:hyperlink>
      <w:r>
        <w:rPr>
          <w:i/>
          <w:iCs/>
          <w:color w:val="000000"/>
          <w:sz w:val="20"/>
        </w:rPr>
        <w:t>, 27/06/2019, published in the RLA, 05/07/2019, ID code 2019-11172</w:t>
      </w:r>
    </w:p>
    <w:p w14:paraId="7D0CE24B" w14:textId="3804A272" w:rsidR="00ED3A7E" w:rsidRPr="000550CF" w:rsidRDefault="00ED3A7E" w:rsidP="00F3494E">
      <w:pPr>
        <w:widowControl w:val="0"/>
        <w:ind w:firstLine="720"/>
        <w:jc w:val="both"/>
        <w:rPr>
          <w:szCs w:val="24"/>
          <w:lang w:eastAsia="lt-LT"/>
        </w:rPr>
      </w:pPr>
    </w:p>
    <w:p w14:paraId="4A07CAAB" w14:textId="74F008D4" w:rsidR="00167C46" w:rsidRPr="00167C46" w:rsidRDefault="00ED3A7E" w:rsidP="00167C46">
      <w:pPr>
        <w:spacing w:line="360" w:lineRule="atLeast"/>
        <w:ind w:firstLine="720"/>
        <w:jc w:val="both"/>
        <w:rPr>
          <w:color w:val="000000"/>
          <w:szCs w:val="24"/>
        </w:rPr>
      </w:pPr>
      <w:r>
        <w:t xml:space="preserve">6.  </w:t>
      </w:r>
      <w:r>
        <w:rPr>
          <w:color w:val="000000"/>
          <w:szCs w:val="24"/>
        </w:rPr>
        <w:t>A central depositary shall take over from account operators who are the subject of initiated bankruptcy proceedings the information on owners of financial instruments and on balances of financial instruments owned by them in financial instruments accounts in which the recording in a book-entry form is made under point 5 of Article 87(3) or point 1 of Article 87(7) of this Law.  That information and balances of financial instruments shall be kept with the central depository under the procedure and conditions established by the central depository until the accounting of financial instruments is transferred to the account operator where the owner of those financial instruments has concluded the agreement with the account operator for the maintenance of the financial instruments account in which the recording in a book-entry form is made under point 5 of Article 87(3) or point 1 of Article 87(7) of this Law.</w:t>
      </w:r>
    </w:p>
    <w:p w14:paraId="27F6E062" w14:textId="77777777" w:rsidR="00167C46" w:rsidRDefault="00167C46" w:rsidP="00167C46">
      <w:pPr>
        <w:rPr>
          <w:color w:val="000000"/>
          <w:sz w:val="27"/>
          <w:szCs w:val="27"/>
        </w:rPr>
      </w:pPr>
      <w:r>
        <w:rPr>
          <w:i/>
          <w:iCs/>
          <w:color w:val="000000"/>
          <w:sz w:val="20"/>
        </w:rPr>
        <w:t>Amendments to the numbering of the paragraph of the Article:</w:t>
      </w:r>
    </w:p>
    <w:p w14:paraId="450AD669" w14:textId="77777777" w:rsidR="00167C46" w:rsidRDefault="00167C46" w:rsidP="00167C46">
      <w:pPr>
        <w:jc w:val="both"/>
        <w:rPr>
          <w:color w:val="000000"/>
          <w:sz w:val="27"/>
          <w:szCs w:val="27"/>
        </w:rPr>
      </w:pPr>
      <w:r>
        <w:rPr>
          <w:i/>
          <w:iCs/>
          <w:color w:val="000000"/>
          <w:sz w:val="20"/>
        </w:rPr>
        <w:t xml:space="preserve">No </w:t>
      </w:r>
      <w:hyperlink r:id="rId145" w:tgtFrame="_parent" w:history="1">
        <w:r>
          <w:rPr>
            <w:rStyle w:val="Hyperlink"/>
            <w:i/>
            <w:iCs/>
            <w:sz w:val="20"/>
          </w:rPr>
          <w:t>XIII-2252</w:t>
        </w:r>
      </w:hyperlink>
      <w:r>
        <w:rPr>
          <w:i/>
          <w:iCs/>
          <w:color w:val="000000"/>
          <w:sz w:val="20"/>
        </w:rPr>
        <w:t>, 27/06/2019, published in the RLA, 05/07/2019, ID code 2019-11172</w:t>
      </w:r>
    </w:p>
    <w:p w14:paraId="72525559" w14:textId="4BD04692" w:rsidR="00ED3A7E" w:rsidRPr="000550CF" w:rsidRDefault="00ED3A7E" w:rsidP="00F3494E">
      <w:pPr>
        <w:widowControl w:val="0"/>
        <w:ind w:firstLine="720"/>
        <w:jc w:val="both"/>
        <w:rPr>
          <w:szCs w:val="24"/>
          <w:lang w:eastAsia="lt-LT"/>
        </w:rPr>
      </w:pPr>
    </w:p>
    <w:p w14:paraId="040BF51A" w14:textId="674FAE75" w:rsidR="00167C46" w:rsidRPr="00167C46" w:rsidRDefault="00ED3A7E" w:rsidP="00167C46">
      <w:pPr>
        <w:spacing w:line="360" w:lineRule="atLeast"/>
        <w:ind w:firstLine="720"/>
        <w:jc w:val="both"/>
        <w:rPr>
          <w:color w:val="000000"/>
          <w:szCs w:val="24"/>
        </w:rPr>
      </w:pPr>
      <w:r>
        <w:t xml:space="preserve">7.  </w:t>
      </w:r>
      <w:r>
        <w:rPr>
          <w:color w:val="000000"/>
          <w:szCs w:val="24"/>
        </w:rPr>
        <w:t>The central depository shall provide the supervisory authority, free of charge, with the information necessary for the performance of its functions.</w:t>
      </w:r>
    </w:p>
    <w:p w14:paraId="59C6ABC1" w14:textId="77777777" w:rsidR="00167C46" w:rsidRDefault="00167C46" w:rsidP="00167C46">
      <w:pPr>
        <w:rPr>
          <w:color w:val="000000"/>
          <w:sz w:val="27"/>
          <w:szCs w:val="27"/>
        </w:rPr>
      </w:pPr>
      <w:r>
        <w:rPr>
          <w:i/>
          <w:iCs/>
          <w:color w:val="000000"/>
          <w:sz w:val="20"/>
        </w:rPr>
        <w:t>Amendments to the numbering of the paragraph of the Article:</w:t>
      </w:r>
    </w:p>
    <w:p w14:paraId="35B7E5A1" w14:textId="77777777" w:rsidR="00167C46" w:rsidRDefault="00167C46" w:rsidP="00167C46">
      <w:pPr>
        <w:jc w:val="both"/>
        <w:rPr>
          <w:color w:val="000000"/>
          <w:sz w:val="27"/>
          <w:szCs w:val="27"/>
        </w:rPr>
      </w:pPr>
      <w:r>
        <w:rPr>
          <w:i/>
          <w:iCs/>
          <w:color w:val="000000"/>
          <w:sz w:val="20"/>
        </w:rPr>
        <w:t xml:space="preserve">No </w:t>
      </w:r>
      <w:hyperlink r:id="rId146" w:tgtFrame="_parent" w:history="1">
        <w:r>
          <w:rPr>
            <w:rStyle w:val="Hyperlink"/>
            <w:i/>
            <w:iCs/>
            <w:sz w:val="20"/>
          </w:rPr>
          <w:t>XIII-2252</w:t>
        </w:r>
      </w:hyperlink>
      <w:r>
        <w:rPr>
          <w:i/>
          <w:iCs/>
          <w:color w:val="000000"/>
          <w:sz w:val="20"/>
        </w:rPr>
        <w:t>, 27/06/2019, published in the RLA, 05/07/2019, ID code 2019-11172</w:t>
      </w:r>
    </w:p>
    <w:p w14:paraId="5BA12C25" w14:textId="6AF11525" w:rsidR="00ED3A7E" w:rsidRPr="000550CF" w:rsidRDefault="00ED3A7E" w:rsidP="00F3494E">
      <w:pPr>
        <w:widowControl w:val="0"/>
        <w:ind w:firstLine="720"/>
        <w:jc w:val="both"/>
        <w:rPr>
          <w:szCs w:val="24"/>
          <w:lang w:eastAsia="lt-LT"/>
        </w:rPr>
      </w:pPr>
    </w:p>
    <w:p w14:paraId="547276E7" w14:textId="77777777" w:rsidR="00167C46" w:rsidRPr="00167C46" w:rsidRDefault="00167C46" w:rsidP="00167C46">
      <w:pPr>
        <w:spacing w:line="360" w:lineRule="atLeast"/>
        <w:ind w:firstLine="720"/>
        <w:jc w:val="both"/>
        <w:rPr>
          <w:color w:val="000000"/>
          <w:szCs w:val="24"/>
        </w:rPr>
      </w:pPr>
      <w:r>
        <w:rPr>
          <w:color w:val="000000"/>
          <w:szCs w:val="24"/>
        </w:rPr>
        <w:t xml:space="preserve">8. The central depository must be the operator of personal, </w:t>
      </w:r>
      <w:proofErr w:type="gramStart"/>
      <w:r>
        <w:rPr>
          <w:color w:val="000000"/>
          <w:szCs w:val="24"/>
        </w:rPr>
        <w:t>pledged</w:t>
      </w:r>
      <w:proofErr w:type="gramEnd"/>
      <w:r>
        <w:rPr>
          <w:color w:val="000000"/>
          <w:szCs w:val="24"/>
        </w:rPr>
        <w:t xml:space="preserve"> and other financial instruments accounts of the Bank of Lithuania and provide to the Bank of Lithuania the services of custodianship, accounting and transfer of financial instruments, as well as related services and information necessary to the Bank of Lithuania in implementing monetary policy of the </w:t>
      </w:r>
      <w:proofErr w:type="spellStart"/>
      <w:r>
        <w:rPr>
          <w:color w:val="000000"/>
          <w:szCs w:val="24"/>
        </w:rPr>
        <w:t>Eurosystem</w:t>
      </w:r>
      <w:proofErr w:type="spellEnd"/>
      <w:r>
        <w:rPr>
          <w:color w:val="000000"/>
          <w:szCs w:val="24"/>
        </w:rPr>
        <w:t xml:space="preserve"> and in performing other functions of the European System of Central Banks.</w:t>
      </w:r>
    </w:p>
    <w:p w14:paraId="46485F7F" w14:textId="77777777" w:rsidR="00167C46" w:rsidRDefault="00167C46" w:rsidP="00167C46">
      <w:pPr>
        <w:rPr>
          <w:color w:val="000000"/>
          <w:sz w:val="27"/>
          <w:szCs w:val="27"/>
        </w:rPr>
      </w:pPr>
      <w:r>
        <w:rPr>
          <w:i/>
          <w:iCs/>
          <w:color w:val="000000"/>
          <w:sz w:val="20"/>
        </w:rPr>
        <w:t>Amendments to the numbering of the paragraph of the Article:</w:t>
      </w:r>
    </w:p>
    <w:p w14:paraId="61847456" w14:textId="77777777" w:rsidR="00167C46" w:rsidRDefault="00167C46" w:rsidP="00167C46">
      <w:pPr>
        <w:jc w:val="both"/>
        <w:rPr>
          <w:color w:val="000000"/>
          <w:sz w:val="27"/>
          <w:szCs w:val="27"/>
        </w:rPr>
      </w:pPr>
      <w:r>
        <w:rPr>
          <w:i/>
          <w:iCs/>
          <w:color w:val="000000"/>
          <w:sz w:val="20"/>
        </w:rPr>
        <w:t xml:space="preserve">No </w:t>
      </w:r>
      <w:hyperlink r:id="rId147" w:tgtFrame="_parent" w:history="1">
        <w:r>
          <w:rPr>
            <w:rStyle w:val="Hyperlink"/>
            <w:i/>
            <w:iCs/>
            <w:sz w:val="20"/>
          </w:rPr>
          <w:t>XIII-2252</w:t>
        </w:r>
      </w:hyperlink>
      <w:r>
        <w:rPr>
          <w:i/>
          <w:iCs/>
          <w:color w:val="000000"/>
          <w:sz w:val="20"/>
        </w:rPr>
        <w:t>, 27/06/2019, published in the RLA, 05/07/2019, ID code 2019-11172</w:t>
      </w:r>
    </w:p>
    <w:p w14:paraId="5127682C" w14:textId="77777777" w:rsidR="00ED3A7E" w:rsidRPr="000550CF" w:rsidRDefault="00ED3A7E" w:rsidP="00F3494E">
      <w:pPr>
        <w:widowControl w:val="0"/>
        <w:ind w:firstLine="720"/>
        <w:jc w:val="both"/>
        <w:rPr>
          <w:szCs w:val="24"/>
          <w:lang w:eastAsia="lt-LT"/>
        </w:rPr>
      </w:pPr>
    </w:p>
    <w:p w14:paraId="6FD44CED" w14:textId="77777777" w:rsidR="00ED3A7E" w:rsidRPr="000550CF" w:rsidRDefault="00ED3A7E" w:rsidP="00F3494E">
      <w:pPr>
        <w:ind w:firstLine="720"/>
        <w:rPr>
          <w:b/>
          <w:szCs w:val="24"/>
        </w:rPr>
      </w:pPr>
      <w:r>
        <w:rPr>
          <w:b/>
          <w:szCs w:val="24"/>
        </w:rPr>
        <w:t>Article 91. Central depositary</w:t>
      </w:r>
    </w:p>
    <w:p w14:paraId="3E982459" w14:textId="77777777" w:rsidR="00ED3A7E" w:rsidRPr="000550CF" w:rsidRDefault="00ED3A7E" w:rsidP="00F3494E">
      <w:pPr>
        <w:ind w:firstLine="720"/>
        <w:jc w:val="both"/>
        <w:rPr>
          <w:szCs w:val="24"/>
        </w:rPr>
      </w:pPr>
      <w:r>
        <w:t>The organisational and other operating requirements of the central depositary are laid down by Regulation (EU) No 909/2014.</w:t>
      </w:r>
    </w:p>
    <w:p w14:paraId="6DB734BC" w14:textId="21F5724F" w:rsidR="00ED3A7E" w:rsidRDefault="00ED3A7E" w:rsidP="00F3494E">
      <w:pPr>
        <w:widowControl w:val="0"/>
        <w:ind w:firstLine="720"/>
        <w:jc w:val="both"/>
        <w:rPr>
          <w:szCs w:val="24"/>
          <w:lang w:eastAsia="lt-LT"/>
        </w:rPr>
      </w:pPr>
    </w:p>
    <w:p w14:paraId="2093B896" w14:textId="77777777" w:rsidR="00421B2C" w:rsidRPr="00421B2C" w:rsidRDefault="00421B2C" w:rsidP="00421B2C">
      <w:pPr>
        <w:spacing w:line="360" w:lineRule="atLeast"/>
        <w:jc w:val="center"/>
        <w:rPr>
          <w:color w:val="000000"/>
          <w:szCs w:val="24"/>
        </w:rPr>
      </w:pPr>
      <w:r>
        <w:rPr>
          <w:b/>
          <w:bCs/>
          <w:color w:val="000000"/>
          <w:szCs w:val="24"/>
        </w:rPr>
        <w:t>CHAPTER VI</w:t>
      </w:r>
      <w:r>
        <w:rPr>
          <w:b/>
          <w:bCs/>
          <w:color w:val="000000"/>
          <w:szCs w:val="24"/>
          <w:vertAlign w:val="superscript"/>
        </w:rPr>
        <w:t>1</w:t>
      </w:r>
    </w:p>
    <w:p w14:paraId="5E1D0D29" w14:textId="77777777" w:rsidR="00421B2C" w:rsidRPr="00421B2C" w:rsidRDefault="00421B2C" w:rsidP="00421B2C">
      <w:pPr>
        <w:spacing w:line="360" w:lineRule="atLeast"/>
        <w:jc w:val="center"/>
        <w:rPr>
          <w:color w:val="000000"/>
          <w:szCs w:val="24"/>
        </w:rPr>
      </w:pPr>
      <w:r>
        <w:rPr>
          <w:b/>
          <w:bCs/>
          <w:color w:val="000000"/>
          <w:szCs w:val="24"/>
        </w:rPr>
        <w:t>PECULIARITIES OF THE ACTIVITIES OF CENTRAL COUNTERPARTIES AND OF THE BANKRUPTCY PROCEEDINGS</w:t>
      </w:r>
    </w:p>
    <w:p w14:paraId="1B8EC05A" w14:textId="0492137C" w:rsidR="00421B2C" w:rsidRPr="00421B2C" w:rsidRDefault="00421B2C" w:rsidP="00421B2C">
      <w:pPr>
        <w:spacing w:line="360" w:lineRule="atLeast"/>
        <w:ind w:firstLine="720"/>
        <w:jc w:val="both"/>
        <w:rPr>
          <w:color w:val="000000"/>
          <w:szCs w:val="24"/>
        </w:rPr>
      </w:pPr>
    </w:p>
    <w:p w14:paraId="4E760A18" w14:textId="77777777" w:rsidR="00421B2C" w:rsidRDefault="00421B2C" w:rsidP="00421B2C">
      <w:pPr>
        <w:spacing w:line="360" w:lineRule="atLeast"/>
        <w:ind w:left="2410" w:hanging="1690"/>
        <w:jc w:val="both"/>
        <w:rPr>
          <w:color w:val="000000"/>
          <w:szCs w:val="24"/>
        </w:rPr>
      </w:pPr>
      <w:bookmarkStart w:id="259" w:name="part_bc6d4d85f8684d5eba217a72658ae14c"/>
      <w:bookmarkEnd w:id="259"/>
      <w:r>
        <w:rPr>
          <w:b/>
          <w:bCs/>
          <w:color w:val="000000"/>
        </w:rPr>
        <w:t>Article 91</w:t>
      </w:r>
      <w:r>
        <w:rPr>
          <w:b/>
          <w:bCs/>
          <w:color w:val="000000"/>
          <w:vertAlign w:val="superscript"/>
        </w:rPr>
        <w:t>1</w:t>
      </w:r>
      <w:r>
        <w:rPr>
          <w:b/>
          <w:bCs/>
          <w:color w:val="000000"/>
        </w:rPr>
        <w:t>. Peculiarities of notifying about a convened extraordinary general meeting of shareholders of the central counterparty</w:t>
      </w:r>
    </w:p>
    <w:p w14:paraId="216E2CE9" w14:textId="77777777" w:rsidR="00421B2C" w:rsidRDefault="00421B2C" w:rsidP="00421B2C">
      <w:pPr>
        <w:spacing w:line="360" w:lineRule="atLeast"/>
        <w:ind w:firstLine="720"/>
        <w:jc w:val="both"/>
        <w:rPr>
          <w:color w:val="000000"/>
        </w:rPr>
      </w:pPr>
      <w:bookmarkStart w:id="260" w:name="part_56e46375301a4205bdcc5f3bb4d4cbec"/>
      <w:bookmarkEnd w:id="260"/>
      <w:r>
        <w:rPr>
          <w:color w:val="000000"/>
        </w:rPr>
        <w:t>1. The general meeting of shareholders of the central counterparty, by a majority of at least 2/3 of all the votes attached to the shares of shareholders attending the meeting, may decide that in the event that, in the view of the supervisory authority, the conditions referred to in the first paragraph of Article 18(1) of Regulation (EU) 2021/23 are met and it is necessary to increase the authorised capital in order to avoid the conditions for resolution set out in Article 22 of Regulation (EU) 2021/23, a time limit shorter than that stipulated in Article 26, paragraphs 4, 5 and 6 or Article 26</w:t>
      </w:r>
      <w:r>
        <w:rPr>
          <w:color w:val="000000"/>
          <w:vertAlign w:val="superscript"/>
        </w:rPr>
        <w:t>1</w:t>
      </w:r>
      <w:r>
        <w:rPr>
          <w:color w:val="000000"/>
        </w:rPr>
        <w:t xml:space="preserve">, paragraphs 3, 4 and 5 of the Law on Companies is to be applied to the notification of the convened extraordinary </w:t>
      </w:r>
      <w:r>
        <w:rPr>
          <w:color w:val="000000"/>
        </w:rPr>
        <w:lastRenderedPageBreak/>
        <w:t>general meeting of shareholders pertaining to the increase of the authorised capital, or may decide to establish in its Articles of Association the possibility of applying a shorter time limit for the notification on a convened extraordinary general meeting of shareholders.  Notice of a convened extraordinary general meeting of shareholders must in any case be published at least 10 days before the day of the meeting.</w:t>
      </w:r>
    </w:p>
    <w:p w14:paraId="1ABDB998" w14:textId="77777777" w:rsidR="00421B2C" w:rsidRDefault="00421B2C" w:rsidP="00421B2C">
      <w:pPr>
        <w:spacing w:line="360" w:lineRule="atLeast"/>
        <w:ind w:firstLine="720"/>
        <w:jc w:val="both"/>
        <w:rPr>
          <w:color w:val="000000"/>
        </w:rPr>
      </w:pPr>
      <w:bookmarkStart w:id="261" w:name="part_7f820e7ff4834d09942dc2606a5fe5b3"/>
      <w:bookmarkEnd w:id="261"/>
      <w:r>
        <w:rPr>
          <w:color w:val="000000"/>
        </w:rPr>
        <w:t>2. Where a convened extraordinary general meeting of shareholders is notified on within a shorter period of time, as provided for in paragraph 1 of this Article, the provisions of Article 21(1) of the Law on Companies pertaining to the accounting day, the time limit for submitting a proposal to supplement the agenda of the general meeting of shareholders established in Article 25(3) of the Law on Companies and the obligation set forth in Article 25(5) of the Law on Companies to notify shareholders of additions to the agenda of the general meeting of shareholders no later than 10 days before the date of the general meeting of shareholders, as well as the requirement to obtain the written consent of all shareholders in order to convene a general meeting of shareholders established in Article 26(7) of the Law on Companies without complying with the time limits set in paragraphs 4, 5 and 6 of Article 26 of the Law on Companies shall not apply.</w:t>
      </w:r>
    </w:p>
    <w:p w14:paraId="7B85B29D" w14:textId="730230A5" w:rsidR="00421B2C" w:rsidRDefault="00421B2C" w:rsidP="00421B2C">
      <w:pPr>
        <w:spacing w:line="360" w:lineRule="atLeast"/>
        <w:ind w:firstLine="720"/>
        <w:jc w:val="both"/>
        <w:rPr>
          <w:color w:val="000000"/>
        </w:rPr>
      </w:pPr>
    </w:p>
    <w:p w14:paraId="53222C4B" w14:textId="77777777" w:rsidR="00421B2C" w:rsidRDefault="00421B2C" w:rsidP="00421B2C">
      <w:pPr>
        <w:spacing w:line="360" w:lineRule="atLeast"/>
        <w:ind w:firstLine="720"/>
        <w:jc w:val="both"/>
        <w:rPr>
          <w:color w:val="000000"/>
        </w:rPr>
      </w:pPr>
      <w:bookmarkStart w:id="262" w:name="part_0c29275619fb41099dc5a01c973e1398"/>
      <w:bookmarkEnd w:id="262"/>
      <w:r>
        <w:rPr>
          <w:b/>
          <w:bCs/>
          <w:color w:val="000000"/>
        </w:rPr>
        <w:t>Article 91</w:t>
      </w:r>
      <w:r>
        <w:rPr>
          <w:b/>
          <w:bCs/>
          <w:color w:val="000000"/>
          <w:vertAlign w:val="superscript"/>
        </w:rPr>
        <w:t>2</w:t>
      </w:r>
      <w:r>
        <w:rPr>
          <w:b/>
          <w:bCs/>
          <w:color w:val="000000"/>
        </w:rPr>
        <w:t>. Legal regulation of the central counterparty’s bankruptcy proceedings</w:t>
      </w:r>
    </w:p>
    <w:p w14:paraId="610A0B71" w14:textId="77777777" w:rsidR="00421B2C" w:rsidRDefault="00421B2C" w:rsidP="00421B2C">
      <w:pPr>
        <w:spacing w:line="360" w:lineRule="atLeast"/>
        <w:ind w:firstLine="720"/>
        <w:jc w:val="both"/>
        <w:rPr>
          <w:color w:val="000000"/>
        </w:rPr>
      </w:pPr>
      <w:bookmarkStart w:id="263" w:name="part_72c7405e83d84d04be5f630358ad7e7b"/>
      <w:bookmarkEnd w:id="263"/>
      <w:r>
        <w:rPr>
          <w:color w:val="000000"/>
        </w:rPr>
        <w:t>The bankruptcy proceedings of the central counterparty shall be subject to the Republic of Lithuania Law on Insolvency of Legal Persons, unless otherwise stipulated in this Law, the Law on Financial Institutions and Regulation (EU) 2021/23.</w:t>
      </w:r>
    </w:p>
    <w:p w14:paraId="5965D1DB" w14:textId="1686E8BC" w:rsidR="00421B2C" w:rsidRDefault="00421B2C" w:rsidP="00421B2C">
      <w:pPr>
        <w:spacing w:line="360" w:lineRule="atLeast"/>
        <w:ind w:firstLine="720"/>
        <w:jc w:val="both"/>
        <w:rPr>
          <w:color w:val="000000"/>
        </w:rPr>
      </w:pPr>
    </w:p>
    <w:p w14:paraId="3230964D" w14:textId="77777777" w:rsidR="00421B2C" w:rsidRDefault="00421B2C" w:rsidP="00421B2C">
      <w:pPr>
        <w:spacing w:line="360" w:lineRule="atLeast"/>
        <w:ind w:firstLine="720"/>
        <w:jc w:val="both"/>
        <w:rPr>
          <w:color w:val="000000"/>
        </w:rPr>
      </w:pPr>
      <w:bookmarkStart w:id="264" w:name="part_ac4ea61a0ab8423d82678a64faec5e55"/>
      <w:bookmarkEnd w:id="264"/>
      <w:r>
        <w:rPr>
          <w:b/>
          <w:bCs/>
          <w:color w:val="000000"/>
        </w:rPr>
        <w:t>Article 91</w:t>
      </w:r>
      <w:r>
        <w:rPr>
          <w:b/>
          <w:bCs/>
          <w:color w:val="000000"/>
          <w:vertAlign w:val="superscript"/>
        </w:rPr>
        <w:t>3</w:t>
      </w:r>
      <w:r>
        <w:rPr>
          <w:b/>
          <w:bCs/>
          <w:color w:val="000000"/>
        </w:rPr>
        <w:t xml:space="preserve">. Conditions for declaring the central counterparty as </w:t>
      </w:r>
      <w:proofErr w:type="gramStart"/>
      <w:r>
        <w:rPr>
          <w:b/>
          <w:bCs/>
          <w:color w:val="000000"/>
        </w:rPr>
        <w:t>insolvent</w:t>
      </w:r>
      <w:proofErr w:type="gramEnd"/>
    </w:p>
    <w:p w14:paraId="0D02D65A" w14:textId="77777777" w:rsidR="00421B2C" w:rsidRDefault="00421B2C" w:rsidP="00421B2C">
      <w:pPr>
        <w:spacing w:line="360" w:lineRule="atLeast"/>
        <w:ind w:firstLine="720"/>
        <w:jc w:val="both"/>
        <w:rPr>
          <w:color w:val="000000"/>
        </w:rPr>
      </w:pPr>
      <w:bookmarkStart w:id="265" w:name="part_b6256af74149494db15d7ffb98a0803f"/>
      <w:bookmarkEnd w:id="265"/>
      <w:r>
        <w:rPr>
          <w:color w:val="000000"/>
        </w:rPr>
        <w:t>A central counterparty may be recognised as insolvent if at least one of the following conditions applies:</w:t>
      </w:r>
    </w:p>
    <w:p w14:paraId="40E5EE05" w14:textId="77777777" w:rsidR="00421B2C" w:rsidRDefault="00421B2C" w:rsidP="00421B2C">
      <w:pPr>
        <w:spacing w:line="360" w:lineRule="atLeast"/>
        <w:ind w:firstLine="720"/>
        <w:jc w:val="both"/>
        <w:rPr>
          <w:color w:val="000000"/>
        </w:rPr>
      </w:pPr>
      <w:bookmarkStart w:id="266" w:name="part_94c0527dbe4f47219534257de673628f"/>
      <w:bookmarkEnd w:id="266"/>
      <w:r>
        <w:rPr>
          <w:color w:val="000000"/>
        </w:rPr>
        <w:t>1) due to the fact that the central counterparty has suffered or is likely to suffer losses for compensation of which the central counterparty will need all of its own funds or a large part thereof, or due to other reasons related to its financial situation or based on the objective factors supporting such an assessment that in the near future the central counterparty will violate requirements for granting of authorisation so that the supervisory authority would have grounds for revocation of the authorisation;</w:t>
      </w:r>
    </w:p>
    <w:p w14:paraId="4FE91FEA" w14:textId="77777777" w:rsidR="00421B2C" w:rsidRDefault="00421B2C" w:rsidP="00421B2C">
      <w:pPr>
        <w:spacing w:line="360" w:lineRule="atLeast"/>
        <w:ind w:firstLine="720"/>
        <w:jc w:val="both"/>
        <w:rPr>
          <w:color w:val="000000"/>
        </w:rPr>
      </w:pPr>
      <w:bookmarkStart w:id="267" w:name="part_40038e390d7e4d9b8bc12dc5b78c1095"/>
      <w:bookmarkEnd w:id="267"/>
      <w:r>
        <w:rPr>
          <w:color w:val="000000"/>
        </w:rPr>
        <w:t xml:space="preserve">2) the amount of the central counterparty’s assets is, or, on the basis of objective factors, it is established that in the near future it will be less than its </w:t>
      </w:r>
      <w:proofErr w:type="gramStart"/>
      <w:r>
        <w:rPr>
          <w:color w:val="000000"/>
        </w:rPr>
        <w:t>liabilities;</w:t>
      </w:r>
      <w:proofErr w:type="gramEnd"/>
    </w:p>
    <w:p w14:paraId="3D7A35A4" w14:textId="77777777" w:rsidR="00421B2C" w:rsidRDefault="00421B2C" w:rsidP="00421B2C">
      <w:pPr>
        <w:spacing w:line="360" w:lineRule="atLeast"/>
        <w:ind w:firstLine="720"/>
        <w:jc w:val="both"/>
        <w:rPr>
          <w:color w:val="000000"/>
        </w:rPr>
      </w:pPr>
      <w:bookmarkStart w:id="268" w:name="part_7627268e03944e219b27d159b57aed67"/>
      <w:bookmarkEnd w:id="268"/>
      <w:r>
        <w:rPr>
          <w:color w:val="000000"/>
        </w:rPr>
        <w:t xml:space="preserve">3) the central counterparty either is not capable of or, </w:t>
      </w:r>
      <w:proofErr w:type="gramStart"/>
      <w:r>
        <w:rPr>
          <w:color w:val="000000"/>
        </w:rPr>
        <w:t>on the basis of</w:t>
      </w:r>
      <w:proofErr w:type="gramEnd"/>
      <w:r>
        <w:rPr>
          <w:color w:val="000000"/>
        </w:rPr>
        <w:t xml:space="preserve"> objective factors supporting such assessment, it is established that in the near future it will not be capable of covering its debts or meeting other liabilities.</w:t>
      </w:r>
    </w:p>
    <w:p w14:paraId="1468A20F" w14:textId="509B31F6" w:rsidR="00421B2C" w:rsidRDefault="00421B2C" w:rsidP="00421B2C">
      <w:pPr>
        <w:spacing w:line="360" w:lineRule="atLeast"/>
        <w:ind w:firstLine="720"/>
        <w:jc w:val="both"/>
        <w:rPr>
          <w:color w:val="000000"/>
        </w:rPr>
      </w:pPr>
    </w:p>
    <w:p w14:paraId="0D1DC5E3" w14:textId="77777777" w:rsidR="00421B2C" w:rsidRDefault="00421B2C" w:rsidP="00421B2C">
      <w:pPr>
        <w:spacing w:line="360" w:lineRule="atLeast"/>
        <w:ind w:firstLine="720"/>
        <w:jc w:val="both"/>
        <w:rPr>
          <w:color w:val="000000"/>
        </w:rPr>
      </w:pPr>
      <w:bookmarkStart w:id="269" w:name="part_a0f561ecfb504e6fb69aedc6c14cc844"/>
      <w:bookmarkEnd w:id="269"/>
      <w:r>
        <w:rPr>
          <w:b/>
          <w:bCs/>
          <w:color w:val="000000"/>
        </w:rPr>
        <w:t>Article 91</w:t>
      </w:r>
      <w:r>
        <w:rPr>
          <w:b/>
          <w:bCs/>
          <w:color w:val="000000"/>
          <w:vertAlign w:val="superscript"/>
        </w:rPr>
        <w:t>4</w:t>
      </w:r>
      <w:r>
        <w:rPr>
          <w:b/>
          <w:bCs/>
          <w:color w:val="000000"/>
        </w:rPr>
        <w:t>. Order of satisfaction of claims of central counterparty’s creditors</w:t>
      </w:r>
    </w:p>
    <w:p w14:paraId="4A3D3DED" w14:textId="77777777" w:rsidR="00421B2C" w:rsidRDefault="00421B2C" w:rsidP="00421B2C">
      <w:pPr>
        <w:spacing w:line="360" w:lineRule="atLeast"/>
        <w:ind w:firstLine="720"/>
        <w:jc w:val="both"/>
        <w:rPr>
          <w:color w:val="000000"/>
        </w:rPr>
      </w:pPr>
      <w:bookmarkStart w:id="270" w:name="part_eeb7a242d5a049959175007a1edde996"/>
      <w:bookmarkEnd w:id="270"/>
      <w:r>
        <w:rPr>
          <w:color w:val="000000"/>
        </w:rPr>
        <w:t>The order of satisfaction of creditors’ claims established in Article 87 of the Law on Banks shall apply mutatis mutandis to the satisfaction of claims of central counterparty’s creditors.</w:t>
      </w:r>
    </w:p>
    <w:p w14:paraId="2A7D8A3C" w14:textId="6CD89703" w:rsidR="00421B2C" w:rsidRDefault="00421B2C" w:rsidP="00421B2C">
      <w:pPr>
        <w:spacing w:line="360" w:lineRule="atLeast"/>
        <w:ind w:firstLine="720"/>
        <w:jc w:val="both"/>
        <w:rPr>
          <w:color w:val="000000"/>
        </w:rPr>
      </w:pPr>
    </w:p>
    <w:p w14:paraId="2D2CF12C" w14:textId="77777777" w:rsidR="00421B2C" w:rsidRDefault="00421B2C" w:rsidP="00421B2C">
      <w:pPr>
        <w:spacing w:line="360" w:lineRule="atLeast"/>
        <w:ind w:firstLine="720"/>
        <w:jc w:val="both"/>
        <w:rPr>
          <w:color w:val="000000"/>
        </w:rPr>
      </w:pPr>
      <w:bookmarkStart w:id="271" w:name="part_580b2daca85f40a5a6f2d9090ae69706"/>
      <w:bookmarkEnd w:id="271"/>
      <w:r>
        <w:rPr>
          <w:b/>
          <w:bCs/>
          <w:color w:val="000000"/>
        </w:rPr>
        <w:lastRenderedPageBreak/>
        <w:t>Article 91</w:t>
      </w:r>
      <w:r>
        <w:rPr>
          <w:b/>
          <w:bCs/>
          <w:color w:val="000000"/>
          <w:vertAlign w:val="superscript"/>
        </w:rPr>
        <w:t>5</w:t>
      </w:r>
      <w:r>
        <w:rPr>
          <w:b/>
          <w:bCs/>
          <w:color w:val="000000"/>
        </w:rPr>
        <w:t>. Appointment of a temporary administrator of the central counterparty</w:t>
      </w:r>
    </w:p>
    <w:p w14:paraId="302CE280" w14:textId="77777777" w:rsidR="00421B2C" w:rsidRDefault="00421B2C" w:rsidP="00421B2C">
      <w:pPr>
        <w:spacing w:line="360" w:lineRule="atLeast"/>
        <w:ind w:firstLine="720"/>
        <w:jc w:val="both"/>
        <w:rPr>
          <w:color w:val="000000"/>
        </w:rPr>
      </w:pPr>
      <w:bookmarkStart w:id="272" w:name="part_68047f62b37146daa2dfecbb2078a4c4"/>
      <w:bookmarkEnd w:id="272"/>
      <w:r>
        <w:rPr>
          <w:color w:val="000000"/>
        </w:rPr>
        <w:t>The provisions of Article 75</w:t>
      </w:r>
      <w:r>
        <w:rPr>
          <w:color w:val="000000"/>
          <w:vertAlign w:val="superscript"/>
        </w:rPr>
        <w:t>1</w:t>
      </w:r>
      <w:r>
        <w:rPr>
          <w:color w:val="000000"/>
        </w:rPr>
        <w:t xml:space="preserve"> of the Law on Banks shall apply mutatis mutandis to the appointment and activities of the temporary administrator of the central counterparty.</w:t>
      </w:r>
    </w:p>
    <w:p w14:paraId="44FA2736" w14:textId="77777777" w:rsidR="00421B2C" w:rsidRDefault="00421B2C" w:rsidP="00421B2C">
      <w:pPr>
        <w:rPr>
          <w:color w:val="000000"/>
          <w:sz w:val="27"/>
          <w:szCs w:val="27"/>
        </w:rPr>
      </w:pPr>
      <w:r>
        <w:rPr>
          <w:i/>
          <w:iCs/>
          <w:color w:val="000000"/>
          <w:sz w:val="20"/>
        </w:rPr>
        <w:t>Supplemented with the Chapter:</w:t>
      </w:r>
    </w:p>
    <w:p w14:paraId="4BBF0CDF" w14:textId="77777777" w:rsidR="00421B2C" w:rsidRDefault="00421B2C" w:rsidP="00421B2C">
      <w:pPr>
        <w:jc w:val="both"/>
        <w:rPr>
          <w:color w:val="000000"/>
          <w:sz w:val="27"/>
          <w:szCs w:val="27"/>
        </w:rPr>
      </w:pPr>
      <w:r>
        <w:rPr>
          <w:i/>
          <w:iCs/>
          <w:color w:val="000000"/>
          <w:sz w:val="20"/>
        </w:rPr>
        <w:t xml:space="preserve">No </w:t>
      </w:r>
      <w:hyperlink r:id="rId148" w:tgtFrame="_parent" w:history="1">
        <w:r>
          <w:rPr>
            <w:rStyle w:val="Hyperlink"/>
            <w:i/>
            <w:iCs/>
            <w:sz w:val="20"/>
          </w:rPr>
          <w:t>XIV-1455</w:t>
        </w:r>
      </w:hyperlink>
      <w:r>
        <w:rPr>
          <w:i/>
          <w:iCs/>
          <w:color w:val="000000"/>
          <w:sz w:val="20"/>
        </w:rPr>
        <w:t>, 27/10/2022, published in the RLA, 07/11/2022, ID code 2022-22566</w:t>
      </w:r>
    </w:p>
    <w:p w14:paraId="602F0602" w14:textId="77777777" w:rsidR="00421B2C" w:rsidRDefault="00421B2C" w:rsidP="00F3494E">
      <w:pPr>
        <w:widowControl w:val="0"/>
        <w:ind w:firstLine="720"/>
        <w:jc w:val="both"/>
        <w:rPr>
          <w:szCs w:val="24"/>
          <w:lang w:eastAsia="lt-LT"/>
        </w:rPr>
      </w:pPr>
    </w:p>
    <w:p w14:paraId="27A938D1" w14:textId="77777777" w:rsidR="00421B2C" w:rsidRPr="000550CF" w:rsidRDefault="00421B2C" w:rsidP="00F3494E">
      <w:pPr>
        <w:widowControl w:val="0"/>
        <w:ind w:firstLine="720"/>
        <w:jc w:val="both"/>
        <w:rPr>
          <w:szCs w:val="24"/>
          <w:lang w:eastAsia="lt-LT"/>
        </w:rPr>
      </w:pPr>
    </w:p>
    <w:p w14:paraId="286EF84D" w14:textId="77777777" w:rsidR="00ED3A7E" w:rsidRPr="000550CF" w:rsidRDefault="00ED3A7E" w:rsidP="00F3494E">
      <w:pPr>
        <w:widowControl w:val="0"/>
        <w:jc w:val="center"/>
        <w:rPr>
          <w:szCs w:val="24"/>
        </w:rPr>
      </w:pPr>
      <w:r>
        <w:rPr>
          <w:b/>
          <w:szCs w:val="24"/>
        </w:rPr>
        <w:t>CHAPTER VII</w:t>
      </w:r>
    </w:p>
    <w:p w14:paraId="443859F2" w14:textId="77777777" w:rsidR="00ED3A7E" w:rsidRPr="000550CF" w:rsidRDefault="00ED3A7E" w:rsidP="00F3494E">
      <w:pPr>
        <w:widowControl w:val="0"/>
        <w:jc w:val="center"/>
        <w:rPr>
          <w:szCs w:val="24"/>
        </w:rPr>
      </w:pPr>
      <w:r>
        <w:rPr>
          <w:b/>
          <w:szCs w:val="24"/>
        </w:rPr>
        <w:t>SUPERVISION OF MARKETS IN FINANCIAL INSTRUMENTS</w:t>
      </w:r>
    </w:p>
    <w:p w14:paraId="40DF66B1" w14:textId="77777777" w:rsidR="00ED3A7E" w:rsidRPr="000550CF" w:rsidRDefault="00ED3A7E" w:rsidP="00F3494E">
      <w:pPr>
        <w:widowControl w:val="0"/>
        <w:jc w:val="both"/>
        <w:rPr>
          <w:szCs w:val="24"/>
          <w:lang w:eastAsia="lt-LT"/>
        </w:rPr>
      </w:pPr>
    </w:p>
    <w:p w14:paraId="55735C9B" w14:textId="77777777" w:rsidR="00ED3A7E" w:rsidRPr="000550CF" w:rsidRDefault="00ED3A7E" w:rsidP="00F3494E">
      <w:pPr>
        <w:widowControl w:val="0"/>
        <w:jc w:val="center"/>
        <w:rPr>
          <w:szCs w:val="24"/>
        </w:rPr>
      </w:pPr>
      <w:r>
        <w:rPr>
          <w:b/>
          <w:szCs w:val="24"/>
        </w:rPr>
        <w:t>SECTION ONE</w:t>
      </w:r>
    </w:p>
    <w:p w14:paraId="45B48B03" w14:textId="77777777" w:rsidR="00ED3A7E" w:rsidRPr="000550CF" w:rsidRDefault="00ED3A7E" w:rsidP="00F3494E">
      <w:pPr>
        <w:widowControl w:val="0"/>
        <w:jc w:val="center"/>
        <w:rPr>
          <w:szCs w:val="24"/>
        </w:rPr>
      </w:pPr>
      <w:r>
        <w:rPr>
          <w:b/>
          <w:szCs w:val="24"/>
        </w:rPr>
        <w:t>OBJECTIVES AND FUNCTIONS OF THE SUPERVISORY AUTHORITY</w:t>
      </w:r>
    </w:p>
    <w:p w14:paraId="3A45D0BA" w14:textId="77777777" w:rsidR="00ED3A7E" w:rsidRPr="000550CF" w:rsidRDefault="00ED3A7E" w:rsidP="00F3494E">
      <w:pPr>
        <w:widowControl w:val="0"/>
        <w:ind w:firstLine="720"/>
        <w:rPr>
          <w:szCs w:val="24"/>
          <w:lang w:eastAsia="lt-LT"/>
        </w:rPr>
      </w:pPr>
    </w:p>
    <w:p w14:paraId="236532DC" w14:textId="77777777" w:rsidR="00ED3A7E" w:rsidRPr="000550CF" w:rsidRDefault="00ED3A7E" w:rsidP="00F3494E">
      <w:pPr>
        <w:widowControl w:val="0"/>
        <w:ind w:firstLine="720"/>
        <w:jc w:val="both"/>
        <w:rPr>
          <w:szCs w:val="24"/>
        </w:rPr>
      </w:pPr>
      <w:r>
        <w:rPr>
          <w:b/>
          <w:szCs w:val="24"/>
        </w:rPr>
        <w:t>Article 92. Purposes of supervision of markets in financial instruments</w:t>
      </w:r>
    </w:p>
    <w:p w14:paraId="7C5CD9BD" w14:textId="77777777" w:rsidR="00ED3A7E" w:rsidRPr="000550CF" w:rsidRDefault="00ED3A7E" w:rsidP="00F3494E">
      <w:pPr>
        <w:widowControl w:val="0"/>
        <w:ind w:firstLine="720"/>
        <w:jc w:val="both"/>
        <w:rPr>
          <w:szCs w:val="24"/>
        </w:rPr>
      </w:pPr>
      <w:r>
        <w:t>The purpose of supervision of markets in financial instruments shall be:</w:t>
      </w:r>
    </w:p>
    <w:p w14:paraId="111A343B" w14:textId="77777777" w:rsidR="00ED3A7E" w:rsidRPr="000550CF" w:rsidRDefault="00ED3A7E" w:rsidP="00F3494E">
      <w:pPr>
        <w:widowControl w:val="0"/>
        <w:ind w:firstLine="720"/>
        <w:jc w:val="both"/>
        <w:rPr>
          <w:szCs w:val="24"/>
        </w:rPr>
      </w:pPr>
      <w:r>
        <w:t xml:space="preserve">1) to ensure a fair, transparent and efficient operation of the markets in financial </w:t>
      </w:r>
      <w:proofErr w:type="gramStart"/>
      <w:r>
        <w:t>instruments;</w:t>
      </w:r>
      <w:proofErr w:type="gramEnd"/>
    </w:p>
    <w:p w14:paraId="3552659F" w14:textId="77777777" w:rsidR="00ED3A7E" w:rsidRPr="000550CF" w:rsidRDefault="00ED3A7E" w:rsidP="00F3494E">
      <w:pPr>
        <w:widowControl w:val="0"/>
        <w:ind w:firstLine="720"/>
        <w:jc w:val="both"/>
        <w:rPr>
          <w:szCs w:val="24"/>
        </w:rPr>
      </w:pPr>
      <w:r>
        <w:t xml:space="preserve">2) to ensure the protection of investor </w:t>
      </w:r>
      <w:proofErr w:type="gramStart"/>
      <w:r>
        <w:t>interests;</w:t>
      </w:r>
      <w:proofErr w:type="gramEnd"/>
    </w:p>
    <w:p w14:paraId="3511425B" w14:textId="77777777" w:rsidR="00ED3A7E" w:rsidRPr="000550CF" w:rsidRDefault="00ED3A7E" w:rsidP="00F3494E">
      <w:pPr>
        <w:widowControl w:val="0"/>
        <w:ind w:firstLine="720"/>
        <w:jc w:val="both"/>
        <w:rPr>
          <w:szCs w:val="24"/>
        </w:rPr>
      </w:pPr>
      <w:r>
        <w:t>3) to mitigate systemic risk on markets in financial instruments.</w:t>
      </w:r>
    </w:p>
    <w:p w14:paraId="722B5C5F" w14:textId="77777777" w:rsidR="00ED3A7E" w:rsidRPr="000550CF" w:rsidRDefault="00ED3A7E" w:rsidP="00F3494E">
      <w:pPr>
        <w:widowControl w:val="0"/>
        <w:ind w:firstLine="720"/>
        <w:jc w:val="both"/>
        <w:rPr>
          <w:szCs w:val="24"/>
          <w:lang w:eastAsia="lt-LT"/>
        </w:rPr>
      </w:pPr>
    </w:p>
    <w:p w14:paraId="04839503" w14:textId="77777777" w:rsidR="00ED3A7E" w:rsidRPr="000550CF" w:rsidRDefault="00ED3A7E" w:rsidP="00F3494E">
      <w:pPr>
        <w:widowControl w:val="0"/>
        <w:ind w:firstLine="720"/>
        <w:jc w:val="both"/>
        <w:rPr>
          <w:szCs w:val="24"/>
        </w:rPr>
      </w:pPr>
      <w:r>
        <w:rPr>
          <w:b/>
          <w:szCs w:val="24"/>
        </w:rPr>
        <w:t>Article 93. Tasks</w:t>
      </w:r>
      <w:r>
        <w:rPr>
          <w:b/>
          <w:bCs/>
          <w:szCs w:val="24"/>
        </w:rPr>
        <w:t xml:space="preserve">, </w:t>
      </w:r>
      <w:proofErr w:type="gramStart"/>
      <w:r>
        <w:rPr>
          <w:b/>
          <w:bCs/>
          <w:szCs w:val="24"/>
        </w:rPr>
        <w:t>functions</w:t>
      </w:r>
      <w:proofErr w:type="gramEnd"/>
      <w:r>
        <w:rPr>
          <w:b/>
          <w:bCs/>
          <w:szCs w:val="24"/>
        </w:rPr>
        <w:t xml:space="preserve"> and rights of the supervisory </w:t>
      </w:r>
      <w:r>
        <w:rPr>
          <w:b/>
          <w:szCs w:val="24"/>
        </w:rPr>
        <w:t xml:space="preserve">authority </w:t>
      </w:r>
    </w:p>
    <w:p w14:paraId="46F8482A" w14:textId="77777777" w:rsidR="00ED3A7E" w:rsidRPr="000550CF" w:rsidRDefault="00ED3A7E" w:rsidP="00F3494E">
      <w:pPr>
        <w:widowControl w:val="0"/>
        <w:ind w:firstLine="720"/>
        <w:jc w:val="both"/>
        <w:rPr>
          <w:szCs w:val="24"/>
        </w:rPr>
      </w:pPr>
      <w:r>
        <w:t>1. The tasks of the supervisory authority shall be:</w:t>
      </w:r>
    </w:p>
    <w:p w14:paraId="3DF55650" w14:textId="77777777" w:rsidR="00ED3A7E" w:rsidRPr="000550CF" w:rsidRDefault="00ED3A7E" w:rsidP="00F3494E">
      <w:pPr>
        <w:widowControl w:val="0"/>
        <w:ind w:firstLine="720"/>
        <w:jc w:val="both"/>
        <w:rPr>
          <w:szCs w:val="24"/>
        </w:rPr>
      </w:pPr>
      <w:r>
        <w:t xml:space="preserve">1) to monitor the compliance with the rules of fair trading in financial </w:t>
      </w:r>
      <w:proofErr w:type="gramStart"/>
      <w:r>
        <w:t>instruments;</w:t>
      </w:r>
      <w:proofErr w:type="gramEnd"/>
    </w:p>
    <w:p w14:paraId="07FD19DA" w14:textId="77777777" w:rsidR="00ED3A7E" w:rsidRPr="000550CF" w:rsidRDefault="00ED3A7E" w:rsidP="00F3494E">
      <w:pPr>
        <w:widowControl w:val="0"/>
        <w:ind w:firstLine="720"/>
        <w:jc w:val="both"/>
        <w:rPr>
          <w:szCs w:val="24"/>
        </w:rPr>
      </w:pPr>
      <w:r>
        <w:t xml:space="preserve">2) to take measures to safeguard the efficient functioning of markets in financial instruments and the protection of investor </w:t>
      </w:r>
      <w:proofErr w:type="gramStart"/>
      <w:r>
        <w:t>interests;</w:t>
      </w:r>
      <w:proofErr w:type="gramEnd"/>
    </w:p>
    <w:p w14:paraId="13D56B0F" w14:textId="77777777" w:rsidR="00ED3A7E" w:rsidRPr="000550CF" w:rsidRDefault="00ED3A7E" w:rsidP="00F3494E">
      <w:pPr>
        <w:widowControl w:val="0"/>
        <w:ind w:firstLine="720"/>
        <w:jc w:val="both"/>
        <w:rPr>
          <w:szCs w:val="24"/>
        </w:rPr>
      </w:pPr>
      <w:r>
        <w:t xml:space="preserve">3) to provide proposals with regard to the formation of the State economic policy promoting the development of markets in financial </w:t>
      </w:r>
      <w:proofErr w:type="gramStart"/>
      <w:r>
        <w:t>instruments;</w:t>
      </w:r>
      <w:proofErr w:type="gramEnd"/>
    </w:p>
    <w:p w14:paraId="7D78CE06" w14:textId="77777777" w:rsidR="00ED3A7E" w:rsidRPr="000550CF" w:rsidRDefault="00ED3A7E" w:rsidP="00F3494E">
      <w:pPr>
        <w:widowControl w:val="0"/>
        <w:ind w:firstLine="720"/>
        <w:jc w:val="both"/>
        <w:rPr>
          <w:szCs w:val="24"/>
        </w:rPr>
      </w:pPr>
      <w:r>
        <w:t xml:space="preserve">4) to disseminate information on the principles of functioning of markets in financial </w:t>
      </w:r>
      <w:proofErr w:type="gramStart"/>
      <w:r>
        <w:t>instruments;</w:t>
      </w:r>
      <w:proofErr w:type="gramEnd"/>
    </w:p>
    <w:p w14:paraId="1E84C97F" w14:textId="77777777" w:rsidR="00ED3A7E" w:rsidRPr="000550CF" w:rsidRDefault="00ED3A7E" w:rsidP="00F3494E">
      <w:pPr>
        <w:widowControl w:val="0"/>
        <w:ind w:firstLine="720"/>
        <w:jc w:val="both"/>
        <w:rPr>
          <w:szCs w:val="24"/>
        </w:rPr>
      </w:pPr>
      <w:r>
        <w:t>5) to take other measures aimed at implementing this Law and other legal acts related to markets in financial instruments.</w:t>
      </w:r>
    </w:p>
    <w:p w14:paraId="6732D6CA" w14:textId="77777777" w:rsidR="00ED3A7E" w:rsidRPr="000550CF" w:rsidRDefault="00ED3A7E" w:rsidP="00F3494E">
      <w:pPr>
        <w:widowControl w:val="0"/>
        <w:ind w:firstLine="720"/>
        <w:jc w:val="both"/>
        <w:rPr>
          <w:szCs w:val="24"/>
        </w:rPr>
      </w:pPr>
      <w:r>
        <w:t>2. In implementing the tasks specified in paragraph 1 of this Article the supervisory authority shall perform the following functions:</w:t>
      </w:r>
    </w:p>
    <w:p w14:paraId="06E6AC7E" w14:textId="3F5B441A" w:rsidR="00421B2C" w:rsidRPr="00421B2C" w:rsidRDefault="00ED3A7E" w:rsidP="00421B2C">
      <w:pPr>
        <w:spacing w:line="360" w:lineRule="atLeast"/>
        <w:ind w:firstLine="720"/>
        <w:jc w:val="both"/>
        <w:rPr>
          <w:color w:val="000000"/>
          <w:szCs w:val="24"/>
        </w:rPr>
      </w:pPr>
      <w:r>
        <w:t xml:space="preserve">1) issue or withdraw licenses (authorisations) for regulated markets, financial brokerage firms, financial advisor firms, transaction data reporting service providers, central depositories, central counterparties and benchmark </w:t>
      </w:r>
      <w:proofErr w:type="gramStart"/>
      <w:r>
        <w:t>administrators;</w:t>
      </w:r>
      <w:proofErr w:type="gramEnd"/>
    </w:p>
    <w:p w14:paraId="5A741E49" w14:textId="77777777" w:rsidR="00421B2C" w:rsidRDefault="00421B2C" w:rsidP="00421B2C">
      <w:pPr>
        <w:rPr>
          <w:color w:val="000000"/>
          <w:sz w:val="27"/>
          <w:szCs w:val="27"/>
        </w:rPr>
      </w:pPr>
      <w:r>
        <w:rPr>
          <w:i/>
          <w:iCs/>
          <w:color w:val="000000"/>
          <w:sz w:val="20"/>
        </w:rPr>
        <w:t>Amendments to the paragraph of the Article:</w:t>
      </w:r>
    </w:p>
    <w:p w14:paraId="33BABF6C" w14:textId="77777777" w:rsidR="00421B2C" w:rsidRDefault="00421B2C" w:rsidP="00421B2C">
      <w:pPr>
        <w:jc w:val="both"/>
        <w:rPr>
          <w:color w:val="000000"/>
          <w:sz w:val="27"/>
          <w:szCs w:val="27"/>
        </w:rPr>
      </w:pPr>
      <w:r>
        <w:rPr>
          <w:i/>
          <w:iCs/>
          <w:color w:val="000000"/>
          <w:sz w:val="20"/>
        </w:rPr>
        <w:t xml:space="preserve">No </w:t>
      </w:r>
      <w:hyperlink r:id="rId149" w:tgtFrame="_parent" w:history="1">
        <w:r>
          <w:rPr>
            <w:rStyle w:val="Hyperlink"/>
            <w:i/>
            <w:iCs/>
            <w:sz w:val="20"/>
          </w:rPr>
          <w:t>XIV-1455</w:t>
        </w:r>
      </w:hyperlink>
      <w:r>
        <w:rPr>
          <w:i/>
          <w:iCs/>
          <w:color w:val="000000"/>
          <w:sz w:val="20"/>
        </w:rPr>
        <w:t>, 27/10/2022, published in the RLA, 07/11/2022, ID code 2022-22566</w:t>
      </w:r>
    </w:p>
    <w:p w14:paraId="2466F26E" w14:textId="1E4E511A" w:rsidR="00ED3A7E" w:rsidRPr="000550CF" w:rsidRDefault="00ED3A7E" w:rsidP="00F3494E">
      <w:pPr>
        <w:ind w:firstLine="720"/>
        <w:jc w:val="both"/>
        <w:rPr>
          <w:lang w:eastAsia="lt-LT"/>
        </w:rPr>
      </w:pPr>
    </w:p>
    <w:p w14:paraId="5F4C7BB1" w14:textId="4D0D7ACA" w:rsidR="00421B2C" w:rsidRPr="00421B2C" w:rsidRDefault="00ED3A7E" w:rsidP="00421B2C">
      <w:pPr>
        <w:spacing w:line="360" w:lineRule="atLeast"/>
        <w:ind w:firstLine="720"/>
        <w:jc w:val="both"/>
        <w:rPr>
          <w:color w:val="000000"/>
          <w:szCs w:val="24"/>
        </w:rPr>
      </w:pPr>
      <w:r>
        <w:t xml:space="preserve">2) monitor, analyse, inspect and otherwise supervise financial brokerage firms, financial advisor firms, third-country firm branches, regulated markets and their members, a central depository, account operators, proxy advisors, institutional investors, asset managers, benchmark administrators, central counterparties, transactions reporting service providers and crowdfunding service </w:t>
      </w:r>
      <w:proofErr w:type="gramStart"/>
      <w:r>
        <w:t>providers;</w:t>
      </w:r>
      <w:proofErr w:type="gramEnd"/>
    </w:p>
    <w:p w14:paraId="14322792" w14:textId="77777777" w:rsidR="00421B2C" w:rsidRDefault="00421B2C" w:rsidP="00421B2C">
      <w:pPr>
        <w:rPr>
          <w:color w:val="000000"/>
          <w:sz w:val="27"/>
          <w:szCs w:val="27"/>
        </w:rPr>
      </w:pPr>
      <w:r>
        <w:rPr>
          <w:i/>
          <w:iCs/>
          <w:color w:val="000000"/>
          <w:sz w:val="20"/>
        </w:rPr>
        <w:t>Amendments to the paragraph of the Article:</w:t>
      </w:r>
    </w:p>
    <w:p w14:paraId="6324BF97" w14:textId="77777777" w:rsidR="00421B2C" w:rsidRDefault="00421B2C" w:rsidP="00421B2C">
      <w:pPr>
        <w:jc w:val="both"/>
        <w:rPr>
          <w:color w:val="000000"/>
          <w:sz w:val="27"/>
          <w:szCs w:val="27"/>
        </w:rPr>
      </w:pPr>
      <w:r>
        <w:rPr>
          <w:i/>
          <w:iCs/>
          <w:color w:val="000000"/>
          <w:sz w:val="20"/>
        </w:rPr>
        <w:t xml:space="preserve">No </w:t>
      </w:r>
      <w:hyperlink r:id="rId150" w:tgtFrame="_parent" w:history="1">
        <w:r>
          <w:rPr>
            <w:rStyle w:val="Hyperlink"/>
            <w:i/>
            <w:iCs/>
            <w:sz w:val="20"/>
          </w:rPr>
          <w:t>XIII-2252</w:t>
        </w:r>
      </w:hyperlink>
      <w:r>
        <w:rPr>
          <w:i/>
          <w:iCs/>
          <w:color w:val="000000"/>
          <w:sz w:val="20"/>
        </w:rPr>
        <w:t>, 27/06/2019, published in the RLA, 05/07/2019, ID code 2019-11172</w:t>
      </w:r>
    </w:p>
    <w:p w14:paraId="13D6DC80" w14:textId="77777777" w:rsidR="00421B2C" w:rsidRDefault="00421B2C" w:rsidP="00421B2C">
      <w:pPr>
        <w:jc w:val="both"/>
        <w:rPr>
          <w:color w:val="000000"/>
          <w:sz w:val="27"/>
          <w:szCs w:val="27"/>
        </w:rPr>
      </w:pPr>
      <w:r>
        <w:rPr>
          <w:i/>
          <w:iCs/>
          <w:color w:val="000000"/>
          <w:sz w:val="20"/>
        </w:rPr>
        <w:t xml:space="preserve">No </w:t>
      </w:r>
      <w:hyperlink r:id="rId151" w:tgtFrame="_parent" w:history="1">
        <w:r>
          <w:rPr>
            <w:rStyle w:val="Hyperlink"/>
            <w:i/>
            <w:iCs/>
            <w:sz w:val="20"/>
          </w:rPr>
          <w:t>XIV-821</w:t>
        </w:r>
      </w:hyperlink>
      <w:r>
        <w:rPr>
          <w:i/>
          <w:iCs/>
          <w:color w:val="000000"/>
          <w:sz w:val="20"/>
        </w:rPr>
        <w:t>, 23/12/2021, published in the RLA, 30/12/2021, ID code 2021-27710</w:t>
      </w:r>
    </w:p>
    <w:p w14:paraId="34D5C968" w14:textId="77777777" w:rsidR="00421B2C" w:rsidRDefault="00421B2C" w:rsidP="00421B2C">
      <w:pPr>
        <w:jc w:val="both"/>
        <w:rPr>
          <w:color w:val="000000"/>
          <w:sz w:val="27"/>
          <w:szCs w:val="27"/>
        </w:rPr>
      </w:pPr>
      <w:r>
        <w:rPr>
          <w:i/>
          <w:iCs/>
          <w:color w:val="000000"/>
          <w:sz w:val="20"/>
        </w:rPr>
        <w:t xml:space="preserve">No </w:t>
      </w:r>
      <w:hyperlink r:id="rId152" w:tgtFrame="_parent" w:history="1">
        <w:r>
          <w:rPr>
            <w:rStyle w:val="Hyperlink"/>
            <w:i/>
            <w:iCs/>
            <w:sz w:val="20"/>
          </w:rPr>
          <w:t>XIV-1455</w:t>
        </w:r>
      </w:hyperlink>
      <w:r>
        <w:rPr>
          <w:i/>
          <w:iCs/>
          <w:color w:val="000000"/>
          <w:sz w:val="20"/>
        </w:rPr>
        <w:t>, 27/10/2022, published in the RLA, 07/11/2022, ID code 2022-22566</w:t>
      </w:r>
    </w:p>
    <w:p w14:paraId="1C6F20C8" w14:textId="089C6962" w:rsidR="00ED3A7E" w:rsidRPr="000550CF" w:rsidRDefault="00ED3A7E" w:rsidP="00F3494E">
      <w:pPr>
        <w:widowControl w:val="0"/>
        <w:ind w:firstLine="720"/>
        <w:jc w:val="both"/>
        <w:rPr>
          <w:szCs w:val="24"/>
          <w:lang w:eastAsia="lt-LT"/>
        </w:rPr>
      </w:pPr>
    </w:p>
    <w:p w14:paraId="17D628B3" w14:textId="07CEE16C" w:rsidR="00421B2C" w:rsidRPr="00421B2C" w:rsidRDefault="00ED3A7E" w:rsidP="00421B2C">
      <w:pPr>
        <w:spacing w:line="360" w:lineRule="atLeast"/>
        <w:ind w:firstLine="720"/>
        <w:jc w:val="both"/>
        <w:rPr>
          <w:color w:val="000000"/>
          <w:szCs w:val="24"/>
        </w:rPr>
      </w:pPr>
      <w:r>
        <w:t xml:space="preserve">3) perform functions assigned to the supervisory authority under Regulation (EU) No 236/2012, Regulation (EU) No 648/2012, Regulation (EU) No 575/2013, Regulation (EU) No 909/2014, Regulation (EU) No 596/2014, Regulation (EU) No 600/2014, Regulation (EU) No </w:t>
      </w:r>
      <w:r>
        <w:lastRenderedPageBreak/>
        <w:t xml:space="preserve">2016/1011, Regulation (EU) 2019/2033, Regulation (EU) 2019/2088, Regulation (EU) 2020/852, Regulation (EU) 2020/1503 and Regulation (ES) </w:t>
      </w:r>
      <w:proofErr w:type="gramStart"/>
      <w:r>
        <w:t>2021/23;</w:t>
      </w:r>
      <w:proofErr w:type="gramEnd"/>
    </w:p>
    <w:p w14:paraId="0DE40A4F" w14:textId="77777777" w:rsidR="00421B2C" w:rsidRDefault="00421B2C" w:rsidP="00421B2C">
      <w:pPr>
        <w:rPr>
          <w:color w:val="000000"/>
          <w:sz w:val="27"/>
          <w:szCs w:val="27"/>
        </w:rPr>
      </w:pPr>
      <w:r>
        <w:rPr>
          <w:i/>
          <w:iCs/>
          <w:color w:val="000000"/>
          <w:sz w:val="20"/>
        </w:rPr>
        <w:t>Amendments to the paragraph of the Article:</w:t>
      </w:r>
    </w:p>
    <w:p w14:paraId="006C43C8" w14:textId="77777777" w:rsidR="00421B2C" w:rsidRDefault="00421B2C" w:rsidP="00421B2C">
      <w:pPr>
        <w:jc w:val="both"/>
        <w:rPr>
          <w:color w:val="000000"/>
          <w:sz w:val="27"/>
          <w:szCs w:val="27"/>
        </w:rPr>
      </w:pPr>
      <w:r>
        <w:rPr>
          <w:i/>
          <w:iCs/>
          <w:color w:val="000000"/>
          <w:sz w:val="20"/>
        </w:rPr>
        <w:t xml:space="preserve">No </w:t>
      </w:r>
      <w:hyperlink r:id="rId153" w:tgtFrame="_parent" w:history="1">
        <w:r>
          <w:rPr>
            <w:rStyle w:val="Hyperlink"/>
            <w:i/>
            <w:iCs/>
            <w:sz w:val="20"/>
          </w:rPr>
          <w:t>XIV-821</w:t>
        </w:r>
      </w:hyperlink>
      <w:r>
        <w:rPr>
          <w:i/>
          <w:iCs/>
          <w:color w:val="000000"/>
          <w:sz w:val="20"/>
        </w:rPr>
        <w:t>, 23/12/2021, published in the RLA, 30/12/2021, ID code 2021-27710</w:t>
      </w:r>
    </w:p>
    <w:p w14:paraId="54710348" w14:textId="77777777" w:rsidR="00421B2C" w:rsidRDefault="00421B2C" w:rsidP="00421B2C">
      <w:pPr>
        <w:jc w:val="both"/>
        <w:rPr>
          <w:color w:val="000000"/>
          <w:sz w:val="27"/>
          <w:szCs w:val="27"/>
        </w:rPr>
      </w:pPr>
      <w:r>
        <w:rPr>
          <w:i/>
          <w:iCs/>
          <w:color w:val="000000"/>
          <w:sz w:val="20"/>
        </w:rPr>
        <w:t xml:space="preserve">No </w:t>
      </w:r>
      <w:hyperlink r:id="rId154" w:tgtFrame="_parent" w:history="1">
        <w:r>
          <w:rPr>
            <w:rStyle w:val="Hyperlink"/>
            <w:i/>
            <w:iCs/>
            <w:sz w:val="20"/>
          </w:rPr>
          <w:t>XIV-1455</w:t>
        </w:r>
      </w:hyperlink>
      <w:r>
        <w:rPr>
          <w:i/>
          <w:iCs/>
          <w:color w:val="000000"/>
          <w:sz w:val="20"/>
        </w:rPr>
        <w:t>, 27/10/2022, published in the RLA, 07/11/2022, ID code 2022-22566</w:t>
      </w:r>
    </w:p>
    <w:p w14:paraId="17A0A5F5" w14:textId="77777777" w:rsidR="00421B2C" w:rsidRPr="00421B2C" w:rsidRDefault="00421B2C" w:rsidP="00421B2C">
      <w:pPr>
        <w:spacing w:line="360" w:lineRule="atLeast"/>
        <w:ind w:firstLine="720"/>
        <w:jc w:val="both"/>
        <w:rPr>
          <w:color w:val="000000"/>
          <w:szCs w:val="24"/>
        </w:rPr>
      </w:pPr>
      <w:r>
        <w:rPr>
          <w:color w:val="000000"/>
          <w:szCs w:val="24"/>
        </w:rPr>
        <w:t>3</w:t>
      </w:r>
      <w:r>
        <w:rPr>
          <w:color w:val="000000"/>
          <w:szCs w:val="24"/>
          <w:vertAlign w:val="superscript"/>
        </w:rPr>
        <w:t>1</w:t>
      </w:r>
      <w:r>
        <w:rPr>
          <w:color w:val="000000"/>
          <w:szCs w:val="24"/>
        </w:rPr>
        <w:t xml:space="preserve">) perform the measurement specified in Article 23b(5)(a) of Regulation (EC) No </w:t>
      </w:r>
      <w:proofErr w:type="gramStart"/>
      <w:r>
        <w:rPr>
          <w:color w:val="000000"/>
          <w:szCs w:val="24"/>
        </w:rPr>
        <w:t>2016/1011;</w:t>
      </w:r>
      <w:proofErr w:type="gramEnd"/>
    </w:p>
    <w:p w14:paraId="090B5736" w14:textId="77777777" w:rsidR="00421B2C" w:rsidRDefault="00421B2C" w:rsidP="00421B2C">
      <w:pPr>
        <w:rPr>
          <w:color w:val="000000"/>
          <w:sz w:val="27"/>
          <w:szCs w:val="27"/>
        </w:rPr>
      </w:pPr>
      <w:r>
        <w:rPr>
          <w:i/>
          <w:iCs/>
          <w:color w:val="000000"/>
          <w:sz w:val="20"/>
        </w:rPr>
        <w:t>Supplemented with the sub-paragraph to the Article:</w:t>
      </w:r>
    </w:p>
    <w:p w14:paraId="131D76BB" w14:textId="77777777" w:rsidR="00421B2C" w:rsidRDefault="00421B2C" w:rsidP="00421B2C">
      <w:pPr>
        <w:jc w:val="both"/>
        <w:rPr>
          <w:color w:val="000000"/>
          <w:sz w:val="27"/>
          <w:szCs w:val="27"/>
        </w:rPr>
      </w:pPr>
      <w:r>
        <w:rPr>
          <w:i/>
          <w:iCs/>
          <w:color w:val="000000"/>
          <w:sz w:val="20"/>
        </w:rPr>
        <w:t xml:space="preserve">No </w:t>
      </w:r>
      <w:hyperlink r:id="rId155" w:tgtFrame="_parent" w:history="1">
        <w:r>
          <w:rPr>
            <w:rStyle w:val="Hyperlink"/>
            <w:i/>
            <w:iCs/>
            <w:sz w:val="20"/>
          </w:rPr>
          <w:t>XIV-821</w:t>
        </w:r>
      </w:hyperlink>
      <w:r>
        <w:rPr>
          <w:i/>
          <w:iCs/>
          <w:color w:val="000000"/>
          <w:sz w:val="20"/>
        </w:rPr>
        <w:t>, 23/12/2021, published in the RLA, 30/12/2021, ID code 2021-27710</w:t>
      </w:r>
    </w:p>
    <w:p w14:paraId="6E4962AF" w14:textId="0E97C0C5" w:rsidR="00ED3A7E" w:rsidRPr="000550CF" w:rsidRDefault="00ED3A7E" w:rsidP="00F3494E">
      <w:pPr>
        <w:widowControl w:val="0"/>
        <w:ind w:firstLine="720"/>
        <w:jc w:val="both"/>
        <w:rPr>
          <w:szCs w:val="24"/>
          <w:lang w:eastAsia="lt-LT"/>
        </w:rPr>
      </w:pPr>
    </w:p>
    <w:p w14:paraId="105BBF19" w14:textId="77777777" w:rsidR="00ED3A7E" w:rsidRPr="000550CF" w:rsidRDefault="00ED3A7E" w:rsidP="00F3494E">
      <w:pPr>
        <w:widowControl w:val="0"/>
        <w:ind w:firstLine="720"/>
        <w:jc w:val="both"/>
        <w:rPr>
          <w:szCs w:val="24"/>
        </w:rPr>
      </w:pPr>
      <w:r>
        <w:t>4) perform other functions provided for in this Law and other laws of the Republic of Lithuania.</w:t>
      </w:r>
    </w:p>
    <w:p w14:paraId="2ABEEEBC" w14:textId="77777777" w:rsidR="00ED3A7E" w:rsidRPr="000550CF" w:rsidRDefault="00ED3A7E" w:rsidP="00F3494E">
      <w:pPr>
        <w:widowControl w:val="0"/>
        <w:ind w:firstLine="720"/>
        <w:jc w:val="both"/>
        <w:rPr>
          <w:szCs w:val="24"/>
        </w:rPr>
      </w:pPr>
      <w:r>
        <w:t xml:space="preserve">3. The supervisory authority shall implement the tasks established for it and shall perform the assigned functions </w:t>
      </w:r>
      <w:proofErr w:type="gramStart"/>
      <w:r>
        <w:t>taking into account</w:t>
      </w:r>
      <w:proofErr w:type="gramEnd"/>
      <w:r>
        <w:t xml:space="preserve"> the supervisory measures and practice convergence in applying laws and regulations adopted to implement European Union legislation. For this purpose, the supervisory authority shall participate in the activities of the colleges of the European Banking Authority and the supervisory authorities, follow the guidelines and recommendations adopted by the European Banking Authority or provide reasons for the individuals concerned for which they do not follow, as well as cooperate with supervisory authorities of other European Union Member States and the European Systemic Risk Board and follow the recommendations and warnings issued by this Board.</w:t>
      </w:r>
    </w:p>
    <w:p w14:paraId="79D9752A" w14:textId="77777777" w:rsidR="00ED3A7E" w:rsidRPr="000550CF" w:rsidRDefault="00ED3A7E" w:rsidP="00F3494E">
      <w:pPr>
        <w:widowControl w:val="0"/>
        <w:ind w:firstLine="720"/>
        <w:jc w:val="both"/>
        <w:rPr>
          <w:b/>
          <w:szCs w:val="24"/>
        </w:rPr>
      </w:pPr>
      <w:r>
        <w:t xml:space="preserve">4. In performing the supervisory functions, the Supervisory Authority and </w:t>
      </w:r>
      <w:proofErr w:type="gramStart"/>
      <w:r>
        <w:t>on the basis of</w:t>
      </w:r>
      <w:proofErr w:type="gramEnd"/>
      <w:r>
        <w:t xml:space="preserve"> information available at the appropriate time, shall properly take into account, especially in emergency situations, the potential impact of their decisions on the stability of the financial system in other European Union Member States.</w:t>
      </w:r>
    </w:p>
    <w:p w14:paraId="2670C86A" w14:textId="77777777" w:rsidR="00ED3A7E" w:rsidRPr="000550CF" w:rsidRDefault="00ED3A7E" w:rsidP="00F3494E">
      <w:pPr>
        <w:widowControl w:val="0"/>
        <w:ind w:firstLine="720"/>
        <w:jc w:val="both"/>
        <w:rPr>
          <w:szCs w:val="24"/>
        </w:rPr>
      </w:pPr>
      <w:r>
        <w:t>5. In performing the functions assigned to it, the supervisory authority shall have the right to:</w:t>
      </w:r>
    </w:p>
    <w:p w14:paraId="4FC56399" w14:textId="77777777" w:rsidR="00ED3A7E" w:rsidRPr="000550CF" w:rsidRDefault="00ED3A7E" w:rsidP="00F3494E">
      <w:pPr>
        <w:widowControl w:val="0"/>
        <w:ind w:firstLine="720"/>
        <w:jc w:val="both"/>
        <w:rPr>
          <w:szCs w:val="24"/>
        </w:rPr>
      </w:pPr>
      <w:r>
        <w:t xml:space="preserve">1) employ specialists and experts of appropriate areas (auditors, accountants, lawyers, IT specialists, etc.) requesting them to provide their opinions, conclusions, assessment or perform other actions requiring specific qualification, knowledge or </w:t>
      </w:r>
      <w:proofErr w:type="gramStart"/>
      <w:r>
        <w:t>experience;</w:t>
      </w:r>
      <w:proofErr w:type="gramEnd"/>
    </w:p>
    <w:p w14:paraId="628ABD4C" w14:textId="77777777" w:rsidR="00ED3A7E" w:rsidRPr="000550CF" w:rsidRDefault="00ED3A7E" w:rsidP="00F3494E">
      <w:pPr>
        <w:widowControl w:val="0"/>
        <w:ind w:firstLine="720"/>
        <w:jc w:val="both"/>
        <w:rPr>
          <w:szCs w:val="24"/>
        </w:rPr>
      </w:pPr>
      <w:r>
        <w:t xml:space="preserve">2) require from persons the provision of information on the size and purpose of the position held in a commodity derivative, as well as on related assets and liabilities in the underlying market, including all relevant supporting </w:t>
      </w:r>
      <w:proofErr w:type="gramStart"/>
      <w:r>
        <w:t>documentation;</w:t>
      </w:r>
      <w:proofErr w:type="gramEnd"/>
    </w:p>
    <w:p w14:paraId="7F8CE8D8" w14:textId="77777777" w:rsidR="00ED3A7E" w:rsidRPr="000550CF" w:rsidRDefault="00ED3A7E" w:rsidP="00F3494E">
      <w:pPr>
        <w:ind w:firstLine="720"/>
        <w:jc w:val="both"/>
      </w:pPr>
      <w:r>
        <w:t xml:space="preserve">3) restrict for persons the possibility to conclude transactions on commodity derivatives, including position limits applied according to the provisions of Articles 72 and </w:t>
      </w:r>
      <w:proofErr w:type="gramStart"/>
      <w:r>
        <w:t>74  of</w:t>
      </w:r>
      <w:proofErr w:type="gramEnd"/>
      <w:r>
        <w:t xml:space="preserve"> this Law;</w:t>
      </w:r>
    </w:p>
    <w:p w14:paraId="5BCD974F" w14:textId="77777777" w:rsidR="00ED3A7E" w:rsidRPr="000550CF" w:rsidRDefault="00ED3A7E" w:rsidP="00F3494E">
      <w:pPr>
        <w:widowControl w:val="0"/>
        <w:ind w:firstLine="720"/>
        <w:jc w:val="both"/>
        <w:rPr>
          <w:szCs w:val="24"/>
        </w:rPr>
      </w:pPr>
      <w:r>
        <w:t xml:space="preserve">4) require persons to suspend their professional </w:t>
      </w:r>
      <w:proofErr w:type="gramStart"/>
      <w:r>
        <w:t>activity;</w:t>
      </w:r>
      <w:proofErr w:type="gramEnd"/>
    </w:p>
    <w:p w14:paraId="7932A0D1" w14:textId="77777777" w:rsidR="00ED3A7E" w:rsidRPr="000550CF" w:rsidRDefault="00ED3A7E" w:rsidP="00F3494E">
      <w:pPr>
        <w:ind w:firstLine="720"/>
        <w:jc w:val="both"/>
      </w:pPr>
      <w:r>
        <w:t xml:space="preserve">5) require from financial brokerage firms, financial advisor firms, third-country firm branches, credit institutions, financial institutions, a benchmark administrator the available records of telephone conversations or electronic communications, data breakdowns or other electronic communications traffic </w:t>
      </w:r>
      <w:proofErr w:type="gramStart"/>
      <w:r>
        <w:t>data;</w:t>
      </w:r>
      <w:proofErr w:type="gramEnd"/>
    </w:p>
    <w:p w14:paraId="26505A14" w14:textId="77777777" w:rsidR="00ED3A7E" w:rsidRPr="000550CF" w:rsidRDefault="00ED3A7E" w:rsidP="00F3494E">
      <w:pPr>
        <w:widowControl w:val="0"/>
        <w:ind w:firstLine="720"/>
        <w:jc w:val="both"/>
        <w:rPr>
          <w:szCs w:val="24"/>
        </w:rPr>
      </w:pPr>
      <w:r>
        <w:t xml:space="preserve">6) demand suspension or removal of a particular financial instrument or structured deposits from trading on a regulated market or other trading </w:t>
      </w:r>
      <w:proofErr w:type="gramStart"/>
      <w:r>
        <w:t>venues;</w:t>
      </w:r>
      <w:proofErr w:type="gramEnd"/>
    </w:p>
    <w:p w14:paraId="739C7752" w14:textId="77777777" w:rsidR="00ED3A7E" w:rsidRPr="000550CF" w:rsidRDefault="00ED3A7E" w:rsidP="00F3494E">
      <w:pPr>
        <w:widowControl w:val="0"/>
        <w:ind w:firstLine="720"/>
        <w:jc w:val="both"/>
        <w:rPr>
          <w:szCs w:val="24"/>
        </w:rPr>
      </w:pPr>
      <w:r>
        <w:t xml:space="preserve">7) obligate persons to restore the situation which existed before the </w:t>
      </w:r>
      <w:proofErr w:type="gramStart"/>
      <w:r>
        <w:t>infringement;</w:t>
      </w:r>
      <w:proofErr w:type="gramEnd"/>
    </w:p>
    <w:p w14:paraId="549A7E9F" w14:textId="77777777" w:rsidR="00ED3A7E" w:rsidRPr="000550CF" w:rsidRDefault="00ED3A7E" w:rsidP="00F3494E">
      <w:pPr>
        <w:widowControl w:val="0"/>
        <w:ind w:firstLine="720"/>
        <w:jc w:val="both"/>
        <w:rPr>
          <w:szCs w:val="24"/>
        </w:rPr>
      </w:pPr>
      <w:r>
        <w:t xml:space="preserve">8) give mandatory instructions established in Article 102(3) and (7) of this </w:t>
      </w:r>
      <w:proofErr w:type="gramStart"/>
      <w:r>
        <w:t>Law;</w:t>
      </w:r>
      <w:proofErr w:type="gramEnd"/>
    </w:p>
    <w:p w14:paraId="416D1EDB" w14:textId="7B929137" w:rsidR="00421B2C" w:rsidRPr="00421B2C" w:rsidRDefault="00ED3A7E" w:rsidP="00421B2C">
      <w:pPr>
        <w:spacing w:line="360" w:lineRule="atLeast"/>
        <w:ind w:firstLine="720"/>
        <w:jc w:val="both"/>
        <w:rPr>
          <w:color w:val="000000"/>
          <w:szCs w:val="24"/>
        </w:rPr>
      </w:pPr>
      <w:r>
        <w:t xml:space="preserve">9) have other powers and rights established in the Law on the Bank of </w:t>
      </w:r>
      <w:proofErr w:type="gramStart"/>
      <w:r>
        <w:t>Lithuania,  Regulation</w:t>
      </w:r>
      <w:proofErr w:type="gramEnd"/>
      <w:r>
        <w:t xml:space="preserve"> (EU) No 600/2014, Regulation (EU) No 575/2013, Regulation (EU) No 909/2014, Regulation (EU) No 596/2014, Regulation (EU) No 2015/2365, Regulation (EU) No 2016/1011, Regulation (EU) 2019/2033, Regulation (EU) 2019/2088, Regulation (EU) 2020/852, Regulation (EU) 2020/1503, Regulation (EU) 2021/23 and legal acts implementing them.</w:t>
      </w:r>
    </w:p>
    <w:p w14:paraId="1245A183" w14:textId="77777777" w:rsidR="00421B2C" w:rsidRDefault="00421B2C" w:rsidP="00421B2C">
      <w:pPr>
        <w:rPr>
          <w:color w:val="000000"/>
          <w:sz w:val="27"/>
          <w:szCs w:val="27"/>
        </w:rPr>
      </w:pPr>
      <w:r>
        <w:rPr>
          <w:i/>
          <w:iCs/>
          <w:color w:val="000000"/>
          <w:sz w:val="20"/>
        </w:rPr>
        <w:t>Amendments to the paragraph of the Article:</w:t>
      </w:r>
    </w:p>
    <w:p w14:paraId="1451CBED" w14:textId="77777777" w:rsidR="00421B2C" w:rsidRDefault="00421B2C" w:rsidP="00421B2C">
      <w:pPr>
        <w:jc w:val="both"/>
        <w:rPr>
          <w:color w:val="000000"/>
          <w:sz w:val="27"/>
          <w:szCs w:val="27"/>
        </w:rPr>
      </w:pPr>
      <w:r>
        <w:rPr>
          <w:i/>
          <w:iCs/>
          <w:color w:val="000000"/>
          <w:sz w:val="20"/>
        </w:rPr>
        <w:t xml:space="preserve">No </w:t>
      </w:r>
      <w:hyperlink r:id="rId156" w:tgtFrame="_parent" w:history="1">
        <w:r>
          <w:rPr>
            <w:rStyle w:val="Hyperlink"/>
            <w:i/>
            <w:iCs/>
            <w:sz w:val="20"/>
          </w:rPr>
          <w:t>XIV-821</w:t>
        </w:r>
      </w:hyperlink>
      <w:r>
        <w:rPr>
          <w:i/>
          <w:iCs/>
          <w:color w:val="000000"/>
          <w:sz w:val="20"/>
        </w:rPr>
        <w:t>, 23/12/2021, published in the RLA, 30/12/2021, ID code 2021-27710</w:t>
      </w:r>
    </w:p>
    <w:p w14:paraId="2108F274" w14:textId="77777777" w:rsidR="00421B2C" w:rsidRDefault="00421B2C" w:rsidP="00421B2C">
      <w:pPr>
        <w:jc w:val="both"/>
        <w:rPr>
          <w:color w:val="000000"/>
          <w:sz w:val="27"/>
          <w:szCs w:val="27"/>
        </w:rPr>
      </w:pPr>
      <w:r>
        <w:rPr>
          <w:i/>
          <w:iCs/>
          <w:color w:val="000000"/>
          <w:sz w:val="20"/>
        </w:rPr>
        <w:t xml:space="preserve">No </w:t>
      </w:r>
      <w:hyperlink r:id="rId157" w:tgtFrame="_parent" w:history="1">
        <w:r>
          <w:rPr>
            <w:rStyle w:val="Hyperlink"/>
            <w:i/>
            <w:iCs/>
            <w:sz w:val="20"/>
          </w:rPr>
          <w:t>XIV-1455</w:t>
        </w:r>
      </w:hyperlink>
      <w:r>
        <w:rPr>
          <w:i/>
          <w:iCs/>
          <w:color w:val="000000"/>
          <w:sz w:val="20"/>
        </w:rPr>
        <w:t>, 27/10/2022, published in the RLA, 07/11/2022, ID code 2022-22566</w:t>
      </w:r>
    </w:p>
    <w:p w14:paraId="45F88116" w14:textId="6F4A1E2F" w:rsidR="00ED3A7E" w:rsidRPr="000550CF" w:rsidRDefault="00ED3A7E" w:rsidP="00F3494E">
      <w:pPr>
        <w:widowControl w:val="0"/>
        <w:ind w:firstLine="720"/>
        <w:jc w:val="both"/>
        <w:rPr>
          <w:szCs w:val="24"/>
          <w:lang w:eastAsia="lt-LT"/>
        </w:rPr>
      </w:pPr>
    </w:p>
    <w:p w14:paraId="048A3B0F" w14:textId="19A175D5" w:rsidR="00421B2C" w:rsidRDefault="00ED3A7E" w:rsidP="00421B2C">
      <w:pPr>
        <w:spacing w:line="360" w:lineRule="atLeast"/>
        <w:ind w:firstLine="720"/>
        <w:jc w:val="both"/>
        <w:rPr>
          <w:color w:val="000000"/>
          <w:sz w:val="27"/>
          <w:szCs w:val="27"/>
        </w:rPr>
      </w:pPr>
      <w:r>
        <w:lastRenderedPageBreak/>
        <w:t xml:space="preserve">6.  </w:t>
      </w:r>
      <w:r>
        <w:rPr>
          <w:color w:val="000000"/>
          <w:szCs w:val="24"/>
        </w:rPr>
        <w:t>In addition to other obligations and rights established in the Law on the Bank of Lithuania, this Law and other legal acts the supervision over compliance with which is attributed to the competence of the supervisory authority, the supervisory authority shall have the right, in performing the functions assigned to it, to take other measures to ensure that financial brokerage firms, financial advisor firms, a central depository, regulated markets, transaction data reporting services providers, benchmark administrators, crowdfunding service providers comply on a continuous basis with the requirements established by this Law and other legal acts.</w:t>
      </w:r>
    </w:p>
    <w:p w14:paraId="46086C6A" w14:textId="77777777" w:rsidR="00421B2C" w:rsidRDefault="00421B2C" w:rsidP="00421B2C">
      <w:pPr>
        <w:rPr>
          <w:color w:val="000000"/>
          <w:sz w:val="27"/>
          <w:szCs w:val="27"/>
        </w:rPr>
      </w:pPr>
      <w:r>
        <w:rPr>
          <w:i/>
          <w:iCs/>
          <w:color w:val="000000"/>
          <w:sz w:val="20"/>
        </w:rPr>
        <w:t>Amendments to the paragraph of the Article:</w:t>
      </w:r>
    </w:p>
    <w:p w14:paraId="4C3400AA" w14:textId="77777777" w:rsidR="00421B2C" w:rsidRDefault="00421B2C" w:rsidP="00421B2C">
      <w:pPr>
        <w:jc w:val="both"/>
        <w:rPr>
          <w:color w:val="000000"/>
          <w:sz w:val="27"/>
          <w:szCs w:val="27"/>
        </w:rPr>
      </w:pPr>
      <w:r>
        <w:rPr>
          <w:i/>
          <w:iCs/>
          <w:color w:val="000000"/>
          <w:sz w:val="20"/>
        </w:rPr>
        <w:t xml:space="preserve">No </w:t>
      </w:r>
      <w:hyperlink r:id="rId158" w:tgtFrame="_parent" w:history="1">
        <w:r>
          <w:rPr>
            <w:rStyle w:val="Hyperlink"/>
            <w:i/>
            <w:iCs/>
            <w:sz w:val="20"/>
          </w:rPr>
          <w:t>XIV-821</w:t>
        </w:r>
      </w:hyperlink>
      <w:r>
        <w:rPr>
          <w:i/>
          <w:iCs/>
          <w:color w:val="000000"/>
          <w:sz w:val="20"/>
        </w:rPr>
        <w:t>, 23/12/2021, published in the RLA, 30/12/2021, ID code 2021-27710</w:t>
      </w:r>
    </w:p>
    <w:p w14:paraId="697D1556" w14:textId="020A51A7" w:rsidR="00ED3A7E" w:rsidRPr="000550CF" w:rsidRDefault="00ED3A7E" w:rsidP="00F3494E">
      <w:pPr>
        <w:widowControl w:val="0"/>
        <w:ind w:firstLine="720"/>
        <w:jc w:val="both"/>
        <w:rPr>
          <w:szCs w:val="24"/>
          <w:lang w:eastAsia="lt-LT"/>
        </w:rPr>
      </w:pPr>
    </w:p>
    <w:p w14:paraId="7EA8771B" w14:textId="77777777" w:rsidR="00ED3A7E" w:rsidRPr="000550CF" w:rsidRDefault="00ED3A7E" w:rsidP="00F3494E">
      <w:pPr>
        <w:widowControl w:val="0"/>
        <w:ind w:firstLine="720"/>
        <w:jc w:val="both"/>
        <w:rPr>
          <w:szCs w:val="24"/>
          <w:lang w:eastAsia="lt-LT"/>
        </w:rPr>
      </w:pPr>
    </w:p>
    <w:p w14:paraId="1FEE321C" w14:textId="77777777" w:rsidR="00ED3A7E" w:rsidRPr="000550CF" w:rsidRDefault="00ED3A7E" w:rsidP="00D311A9">
      <w:pPr>
        <w:suppressAutoHyphens/>
        <w:ind w:firstLine="720"/>
        <w:jc w:val="both"/>
        <w:textAlignment w:val="baseline"/>
        <w:rPr>
          <w:b/>
          <w:szCs w:val="24"/>
        </w:rPr>
      </w:pPr>
      <w:r>
        <w:rPr>
          <w:b/>
        </w:rPr>
        <w:t xml:space="preserve">Article 94. Obligation of board members of the supervisory authority, its employees and other persons </w:t>
      </w:r>
      <w:r>
        <w:rPr>
          <w:b/>
          <w:szCs w:val="24"/>
        </w:rPr>
        <w:t xml:space="preserve">not to disclose confidential </w:t>
      </w:r>
      <w:proofErr w:type="gramStart"/>
      <w:r>
        <w:rPr>
          <w:b/>
          <w:szCs w:val="24"/>
        </w:rPr>
        <w:t>information</w:t>
      </w:r>
      <w:proofErr w:type="gramEnd"/>
      <w:r>
        <w:rPr>
          <w:b/>
          <w:szCs w:val="24"/>
        </w:rPr>
        <w:t xml:space="preserve">  </w:t>
      </w:r>
    </w:p>
    <w:p w14:paraId="100513D9" w14:textId="77777777" w:rsidR="00ED3A7E" w:rsidRPr="000550CF" w:rsidRDefault="00ED3A7E" w:rsidP="00F3494E">
      <w:pPr>
        <w:widowControl w:val="0"/>
        <w:ind w:firstLine="720"/>
        <w:jc w:val="both"/>
        <w:rPr>
          <w:szCs w:val="24"/>
        </w:rPr>
      </w:pPr>
      <w:r>
        <w:t>The protection of information received by the supervisory authority for the purpose of supervision shall be subject to the provisions of Article 43 of the Law on the Bank of Lithuania.</w:t>
      </w:r>
    </w:p>
    <w:p w14:paraId="2DD71DBC" w14:textId="77777777" w:rsidR="00ED3A7E" w:rsidRPr="000550CF" w:rsidRDefault="00ED3A7E" w:rsidP="00F3494E">
      <w:pPr>
        <w:widowControl w:val="0"/>
        <w:ind w:firstLine="720"/>
        <w:jc w:val="both"/>
        <w:rPr>
          <w:szCs w:val="24"/>
          <w:lang w:eastAsia="lt-LT"/>
        </w:rPr>
      </w:pPr>
    </w:p>
    <w:p w14:paraId="309C8E17" w14:textId="77777777" w:rsidR="00ED3A7E" w:rsidRPr="000550CF" w:rsidRDefault="00ED3A7E" w:rsidP="00F3494E">
      <w:pPr>
        <w:widowControl w:val="0"/>
        <w:jc w:val="center"/>
        <w:rPr>
          <w:szCs w:val="24"/>
        </w:rPr>
      </w:pPr>
      <w:r>
        <w:rPr>
          <w:b/>
          <w:smallCaps/>
          <w:szCs w:val="24"/>
        </w:rPr>
        <w:t>SECTION TWO</w:t>
      </w:r>
    </w:p>
    <w:p w14:paraId="0103C534" w14:textId="77777777" w:rsidR="00ED3A7E" w:rsidRPr="000550CF" w:rsidRDefault="00ED3A7E" w:rsidP="00DC78D6">
      <w:pPr>
        <w:widowControl w:val="0"/>
        <w:ind w:firstLine="720"/>
        <w:rPr>
          <w:b/>
          <w:szCs w:val="24"/>
        </w:rPr>
      </w:pPr>
      <w:r>
        <w:rPr>
          <w:b/>
          <w:szCs w:val="24"/>
        </w:rPr>
        <w:t>COOPERATION OF THE SUPERVISORY AUTHORITY WITH SUPERVISORY AUTHORITIES OF OTHER MEMBER STATES AND EUROPEAN INSTITUTIONS</w:t>
      </w:r>
    </w:p>
    <w:p w14:paraId="08B0FBE4" w14:textId="77777777" w:rsidR="00ED3A7E" w:rsidRPr="000550CF" w:rsidRDefault="00ED3A7E" w:rsidP="00F3494E">
      <w:pPr>
        <w:widowControl w:val="0"/>
        <w:ind w:firstLine="720"/>
        <w:rPr>
          <w:szCs w:val="24"/>
          <w:lang w:eastAsia="lt-LT"/>
        </w:rPr>
      </w:pPr>
    </w:p>
    <w:p w14:paraId="08BBFC73" w14:textId="77777777" w:rsidR="00ED3A7E" w:rsidRPr="000550CF" w:rsidRDefault="00ED3A7E" w:rsidP="00D311A9">
      <w:pPr>
        <w:suppressAutoHyphens/>
        <w:ind w:left="2410" w:hanging="1690"/>
        <w:jc w:val="both"/>
        <w:textAlignment w:val="baseline"/>
        <w:rPr>
          <w:szCs w:val="24"/>
        </w:rPr>
      </w:pPr>
      <w:r>
        <w:rPr>
          <w:b/>
          <w:szCs w:val="24"/>
        </w:rPr>
        <w:t xml:space="preserve">Article 95. </w:t>
      </w:r>
      <w:r>
        <w:rPr>
          <w:b/>
          <w:szCs w:val="24"/>
        </w:rPr>
        <w:tab/>
        <w:t>Cooperation of the supervisory authority with supervisory authorities of other Member States and with ESMA</w:t>
      </w:r>
    </w:p>
    <w:p w14:paraId="2ED0839C" w14:textId="77777777" w:rsidR="00ED3A7E" w:rsidRPr="000550CF" w:rsidRDefault="00ED3A7E" w:rsidP="00F3494E">
      <w:pPr>
        <w:ind w:firstLine="720"/>
        <w:jc w:val="both"/>
      </w:pPr>
      <w:r>
        <w:t>1. The supervisory authority shall cooperate with the supervisory authorities of other Member States for the purpose of performing the functions assigned to it under this Law and other laws. Such cooperation shall include the exchange of information, the participation in conducting inspections or the performance of other supervisory functions at the initiative of any of the supervisory authorities.</w:t>
      </w:r>
    </w:p>
    <w:p w14:paraId="1055BFDE" w14:textId="77777777" w:rsidR="00ED3A7E" w:rsidRPr="000550CF" w:rsidRDefault="00ED3A7E" w:rsidP="00F3494E">
      <w:pPr>
        <w:ind w:firstLine="720"/>
        <w:jc w:val="both"/>
      </w:pPr>
      <w:r>
        <w:t>2. Where a regulated market operating in another Member State provides appropriate arrangements in the Republic of Lithuania so as to facilitate access to and use of the system of remote members established in the Republic of Lithuania and/or trade on that regulated market whereby the operation of the regulated market becomes important in ensuring the orderly functioning of Lithuanian markets in financial instruments and the investor protection, the supervisory authority shall enter into an agreement with the supervisory authority of that regulated market concerning cooperation and the exchange of information.</w:t>
      </w:r>
    </w:p>
    <w:p w14:paraId="44AE6EB8" w14:textId="77777777" w:rsidR="00ED3A7E" w:rsidRPr="000550CF" w:rsidRDefault="00ED3A7E" w:rsidP="00F3494E">
      <w:pPr>
        <w:widowControl w:val="0"/>
        <w:ind w:firstLine="720"/>
        <w:jc w:val="both"/>
        <w:rPr>
          <w:szCs w:val="24"/>
        </w:rPr>
      </w:pPr>
      <w:r>
        <w:t xml:space="preserve">3. Where a regulated market operating in the Republic of Lithuania provides appropriate arrangements in another Member State </w:t>
      </w:r>
      <w:proofErr w:type="gramStart"/>
      <w:r>
        <w:t>so as to</w:t>
      </w:r>
      <w:proofErr w:type="gramEnd"/>
      <w:r>
        <w:t xml:space="preserve"> facilitate access to and use of the system of remote members established in that Member State and/or trade on this regulated market, the provisions of paragraph 2 of this Article shall apply mutatis mutandis.</w:t>
      </w:r>
    </w:p>
    <w:p w14:paraId="72DA5A7A" w14:textId="77777777" w:rsidR="00ED3A7E" w:rsidRPr="000550CF" w:rsidRDefault="00ED3A7E" w:rsidP="00F3494E">
      <w:pPr>
        <w:widowControl w:val="0"/>
        <w:ind w:firstLine="720"/>
        <w:jc w:val="both"/>
        <w:rPr>
          <w:szCs w:val="24"/>
        </w:rPr>
      </w:pPr>
      <w:r>
        <w:t>4. The supervisory authority shall cooperate and provide any further assistance to supervisory authorities of other Member States even in cases where the conduct being investigated does not constitute an infringement of any regulation in force in the Republic of Lithuania.</w:t>
      </w:r>
    </w:p>
    <w:p w14:paraId="3DCDE35F" w14:textId="77777777" w:rsidR="00ED3A7E" w:rsidRPr="000550CF" w:rsidRDefault="00ED3A7E" w:rsidP="00F3494E">
      <w:pPr>
        <w:widowControl w:val="0"/>
        <w:ind w:firstLine="720"/>
        <w:jc w:val="both"/>
        <w:rPr>
          <w:szCs w:val="24"/>
        </w:rPr>
      </w:pPr>
      <w:r>
        <w:t>5. Where there is a good reason to suspect that acts or omissions in other Member States of entities not subject to supervision of the supervisory authority contradict the requirements of the regulations of another Member State, the supervisory authority shall notify this to the supervisory authority of the relevant Member State and to ESMA.</w:t>
      </w:r>
    </w:p>
    <w:p w14:paraId="1E988077" w14:textId="77777777" w:rsidR="00ED3A7E" w:rsidRPr="000550CF" w:rsidRDefault="00ED3A7E" w:rsidP="00F3494E">
      <w:pPr>
        <w:widowControl w:val="0"/>
        <w:ind w:firstLine="720"/>
        <w:jc w:val="both"/>
        <w:rPr>
          <w:szCs w:val="24"/>
        </w:rPr>
      </w:pPr>
      <w:r>
        <w:t>6. Where a supervisory authority of another Member State notifies the supervisory authority of possible infringements of entities subject to its supervision committed in another Member State, the supervisory authority shall immediately take appropriate actions and shall accordingly notify the supervisory authority that had communicated such information and ESMA.</w:t>
      </w:r>
    </w:p>
    <w:p w14:paraId="5B851D9C" w14:textId="77777777" w:rsidR="00ED3A7E" w:rsidRPr="000550CF" w:rsidRDefault="00ED3A7E" w:rsidP="00F3494E">
      <w:pPr>
        <w:widowControl w:val="0"/>
        <w:ind w:firstLine="720"/>
        <w:jc w:val="both"/>
        <w:rPr>
          <w:szCs w:val="24"/>
        </w:rPr>
      </w:pPr>
      <w:r>
        <w:t xml:space="preserve">7. In the case referred to in paragraph 5 of this Article, the supervisory authority shall notify ESMA and the supervisory authority of another Member State of the need to demand persons to reduce the size of a position or exposure or of any limits on the ability of persons to </w:t>
      </w:r>
      <w:proofErr w:type="gramStart"/>
      <w:r>
        <w:t>enter into</w:t>
      </w:r>
      <w:proofErr w:type="gramEnd"/>
      <w:r>
        <w:t xml:space="preserve"> a </w:t>
      </w:r>
      <w:r>
        <w:lastRenderedPageBreak/>
        <w:t>commodity derivative. The supervisory authority shall also include the details of the persons to whom the request or the demand was addressed and the reasons for that, as well as the scope of the limits introduced, including the person concerned, the applicable financial instruments, any limits on the size of positions the person can hold at all times, any exemptions thereto granted in accordance with Article 74 of this Law, and the reasons for such exemptions. The notification referred to in this paragraph shall be communicated to ESMA and to the supervisory authority of another Member State not less than 24 hours before the request or demand is intended to take effect, except where it is not possible to give 24 hours’ notice for valid reasons.</w:t>
      </w:r>
    </w:p>
    <w:p w14:paraId="1CCDD559" w14:textId="77777777" w:rsidR="00ED3A7E" w:rsidRPr="000550CF" w:rsidRDefault="00ED3A7E" w:rsidP="00F3494E">
      <w:pPr>
        <w:ind w:firstLine="720"/>
        <w:jc w:val="both"/>
      </w:pPr>
      <w:r>
        <w:t>8. Where the supervisory authority receives the notification referred to in paragraph 7 of this Article from a supervisory authority of another Member State and is satisfied that this is necessary to achieve the objectives of the supervisory authority of another Member State, the supervisory authority may demand persons to reduce the size of a position or exposure or request the persons not to conclude transactions in commodity derivatives.</w:t>
      </w:r>
    </w:p>
    <w:p w14:paraId="1F7E6B7C" w14:textId="77777777" w:rsidR="00ED3A7E" w:rsidRPr="000550CF" w:rsidRDefault="00ED3A7E" w:rsidP="00F3494E">
      <w:pPr>
        <w:widowControl w:val="0"/>
        <w:ind w:firstLine="720"/>
        <w:jc w:val="both"/>
        <w:rPr>
          <w:szCs w:val="24"/>
        </w:rPr>
      </w:pPr>
      <w:r>
        <w:t>9. Where the actions referred to in paragraph 5 of this Article relate to wholesale energy products, notification referred to in paragraph 7 of this Article shall also be communicated to the Agency for the Cooperation of Energy Regulators (ACER).</w:t>
      </w:r>
    </w:p>
    <w:p w14:paraId="4FEE37B5" w14:textId="77777777" w:rsidR="00ED3A7E" w:rsidRPr="000550CF" w:rsidRDefault="00ED3A7E" w:rsidP="00F3494E">
      <w:pPr>
        <w:widowControl w:val="0"/>
        <w:ind w:firstLine="720"/>
        <w:jc w:val="both"/>
        <w:rPr>
          <w:szCs w:val="24"/>
        </w:rPr>
      </w:pPr>
      <w:r>
        <w:t>10. Where the actions referred to in paragraphs 5, 7 and 8 of this Article relate to emission allowances, the supervisory authority shall cooperate with public bodies and institutions competent for the oversight of spot and auction markets and with competent authorities, registry administrators and other public bodies supervising the compliance with requirements of the Law on Law on Financial Instruments for Climate Change Management.</w:t>
      </w:r>
    </w:p>
    <w:p w14:paraId="00DBF56C" w14:textId="77777777" w:rsidR="00ED3A7E" w:rsidRPr="000550CF" w:rsidRDefault="00ED3A7E" w:rsidP="00F3494E">
      <w:pPr>
        <w:widowControl w:val="0"/>
        <w:ind w:firstLine="720"/>
        <w:jc w:val="both"/>
        <w:rPr>
          <w:szCs w:val="24"/>
        </w:rPr>
      </w:pPr>
      <w:r>
        <w:t xml:space="preserve">11. Where the actions referred to in paragraph 5 of this Article relate to agricultural commodity derivatives, the supervisory authority shall cooperate with the institution competent for the oversight, </w:t>
      </w:r>
      <w:proofErr w:type="gramStart"/>
      <w:r>
        <w:t>administration</w:t>
      </w:r>
      <w:proofErr w:type="gramEnd"/>
      <w:r>
        <w:t xml:space="preserve"> and regulation of physical agricultural markets under Regulation (EU) No 1308/2013.</w:t>
      </w:r>
    </w:p>
    <w:p w14:paraId="1162DB79" w14:textId="77777777" w:rsidR="00ED3A7E" w:rsidRPr="000550CF" w:rsidRDefault="00ED3A7E" w:rsidP="00F3494E">
      <w:pPr>
        <w:ind w:firstLine="720"/>
        <w:jc w:val="both"/>
      </w:pPr>
      <w:r>
        <w:t>12. The Supervisory Authority shall inform the European Commission and ESMA of any general difficulties encountered by financial brokerage firms established in the Republic of Lithuania when exercising their right of establishment or providing investment services in third countries.</w:t>
      </w:r>
    </w:p>
    <w:p w14:paraId="188A5D05" w14:textId="77777777" w:rsidR="00ED3A7E" w:rsidRPr="000550CF" w:rsidRDefault="00ED3A7E" w:rsidP="00F3494E">
      <w:pPr>
        <w:widowControl w:val="0"/>
        <w:ind w:firstLine="720"/>
        <w:jc w:val="both"/>
        <w:rPr>
          <w:szCs w:val="24"/>
          <w:lang w:eastAsia="lt-LT"/>
        </w:rPr>
      </w:pPr>
    </w:p>
    <w:p w14:paraId="0F1F404E" w14:textId="77777777" w:rsidR="00ED3A7E" w:rsidRPr="000550CF" w:rsidRDefault="00ED3A7E" w:rsidP="00F3494E">
      <w:pPr>
        <w:widowControl w:val="0"/>
        <w:ind w:firstLine="720"/>
        <w:jc w:val="both"/>
        <w:rPr>
          <w:szCs w:val="24"/>
        </w:rPr>
      </w:pPr>
      <w:r>
        <w:rPr>
          <w:b/>
          <w:szCs w:val="24"/>
        </w:rPr>
        <w:t xml:space="preserve">Article 96. Cooperation </w:t>
      </w:r>
      <w:r>
        <w:rPr>
          <w:b/>
        </w:rPr>
        <w:t xml:space="preserve">in carrying out supervision and </w:t>
      </w:r>
      <w:proofErr w:type="gramStart"/>
      <w:r>
        <w:rPr>
          <w:b/>
        </w:rPr>
        <w:t>inspections</w:t>
      </w:r>
      <w:proofErr w:type="gramEnd"/>
    </w:p>
    <w:p w14:paraId="3CF2A400" w14:textId="77777777" w:rsidR="00ED3A7E" w:rsidRPr="000550CF" w:rsidRDefault="00ED3A7E" w:rsidP="00F3494E">
      <w:pPr>
        <w:widowControl w:val="0"/>
        <w:ind w:firstLine="720"/>
        <w:jc w:val="both"/>
        <w:rPr>
          <w:szCs w:val="24"/>
        </w:rPr>
      </w:pPr>
      <w:r>
        <w:t>1. The supervisory authority shall cooperate with supervisory authorities of other Member States in performing supervisory functions and inspections. To that end, the supervisory authority may request supervisory authorities of other Member States to provide information or assistance.</w:t>
      </w:r>
    </w:p>
    <w:p w14:paraId="438A63E9" w14:textId="77777777" w:rsidR="00ED3A7E" w:rsidRPr="000550CF" w:rsidRDefault="00ED3A7E" w:rsidP="00F3494E">
      <w:pPr>
        <w:widowControl w:val="0"/>
        <w:ind w:firstLine="720"/>
        <w:jc w:val="both"/>
        <w:rPr>
          <w:szCs w:val="24"/>
        </w:rPr>
      </w:pPr>
      <w:r>
        <w:t>2. Where a financial brokerage firm established in another Member State is a remote member of a regulated market operating in the Republic of Lithuania, the supervisory authority shall have a right to exercise the functions of the supervisory authority of a regulated market by addressing the financial brokerage firm directly. In that case, the supervisory authority shall be informed of the actions taken in respect of the remote member of the regulated market.</w:t>
      </w:r>
    </w:p>
    <w:p w14:paraId="2F27C3F4" w14:textId="77777777" w:rsidR="00ED3A7E" w:rsidRPr="000550CF" w:rsidRDefault="00ED3A7E" w:rsidP="00F3494E">
      <w:pPr>
        <w:widowControl w:val="0"/>
        <w:ind w:firstLine="720"/>
        <w:jc w:val="both"/>
        <w:rPr>
          <w:szCs w:val="24"/>
        </w:rPr>
      </w:pPr>
      <w:r>
        <w:t xml:space="preserve">3. A supervisory authority of another Member State may apply to the supervisory authority requesting to cooperation </w:t>
      </w:r>
      <w:proofErr w:type="gramStart"/>
      <w:r>
        <w:t>and,</w:t>
      </w:r>
      <w:proofErr w:type="gramEnd"/>
      <w:r>
        <w:t xml:space="preserve"> having received the latter’s consent, perform the investigation independently, and also request such inspection to be conducted by the supervisory authority or be delegated to auditors or experts. The inspections shall be conducted in accordance with the procedure established by the Law on the Bank of Lithuania.</w:t>
      </w:r>
    </w:p>
    <w:p w14:paraId="2395271B" w14:textId="77777777" w:rsidR="00ED3A7E" w:rsidRPr="000550CF" w:rsidRDefault="00ED3A7E" w:rsidP="00F3494E">
      <w:pPr>
        <w:widowControl w:val="0"/>
        <w:ind w:firstLine="720"/>
        <w:jc w:val="both"/>
        <w:rPr>
          <w:szCs w:val="24"/>
          <w:lang w:eastAsia="lt-LT"/>
        </w:rPr>
      </w:pPr>
    </w:p>
    <w:p w14:paraId="2C0A0AE1" w14:textId="77777777" w:rsidR="00ED3A7E" w:rsidRPr="000550CF" w:rsidRDefault="00ED3A7E" w:rsidP="00F3494E">
      <w:pPr>
        <w:widowControl w:val="0"/>
        <w:ind w:firstLine="720"/>
        <w:jc w:val="both"/>
        <w:rPr>
          <w:b/>
          <w:szCs w:val="24"/>
        </w:rPr>
      </w:pPr>
      <w:r>
        <w:rPr>
          <w:b/>
          <w:szCs w:val="24"/>
        </w:rPr>
        <w:t xml:space="preserve">Article 97. </w:t>
      </w:r>
      <w:r>
        <w:rPr>
          <w:b/>
        </w:rPr>
        <w:t>Exchange of information</w:t>
      </w:r>
    </w:p>
    <w:p w14:paraId="18502BF0" w14:textId="77777777" w:rsidR="00ED3A7E" w:rsidRPr="000550CF" w:rsidRDefault="00ED3A7E" w:rsidP="00F3494E">
      <w:pPr>
        <w:widowControl w:val="0"/>
        <w:ind w:firstLine="720"/>
        <w:jc w:val="both"/>
        <w:rPr>
          <w:szCs w:val="24"/>
        </w:rPr>
      </w:pPr>
      <w:r>
        <w:t>1. When performing the functions assigned to it under this Law, the supervisory authority shall exchange the information with supervisory authorities of other Member States.</w:t>
      </w:r>
    </w:p>
    <w:p w14:paraId="56B253A1" w14:textId="77777777" w:rsidR="00ED3A7E" w:rsidRPr="000550CF" w:rsidRDefault="00ED3A7E" w:rsidP="00F3494E">
      <w:pPr>
        <w:widowControl w:val="0"/>
        <w:ind w:firstLine="720"/>
        <w:jc w:val="both"/>
        <w:rPr>
          <w:szCs w:val="24"/>
        </w:rPr>
      </w:pPr>
      <w:r>
        <w:t>2. When communicating the information to a supervisory authority of another Member State, the supervisory authority may indicate at the time of communication that such information must not be disclosed to third parties without a prior consent of the supervisory authority. When giving its consent to disclose the information to third parties, in which case such information may be exchanged solely for the purposes for which those authorities gave their agreement.</w:t>
      </w:r>
    </w:p>
    <w:p w14:paraId="123F1F3C" w14:textId="77777777" w:rsidR="00ED3A7E" w:rsidRPr="000550CF" w:rsidRDefault="00ED3A7E" w:rsidP="00F3494E">
      <w:pPr>
        <w:widowControl w:val="0"/>
        <w:ind w:firstLine="720"/>
        <w:jc w:val="both"/>
        <w:rPr>
          <w:szCs w:val="24"/>
        </w:rPr>
      </w:pPr>
      <w:r>
        <w:lastRenderedPageBreak/>
        <w:t>3. The Supervisory Authority shall have a right to forward the information received from other Member States or from third-country supervisory authorities to other natural or legal persons only upon an advance consent of another Member State or the supervisory authority of another Member State or a third-country supervisory authority to communicate the provided information and only for the purposes expressly indicated in the consent, unless the communication without such consent or for purposes other than indicated in the consent would be justifiable in view of the existing circumstances. In the latter case the supervisory authority shall immediately inform about that the notifying supervisory authority of another Member State or the third-country supervisory authority.</w:t>
      </w:r>
    </w:p>
    <w:p w14:paraId="1A9DE8D0" w14:textId="77777777" w:rsidR="00ED3A7E" w:rsidRPr="000550CF" w:rsidRDefault="00ED3A7E" w:rsidP="00F3494E">
      <w:pPr>
        <w:widowControl w:val="0"/>
        <w:ind w:firstLine="720"/>
        <w:jc w:val="both"/>
        <w:rPr>
          <w:szCs w:val="24"/>
        </w:rPr>
      </w:pPr>
      <w:r>
        <w:t>4. The supervisory authority and other persons referred to in paragraph 3 of this Article shall have a right to use the confidential information obtained in accordance with the procedure set out in this Article only in performing the supervisory functions, i.e.:</w:t>
      </w:r>
    </w:p>
    <w:p w14:paraId="36F926E4" w14:textId="77777777" w:rsidR="00ED3A7E" w:rsidRPr="000550CF" w:rsidRDefault="00ED3A7E" w:rsidP="00F3494E">
      <w:pPr>
        <w:widowControl w:val="0"/>
        <w:ind w:firstLine="720"/>
        <w:jc w:val="both"/>
        <w:rPr>
          <w:szCs w:val="24"/>
        </w:rPr>
      </w:pPr>
      <w:r>
        <w:t xml:space="preserve">1) to check that the conditions for obtaining a certain licence are met by supervised entities and to monitor the compliance with the organisational requirements and the conduct of that business requirements, especially with regard to the capital adequacy requirements, administrative and accounting procedures and </w:t>
      </w:r>
      <w:proofErr w:type="gramStart"/>
      <w:r>
        <w:t>internal-control</w:t>
      </w:r>
      <w:proofErr w:type="gramEnd"/>
      <w:r>
        <w:t xml:space="preserve"> mechanisms;</w:t>
      </w:r>
    </w:p>
    <w:p w14:paraId="0F55BC91" w14:textId="77777777" w:rsidR="00ED3A7E" w:rsidRPr="000550CF" w:rsidRDefault="00ED3A7E" w:rsidP="00F3494E">
      <w:pPr>
        <w:widowControl w:val="0"/>
        <w:ind w:firstLine="720"/>
        <w:jc w:val="both"/>
        <w:rPr>
          <w:szCs w:val="24"/>
        </w:rPr>
      </w:pPr>
      <w:r>
        <w:t xml:space="preserve">2) to monitor the proper functioning of trading </w:t>
      </w:r>
      <w:proofErr w:type="gramStart"/>
      <w:r>
        <w:t>venues;</w:t>
      </w:r>
      <w:proofErr w:type="gramEnd"/>
    </w:p>
    <w:p w14:paraId="672FC1F1" w14:textId="77777777" w:rsidR="00ED3A7E" w:rsidRPr="000550CF" w:rsidRDefault="00ED3A7E" w:rsidP="00F3494E">
      <w:pPr>
        <w:widowControl w:val="0"/>
        <w:ind w:firstLine="720"/>
        <w:jc w:val="both"/>
        <w:rPr>
          <w:szCs w:val="24"/>
        </w:rPr>
      </w:pPr>
      <w:r>
        <w:t xml:space="preserve">3) to impose </w:t>
      </w:r>
      <w:proofErr w:type="gramStart"/>
      <w:r>
        <w:t>sanctions;</w:t>
      </w:r>
      <w:proofErr w:type="gramEnd"/>
    </w:p>
    <w:p w14:paraId="2E302E64" w14:textId="77777777" w:rsidR="00ED3A7E" w:rsidRPr="000550CF" w:rsidRDefault="00ED3A7E" w:rsidP="00F3494E">
      <w:pPr>
        <w:widowControl w:val="0"/>
        <w:ind w:firstLine="720"/>
        <w:jc w:val="both"/>
        <w:rPr>
          <w:szCs w:val="24"/>
        </w:rPr>
      </w:pPr>
      <w:r>
        <w:t xml:space="preserve">4) in administrative appeals against decisions of supervisory authorities in the manner defined in the Law on Public </w:t>
      </w:r>
      <w:proofErr w:type="gramStart"/>
      <w:r>
        <w:t>Administration;</w:t>
      </w:r>
      <w:proofErr w:type="gramEnd"/>
    </w:p>
    <w:p w14:paraId="09708521" w14:textId="77777777" w:rsidR="00ED3A7E" w:rsidRPr="000550CF" w:rsidRDefault="00ED3A7E" w:rsidP="00F3494E">
      <w:pPr>
        <w:widowControl w:val="0"/>
        <w:ind w:firstLine="720"/>
        <w:jc w:val="both"/>
        <w:rPr>
          <w:szCs w:val="24"/>
        </w:rPr>
      </w:pPr>
      <w:r>
        <w:t xml:space="preserve">5) in court proceedings initiated against decisions of supervisory </w:t>
      </w:r>
      <w:proofErr w:type="gramStart"/>
      <w:r>
        <w:t>authorities;</w:t>
      </w:r>
      <w:proofErr w:type="gramEnd"/>
    </w:p>
    <w:p w14:paraId="3CAFEB73" w14:textId="77777777" w:rsidR="00ED3A7E" w:rsidRPr="000550CF" w:rsidRDefault="00ED3A7E" w:rsidP="00F3494E">
      <w:pPr>
        <w:widowControl w:val="0"/>
        <w:ind w:firstLine="720"/>
        <w:jc w:val="both"/>
        <w:rPr>
          <w:szCs w:val="24"/>
        </w:rPr>
      </w:pPr>
      <w:r>
        <w:t>6) in the extra-judicial (alternative) mechanisms for investor complaints.</w:t>
      </w:r>
    </w:p>
    <w:p w14:paraId="43E877EA" w14:textId="77777777" w:rsidR="00ED3A7E" w:rsidRPr="000550CF" w:rsidRDefault="00ED3A7E" w:rsidP="00F3494E">
      <w:pPr>
        <w:ind w:firstLine="720"/>
        <w:jc w:val="both"/>
      </w:pPr>
      <w:r>
        <w:t>5. Where the supervisory authority becomes aware that the actions prohibited by Regulation (EU) No 596/2014 are being performed or have been performed in the territory of another Member State or are related to financial instruments traded on a regulated market, an MTF or an OTF of such Member State, the supervisory authority shall notify the supervisory authority of the Member State concerned.</w:t>
      </w:r>
      <w:r>
        <w:rPr>
          <w:i/>
        </w:rPr>
        <w:t xml:space="preserve"> </w:t>
      </w:r>
    </w:p>
    <w:p w14:paraId="484D1D61" w14:textId="1FAEA971" w:rsidR="00ED3A7E" w:rsidRDefault="00ED3A7E" w:rsidP="00F3494E">
      <w:pPr>
        <w:widowControl w:val="0"/>
        <w:ind w:firstLine="720"/>
        <w:jc w:val="both"/>
        <w:rPr>
          <w:szCs w:val="24"/>
        </w:rPr>
      </w:pPr>
      <w:r>
        <w:t>6. The supervisory authority may report to ESMA about the cases of refusal of the supervisory authority of another Member State to act on the request for cooperation under Article 96 of this Law or the request for exchange information under this Article or about the failure to take any actions in this regard within the reasonable time limit.</w:t>
      </w:r>
    </w:p>
    <w:p w14:paraId="153CF027" w14:textId="77777777" w:rsidR="00421B2C" w:rsidRDefault="00421B2C" w:rsidP="00421B2C">
      <w:pPr>
        <w:spacing w:line="360" w:lineRule="atLeast"/>
        <w:ind w:firstLine="720"/>
        <w:jc w:val="both"/>
        <w:rPr>
          <w:color w:val="000000"/>
        </w:rPr>
      </w:pPr>
      <w:r>
        <w:rPr>
          <w:color w:val="000000"/>
        </w:rPr>
        <w:t>7. The information that is exchanged for the purposes of paragraph 1 of this Article, in the supervision of financial brokerage firms in accordance with this Law and Regulation (EU) 2019/2033, shall include information on the management and ownership structure of the financial brokerage firm, own funds, concentration risks, compliance with liquidity coverage requirements, administrative and accounting procedures, internal control mechanisms, other important factors that may affect the risks posed by the financial brokerage firm.</w:t>
      </w:r>
    </w:p>
    <w:p w14:paraId="5DD5BA5E" w14:textId="77777777" w:rsidR="00421B2C" w:rsidRDefault="00421B2C" w:rsidP="00421B2C">
      <w:pPr>
        <w:rPr>
          <w:color w:val="000000"/>
        </w:rPr>
      </w:pPr>
      <w:r>
        <w:rPr>
          <w:i/>
          <w:iCs/>
          <w:color w:val="000000"/>
          <w:sz w:val="20"/>
        </w:rPr>
        <w:t>Supplemented with the paragraph to the Article:</w:t>
      </w:r>
    </w:p>
    <w:p w14:paraId="349BAA49" w14:textId="396E8509" w:rsidR="00421B2C" w:rsidRDefault="00421B2C" w:rsidP="00421B2C">
      <w:pPr>
        <w:jc w:val="both"/>
        <w:rPr>
          <w:color w:val="000000"/>
        </w:rPr>
      </w:pPr>
      <w:r>
        <w:rPr>
          <w:i/>
          <w:iCs/>
          <w:color w:val="000000"/>
          <w:sz w:val="20"/>
        </w:rPr>
        <w:t xml:space="preserve">No </w:t>
      </w:r>
      <w:hyperlink r:id="rId159" w:tgtFrame="_parent" w:history="1">
        <w:r>
          <w:rPr>
            <w:rStyle w:val="Hyperlink"/>
            <w:i/>
            <w:iCs/>
            <w:sz w:val="20"/>
          </w:rPr>
          <w:t>XIV-821</w:t>
        </w:r>
      </w:hyperlink>
      <w:r>
        <w:rPr>
          <w:i/>
          <w:iCs/>
          <w:color w:val="000000"/>
          <w:sz w:val="20"/>
        </w:rPr>
        <w:t>, 23/12/2021, published in the RLA, 30/12/2021, ID code 2021-27710</w:t>
      </w:r>
    </w:p>
    <w:p w14:paraId="52E07A60" w14:textId="77777777" w:rsidR="00421B2C" w:rsidRDefault="00421B2C" w:rsidP="00421B2C">
      <w:pPr>
        <w:spacing w:line="360" w:lineRule="atLeast"/>
        <w:ind w:firstLine="720"/>
        <w:jc w:val="both"/>
        <w:rPr>
          <w:color w:val="000000"/>
        </w:rPr>
      </w:pPr>
      <w:bookmarkStart w:id="273" w:name="part_11b3a735531a4559911bcb7c3a5879d1"/>
      <w:bookmarkEnd w:id="273"/>
      <w:r>
        <w:rPr>
          <w:color w:val="000000"/>
        </w:rPr>
        <w:t>8. The supervisory authority shall immediately provide the supervisory authorities of the host Member State with any information and data obtained during the supervision of the activities of a financial brokerage firm, about possible problems and risks posed to the clients of the financial brokerage firm or to the stability of the financial system of the host Member State.</w:t>
      </w:r>
    </w:p>
    <w:p w14:paraId="08C39623" w14:textId="77777777" w:rsidR="00421B2C" w:rsidRDefault="00421B2C" w:rsidP="00421B2C">
      <w:pPr>
        <w:rPr>
          <w:color w:val="000000"/>
        </w:rPr>
      </w:pPr>
      <w:r>
        <w:rPr>
          <w:i/>
          <w:iCs/>
          <w:color w:val="000000"/>
          <w:sz w:val="20"/>
        </w:rPr>
        <w:t>Supplemented with the paragraph to the Article:</w:t>
      </w:r>
    </w:p>
    <w:p w14:paraId="4A80A8BC" w14:textId="748C85CF" w:rsidR="00421B2C" w:rsidRDefault="00421B2C" w:rsidP="00421B2C">
      <w:pPr>
        <w:jc w:val="both"/>
        <w:rPr>
          <w:color w:val="000000"/>
        </w:rPr>
      </w:pPr>
      <w:r>
        <w:rPr>
          <w:i/>
          <w:iCs/>
          <w:color w:val="000000"/>
          <w:sz w:val="20"/>
        </w:rPr>
        <w:t xml:space="preserve">No </w:t>
      </w:r>
      <w:hyperlink r:id="rId160" w:tgtFrame="_parent" w:history="1">
        <w:r>
          <w:rPr>
            <w:rStyle w:val="Hyperlink"/>
            <w:i/>
            <w:iCs/>
            <w:sz w:val="20"/>
          </w:rPr>
          <w:t>XIV-821</w:t>
        </w:r>
      </w:hyperlink>
      <w:r>
        <w:rPr>
          <w:i/>
          <w:iCs/>
          <w:color w:val="000000"/>
          <w:sz w:val="20"/>
        </w:rPr>
        <w:t>, 23/12/2021, published in the RLA, 30/12/2021, ID code 2021-27710</w:t>
      </w:r>
    </w:p>
    <w:p w14:paraId="44D60140" w14:textId="77777777" w:rsidR="00421B2C" w:rsidRDefault="00421B2C" w:rsidP="00421B2C">
      <w:pPr>
        <w:spacing w:line="360" w:lineRule="atLeast"/>
        <w:ind w:firstLine="720"/>
        <w:jc w:val="both"/>
        <w:rPr>
          <w:color w:val="000000"/>
        </w:rPr>
      </w:pPr>
      <w:bookmarkStart w:id="274" w:name="part_1f7d762aeff8445283d3bf65f883202a"/>
      <w:bookmarkEnd w:id="274"/>
      <w:r>
        <w:rPr>
          <w:color w:val="000000"/>
        </w:rPr>
        <w:t xml:space="preserve">9. The supervisory authority, upon receipt of the information provided by the supervisory authorities of the host Member State, shall take all necessary measures to avoid or eliminate the possible problems and risks referred to in paragraph 8 of this Article.  At the request of the supervisory </w:t>
      </w:r>
      <w:r>
        <w:rPr>
          <w:color w:val="000000"/>
        </w:rPr>
        <w:lastRenderedPageBreak/>
        <w:t xml:space="preserve">authorities of the host Member State, the supervisory authority shall explain how it </w:t>
      </w:r>
      <w:proofErr w:type="gramStart"/>
      <w:r>
        <w:rPr>
          <w:color w:val="000000"/>
        </w:rPr>
        <w:t>took into account</w:t>
      </w:r>
      <w:proofErr w:type="gramEnd"/>
      <w:r>
        <w:rPr>
          <w:color w:val="000000"/>
        </w:rPr>
        <w:t xml:space="preserve"> the information provided by them.</w:t>
      </w:r>
    </w:p>
    <w:p w14:paraId="60FABCA1" w14:textId="77777777" w:rsidR="00421B2C" w:rsidRDefault="00421B2C" w:rsidP="00421B2C">
      <w:pPr>
        <w:rPr>
          <w:color w:val="000000"/>
        </w:rPr>
      </w:pPr>
      <w:r>
        <w:rPr>
          <w:i/>
          <w:iCs/>
          <w:color w:val="000000"/>
          <w:sz w:val="20"/>
        </w:rPr>
        <w:t>Supplemented with the paragraph to the Article:</w:t>
      </w:r>
    </w:p>
    <w:p w14:paraId="7CF9F768" w14:textId="7C01DA52" w:rsidR="00421B2C" w:rsidRDefault="00421B2C" w:rsidP="00421B2C">
      <w:pPr>
        <w:jc w:val="both"/>
        <w:rPr>
          <w:color w:val="000000"/>
        </w:rPr>
      </w:pPr>
      <w:r>
        <w:rPr>
          <w:i/>
          <w:iCs/>
          <w:color w:val="000000"/>
          <w:sz w:val="20"/>
        </w:rPr>
        <w:t xml:space="preserve">No </w:t>
      </w:r>
      <w:hyperlink r:id="rId161" w:tgtFrame="_parent" w:history="1">
        <w:r>
          <w:rPr>
            <w:rStyle w:val="Hyperlink"/>
            <w:i/>
            <w:iCs/>
            <w:sz w:val="20"/>
          </w:rPr>
          <w:t>XIV-821</w:t>
        </w:r>
      </w:hyperlink>
      <w:r>
        <w:rPr>
          <w:i/>
          <w:iCs/>
          <w:color w:val="000000"/>
          <w:sz w:val="20"/>
        </w:rPr>
        <w:t>, 23/12/2021, published in the RLA, 30/12/2021, ID code 2021-27710</w:t>
      </w:r>
    </w:p>
    <w:p w14:paraId="1C953ACF" w14:textId="77777777" w:rsidR="00421B2C" w:rsidRDefault="00421B2C" w:rsidP="00421B2C">
      <w:pPr>
        <w:spacing w:line="360" w:lineRule="atLeast"/>
        <w:ind w:firstLine="720"/>
        <w:jc w:val="both"/>
        <w:rPr>
          <w:color w:val="000000"/>
        </w:rPr>
      </w:pPr>
      <w:bookmarkStart w:id="275" w:name="part_4f62835a0181421096624b63e3132e96"/>
      <w:bookmarkEnd w:id="275"/>
      <w:r>
        <w:rPr>
          <w:color w:val="000000"/>
        </w:rPr>
        <w:t>10. Where the supervisory authority, having received information and data from the supervisory authority of the home Member State about possible problems and risks posed to the clients of the financial brokerage company in the Republic of Lithuania or to the stability of the financial system of the Republic of Lithuania, has data that the supervisory authority of the home Member State has not taken all measures necessary for avoiding or eliminating possible problems and risks, it may, after notifying the supervisory authorities of the home Member State, the European Banking Authority and the European Securities and Markets Authority, take measures to protect the clients served or the stability of the financial system.  The supervisory authority may refer to the European Banking Authority when a request for cooperation, in particular a request to exchange information, is rejected or not responded to within the time limit specified in the request.</w:t>
      </w:r>
    </w:p>
    <w:p w14:paraId="23FDCB93" w14:textId="77777777" w:rsidR="00421B2C" w:rsidRDefault="00421B2C" w:rsidP="00421B2C">
      <w:pPr>
        <w:rPr>
          <w:color w:val="000000"/>
        </w:rPr>
      </w:pPr>
      <w:r>
        <w:rPr>
          <w:i/>
          <w:iCs/>
          <w:color w:val="000000"/>
          <w:sz w:val="20"/>
        </w:rPr>
        <w:t>Supplemented with the paragraph to the Article:</w:t>
      </w:r>
    </w:p>
    <w:p w14:paraId="3A1A5E65" w14:textId="140F02ED" w:rsidR="00421B2C" w:rsidRDefault="00421B2C" w:rsidP="00421B2C">
      <w:pPr>
        <w:jc w:val="both"/>
        <w:rPr>
          <w:color w:val="000000"/>
        </w:rPr>
      </w:pPr>
      <w:r>
        <w:rPr>
          <w:i/>
          <w:iCs/>
          <w:color w:val="000000"/>
          <w:sz w:val="20"/>
        </w:rPr>
        <w:t xml:space="preserve">No </w:t>
      </w:r>
      <w:hyperlink r:id="rId162" w:tgtFrame="_parent" w:history="1">
        <w:r>
          <w:rPr>
            <w:rStyle w:val="Hyperlink"/>
            <w:i/>
            <w:iCs/>
            <w:sz w:val="20"/>
          </w:rPr>
          <w:t>XIV-821</w:t>
        </w:r>
      </w:hyperlink>
      <w:r>
        <w:rPr>
          <w:i/>
          <w:iCs/>
          <w:color w:val="000000"/>
          <w:sz w:val="20"/>
        </w:rPr>
        <w:t>, 23/12/2021, published in the RLA, 30/12/2021, ID code 2021-27710</w:t>
      </w:r>
    </w:p>
    <w:p w14:paraId="20A41B6A" w14:textId="77777777" w:rsidR="00421B2C" w:rsidRDefault="00421B2C" w:rsidP="00421B2C">
      <w:pPr>
        <w:spacing w:line="360" w:lineRule="atLeast"/>
        <w:ind w:firstLine="720"/>
        <w:jc w:val="both"/>
        <w:rPr>
          <w:color w:val="000000"/>
        </w:rPr>
      </w:pPr>
      <w:bookmarkStart w:id="276" w:name="part_405dcc9c87584fd7b55e57e7ccbd73b0"/>
      <w:bookmarkEnd w:id="276"/>
      <w:r>
        <w:rPr>
          <w:color w:val="000000"/>
        </w:rPr>
        <w:t>11. Where the supervisory authority does not approve of the measures taken by the supervisory authorities of the host Member State and which are necessary to avoid or eliminate possible problems and risks in accordance with paragraph 9 of this Article, it may apply to the European Banking Authority.</w:t>
      </w:r>
    </w:p>
    <w:p w14:paraId="52BC795D" w14:textId="77777777" w:rsidR="00421B2C" w:rsidRDefault="00421B2C" w:rsidP="00421B2C">
      <w:pPr>
        <w:rPr>
          <w:color w:val="000000"/>
        </w:rPr>
      </w:pPr>
      <w:r>
        <w:rPr>
          <w:i/>
          <w:iCs/>
          <w:color w:val="000000"/>
          <w:sz w:val="20"/>
        </w:rPr>
        <w:t>Supplemented with the paragraph to the Article:</w:t>
      </w:r>
    </w:p>
    <w:p w14:paraId="512264FE" w14:textId="75A06B3F" w:rsidR="00421B2C" w:rsidRDefault="00421B2C" w:rsidP="00421B2C">
      <w:pPr>
        <w:jc w:val="both"/>
        <w:rPr>
          <w:color w:val="000000"/>
        </w:rPr>
      </w:pPr>
      <w:r>
        <w:rPr>
          <w:i/>
          <w:iCs/>
          <w:color w:val="000000"/>
          <w:sz w:val="20"/>
        </w:rPr>
        <w:t xml:space="preserve">No </w:t>
      </w:r>
      <w:hyperlink r:id="rId163" w:tgtFrame="_parent" w:history="1">
        <w:r>
          <w:rPr>
            <w:rStyle w:val="Hyperlink"/>
            <w:i/>
            <w:iCs/>
            <w:sz w:val="20"/>
          </w:rPr>
          <w:t>XIV-821</w:t>
        </w:r>
      </w:hyperlink>
      <w:r>
        <w:rPr>
          <w:i/>
          <w:iCs/>
          <w:color w:val="000000"/>
          <w:sz w:val="20"/>
        </w:rPr>
        <w:t>, 23/12/2021, published in the RLA, 30/12/2021, ID code 2021-27710</w:t>
      </w:r>
    </w:p>
    <w:p w14:paraId="2F894BAD" w14:textId="77777777" w:rsidR="00421B2C" w:rsidRDefault="00421B2C" w:rsidP="00421B2C">
      <w:pPr>
        <w:spacing w:line="360" w:lineRule="atLeast"/>
        <w:ind w:firstLine="720"/>
        <w:jc w:val="both"/>
        <w:rPr>
          <w:color w:val="000000"/>
        </w:rPr>
      </w:pPr>
      <w:bookmarkStart w:id="277" w:name="part_4aa34fbf60434350951dba487ebda79d"/>
      <w:bookmarkEnd w:id="277"/>
      <w:r>
        <w:rPr>
          <w:color w:val="000000"/>
        </w:rPr>
        <w:t>12. In order to assess the condition referred to in point (c) of the first paragraph of Article 23(1) of Regulation (EU) 2019/2033, the supervisory authority may request that the competent authority of the clearing member’s home Member State provide information on the model and parameters of initial margins applied to the calculation of the initial margin of the financial brokerage firm.</w:t>
      </w:r>
    </w:p>
    <w:p w14:paraId="4128F8CD" w14:textId="77777777" w:rsidR="00421B2C" w:rsidRDefault="00421B2C" w:rsidP="00421B2C">
      <w:pPr>
        <w:rPr>
          <w:color w:val="000000"/>
        </w:rPr>
      </w:pPr>
      <w:r>
        <w:rPr>
          <w:i/>
          <w:iCs/>
          <w:color w:val="000000"/>
          <w:sz w:val="20"/>
        </w:rPr>
        <w:t>Supplemented with the paragraph to the Article:</w:t>
      </w:r>
    </w:p>
    <w:p w14:paraId="5BDD98DA" w14:textId="77777777" w:rsidR="00421B2C" w:rsidRDefault="00421B2C" w:rsidP="00421B2C">
      <w:pPr>
        <w:jc w:val="both"/>
        <w:rPr>
          <w:color w:val="000000"/>
        </w:rPr>
      </w:pPr>
      <w:r>
        <w:rPr>
          <w:i/>
          <w:iCs/>
          <w:color w:val="000000"/>
          <w:sz w:val="20"/>
        </w:rPr>
        <w:t xml:space="preserve">No </w:t>
      </w:r>
      <w:hyperlink r:id="rId164" w:tgtFrame="_parent" w:history="1">
        <w:r>
          <w:rPr>
            <w:rStyle w:val="Hyperlink"/>
            <w:i/>
            <w:iCs/>
            <w:sz w:val="20"/>
          </w:rPr>
          <w:t>XIV-821</w:t>
        </w:r>
      </w:hyperlink>
      <w:r>
        <w:rPr>
          <w:i/>
          <w:iCs/>
          <w:color w:val="000000"/>
          <w:sz w:val="20"/>
        </w:rPr>
        <w:t>, 23/12/2021, published in the RLA, 30/12/2021, ID code 2021-27710</w:t>
      </w:r>
    </w:p>
    <w:p w14:paraId="0AA724D4" w14:textId="77777777" w:rsidR="00421B2C" w:rsidRPr="000550CF" w:rsidRDefault="00421B2C" w:rsidP="00F3494E">
      <w:pPr>
        <w:widowControl w:val="0"/>
        <w:ind w:firstLine="720"/>
        <w:jc w:val="both"/>
        <w:rPr>
          <w:szCs w:val="24"/>
          <w:lang w:eastAsia="lt-LT"/>
        </w:rPr>
      </w:pPr>
    </w:p>
    <w:p w14:paraId="516CF61E" w14:textId="77777777" w:rsidR="00ED3A7E" w:rsidRPr="000550CF" w:rsidRDefault="00ED3A7E" w:rsidP="00421B2C">
      <w:pPr>
        <w:widowControl w:val="0"/>
        <w:jc w:val="both"/>
        <w:rPr>
          <w:szCs w:val="24"/>
          <w:lang w:eastAsia="lt-LT"/>
        </w:rPr>
      </w:pPr>
    </w:p>
    <w:p w14:paraId="5C2ABB9B" w14:textId="77777777" w:rsidR="00ED3A7E" w:rsidRPr="000550CF" w:rsidRDefault="00ED3A7E" w:rsidP="00F3494E">
      <w:pPr>
        <w:widowControl w:val="0"/>
        <w:ind w:firstLine="720"/>
        <w:jc w:val="both"/>
        <w:rPr>
          <w:szCs w:val="24"/>
        </w:rPr>
      </w:pPr>
      <w:r>
        <w:rPr>
          <w:b/>
          <w:szCs w:val="24"/>
        </w:rPr>
        <w:t xml:space="preserve">Article 98. Refusal to </w:t>
      </w:r>
      <w:proofErr w:type="gramStart"/>
      <w:r>
        <w:rPr>
          <w:b/>
          <w:szCs w:val="24"/>
        </w:rPr>
        <w:t>cooperate</w:t>
      </w:r>
      <w:proofErr w:type="gramEnd"/>
    </w:p>
    <w:p w14:paraId="6E6C19EC" w14:textId="77777777" w:rsidR="00ED3A7E" w:rsidRPr="000550CF" w:rsidRDefault="00ED3A7E" w:rsidP="00F3494E">
      <w:pPr>
        <w:widowControl w:val="0"/>
        <w:ind w:firstLine="720"/>
        <w:jc w:val="both"/>
        <w:rPr>
          <w:szCs w:val="24"/>
        </w:rPr>
      </w:pPr>
      <w:r>
        <w:t>1. The supervisory authority may refuse to act on a request for cooperation or assistance in carrying out an inspection or performing other supervisory functions as provided for in Article 96 of this Law or to exchange information as provided for in Article 97 of this Law only where:</w:t>
      </w:r>
    </w:p>
    <w:p w14:paraId="442B7329" w14:textId="77777777" w:rsidR="00ED3A7E" w:rsidRPr="000550CF" w:rsidRDefault="00ED3A7E" w:rsidP="00F3494E">
      <w:pPr>
        <w:widowControl w:val="0"/>
        <w:ind w:firstLine="720"/>
        <w:jc w:val="both"/>
        <w:rPr>
          <w:szCs w:val="24"/>
        </w:rPr>
      </w:pPr>
      <w:r>
        <w:t xml:space="preserve">1) judicial proceedings have already been initiated in respect of the same actions and the same persons in the Republic of </w:t>
      </w:r>
      <w:proofErr w:type="gramStart"/>
      <w:r>
        <w:t>Lithuania;</w:t>
      </w:r>
      <w:proofErr w:type="gramEnd"/>
    </w:p>
    <w:p w14:paraId="51EDD29F" w14:textId="77777777" w:rsidR="00ED3A7E" w:rsidRPr="000550CF" w:rsidRDefault="00ED3A7E" w:rsidP="00F3494E">
      <w:pPr>
        <w:widowControl w:val="0"/>
        <w:ind w:firstLine="720"/>
        <w:jc w:val="both"/>
        <w:rPr>
          <w:szCs w:val="24"/>
        </w:rPr>
      </w:pPr>
      <w:r>
        <w:t>2) final judgment has already been delivered in the Republic of Lithuania addressed in respect of the same persons and the same actions.</w:t>
      </w:r>
    </w:p>
    <w:p w14:paraId="2BB5F8BA" w14:textId="77777777" w:rsidR="00ED3A7E" w:rsidRPr="000550CF" w:rsidRDefault="00ED3A7E" w:rsidP="00F3494E">
      <w:pPr>
        <w:ind w:firstLine="720"/>
        <w:jc w:val="both"/>
      </w:pPr>
      <w:r>
        <w:t>2. Where the supervisory authority exercises the right referred to in paragraph 1 of this Article, the supervisory authority shall notify the supervisory authority of another Member State which requested to provide information or other assistance and ESMA accordingly, indicating the reasons for the refusal to cooperate.</w:t>
      </w:r>
    </w:p>
    <w:p w14:paraId="7F13BEAC" w14:textId="77777777" w:rsidR="00ED3A7E" w:rsidRPr="000550CF" w:rsidRDefault="00ED3A7E" w:rsidP="00F3494E">
      <w:pPr>
        <w:widowControl w:val="0"/>
        <w:ind w:firstLine="720"/>
        <w:jc w:val="both"/>
        <w:rPr>
          <w:szCs w:val="24"/>
          <w:lang w:eastAsia="lt-LT"/>
        </w:rPr>
      </w:pPr>
    </w:p>
    <w:p w14:paraId="3386DB26" w14:textId="77777777" w:rsidR="00ED3A7E" w:rsidRPr="000550CF" w:rsidRDefault="00ED3A7E" w:rsidP="00F3494E">
      <w:pPr>
        <w:widowControl w:val="0"/>
        <w:ind w:firstLine="720"/>
        <w:jc w:val="both"/>
        <w:rPr>
          <w:szCs w:val="24"/>
        </w:rPr>
      </w:pPr>
      <w:r>
        <w:rPr>
          <w:b/>
          <w:szCs w:val="24"/>
        </w:rPr>
        <w:t xml:space="preserve">Article 99. </w:t>
      </w:r>
      <w:r>
        <w:rPr>
          <w:b/>
        </w:rPr>
        <w:t>Exchange of information with third-country supervisory authorities</w:t>
      </w:r>
      <w:r>
        <w:t xml:space="preserve"> </w:t>
      </w:r>
    </w:p>
    <w:p w14:paraId="579214A6" w14:textId="77777777" w:rsidR="00ED3A7E" w:rsidRPr="000550CF" w:rsidRDefault="00ED3A7E" w:rsidP="00F3494E">
      <w:pPr>
        <w:widowControl w:val="0"/>
        <w:ind w:firstLine="720"/>
        <w:jc w:val="both"/>
        <w:rPr>
          <w:szCs w:val="24"/>
        </w:rPr>
      </w:pPr>
      <w:r>
        <w:t xml:space="preserve">1. In performing the supervisory functions assigned to it, the supervisory authority may conclude cooperation agreements providing for the exchange of information with the third-country </w:t>
      </w:r>
      <w:r>
        <w:lastRenderedPageBreak/>
        <w:t>supervisory authorities of only if the information disclosed is subject to guarantees of professional secrecy at least equivalent to those required under Article 43 of the Law on the Bank of Lithuania. Transfer of personal data to a third-country supervisory authority shall be in accordance with the Law of the Republic of Lithuania on Legal Protection of Personal Data.</w:t>
      </w:r>
    </w:p>
    <w:p w14:paraId="1A2F07F6" w14:textId="77777777" w:rsidR="00ED3A7E" w:rsidRPr="000550CF" w:rsidRDefault="00ED3A7E" w:rsidP="00F3494E">
      <w:pPr>
        <w:widowControl w:val="0"/>
        <w:ind w:firstLine="720"/>
        <w:jc w:val="both"/>
        <w:rPr>
          <w:szCs w:val="24"/>
        </w:rPr>
      </w:pPr>
      <w:r>
        <w:t>2. In performing the supervisory functions, the supervisory authority may also conclude cooperation agreements providing for the exchange of information with entities from third countries, if the communicated confidential information is subject to the information protection requirements at least equivalent to those required under Article 43 of the Law on the Bank of Lithuania. The agreements may be concluded with third-country supervisory authorities and natural or legal persons responsible for:</w:t>
      </w:r>
    </w:p>
    <w:p w14:paraId="6A25E78E" w14:textId="3C2FF5DD" w:rsidR="00FE507A" w:rsidRPr="00FE507A" w:rsidRDefault="00ED3A7E" w:rsidP="00FE507A">
      <w:pPr>
        <w:spacing w:line="360" w:lineRule="atLeast"/>
        <w:ind w:firstLine="720"/>
        <w:jc w:val="both"/>
        <w:rPr>
          <w:color w:val="000000"/>
          <w:szCs w:val="24"/>
        </w:rPr>
      </w:pPr>
      <w:r>
        <w:t xml:space="preserve">1) the supervision of credit institutions, financial institutions, other financial institutions, insurance companies and financial markets, including entities authorised to act as central counterparties recognized in accordance with Article 25 of Regulation (EU) </w:t>
      </w:r>
      <w:proofErr w:type="gramStart"/>
      <w:r>
        <w:t>648/2012;</w:t>
      </w:r>
      <w:proofErr w:type="gramEnd"/>
    </w:p>
    <w:p w14:paraId="4B31169D" w14:textId="77777777" w:rsidR="00FE507A" w:rsidRDefault="00FE507A" w:rsidP="00FE507A">
      <w:pPr>
        <w:rPr>
          <w:color w:val="000000"/>
          <w:sz w:val="27"/>
          <w:szCs w:val="27"/>
        </w:rPr>
      </w:pPr>
      <w:r>
        <w:rPr>
          <w:i/>
          <w:iCs/>
          <w:color w:val="000000"/>
          <w:sz w:val="20"/>
        </w:rPr>
        <w:t>Amendments to the paragraph of the Article:</w:t>
      </w:r>
    </w:p>
    <w:p w14:paraId="353D71AF" w14:textId="77777777" w:rsidR="00FE507A" w:rsidRDefault="00FE507A" w:rsidP="00FE507A">
      <w:pPr>
        <w:jc w:val="both"/>
        <w:rPr>
          <w:color w:val="000000"/>
          <w:sz w:val="27"/>
          <w:szCs w:val="27"/>
        </w:rPr>
      </w:pPr>
      <w:r>
        <w:rPr>
          <w:i/>
          <w:iCs/>
          <w:color w:val="000000"/>
          <w:sz w:val="20"/>
        </w:rPr>
        <w:t xml:space="preserve">No </w:t>
      </w:r>
      <w:hyperlink r:id="rId165" w:tgtFrame="_parent" w:history="1">
        <w:r>
          <w:rPr>
            <w:rStyle w:val="Hyperlink"/>
            <w:i/>
            <w:iCs/>
            <w:sz w:val="20"/>
          </w:rPr>
          <w:t>XIV-821</w:t>
        </w:r>
      </w:hyperlink>
      <w:r>
        <w:rPr>
          <w:i/>
          <w:iCs/>
          <w:color w:val="000000"/>
          <w:sz w:val="20"/>
        </w:rPr>
        <w:t>, 23/12/2021, published in the RLA, 30/12/2021, ID code 2021-27710</w:t>
      </w:r>
    </w:p>
    <w:p w14:paraId="1951322D" w14:textId="113F0897" w:rsidR="00ED3A7E" w:rsidRPr="000550CF" w:rsidRDefault="00ED3A7E" w:rsidP="00F3494E">
      <w:pPr>
        <w:widowControl w:val="0"/>
        <w:ind w:firstLine="720"/>
        <w:jc w:val="both"/>
        <w:rPr>
          <w:szCs w:val="24"/>
          <w:lang w:eastAsia="lt-LT"/>
        </w:rPr>
      </w:pPr>
    </w:p>
    <w:p w14:paraId="5AFE989A" w14:textId="77777777" w:rsidR="00ED3A7E" w:rsidRPr="000550CF" w:rsidRDefault="00ED3A7E" w:rsidP="00F3494E">
      <w:pPr>
        <w:widowControl w:val="0"/>
        <w:ind w:firstLine="720"/>
        <w:jc w:val="both"/>
        <w:rPr>
          <w:szCs w:val="24"/>
        </w:rPr>
      </w:pPr>
      <w:r>
        <w:t xml:space="preserve">2) the liquidation and bankruptcy of financial brokerage firms and other similar </w:t>
      </w:r>
      <w:proofErr w:type="gramStart"/>
      <w:r>
        <w:t>procedures;</w:t>
      </w:r>
      <w:proofErr w:type="gramEnd"/>
    </w:p>
    <w:p w14:paraId="10247263" w14:textId="5DB1CE66" w:rsidR="00FE507A" w:rsidRPr="00FE507A" w:rsidRDefault="00ED3A7E" w:rsidP="00FE507A">
      <w:pPr>
        <w:spacing w:line="360" w:lineRule="atLeast"/>
        <w:ind w:firstLine="720"/>
        <w:jc w:val="both"/>
        <w:rPr>
          <w:color w:val="000000"/>
          <w:szCs w:val="24"/>
        </w:rPr>
      </w:pPr>
      <w:r>
        <w:t xml:space="preserve">3) the performance of mandatory statutory audits of the financial statements of financial brokerage firms, credit institutions, financial institutions, other financial institutions and insurance companies in the performance of their supervisory functions, or which administer the schemes of insurance of obligations to investors, in the performance of the supervisory </w:t>
      </w:r>
      <w:proofErr w:type="gramStart"/>
      <w:r>
        <w:t>functions;</w:t>
      </w:r>
      <w:proofErr w:type="gramEnd"/>
    </w:p>
    <w:p w14:paraId="6144EB6C" w14:textId="77777777" w:rsidR="00FE507A" w:rsidRDefault="00FE507A" w:rsidP="00FE507A">
      <w:pPr>
        <w:rPr>
          <w:color w:val="000000"/>
          <w:sz w:val="27"/>
          <w:szCs w:val="27"/>
        </w:rPr>
      </w:pPr>
      <w:r>
        <w:rPr>
          <w:i/>
          <w:iCs/>
          <w:color w:val="000000"/>
          <w:sz w:val="20"/>
        </w:rPr>
        <w:t>Amendments to the paragraph of the Article:</w:t>
      </w:r>
    </w:p>
    <w:p w14:paraId="2C087590" w14:textId="77777777" w:rsidR="00FE507A" w:rsidRDefault="00FE507A" w:rsidP="00FE507A">
      <w:pPr>
        <w:jc w:val="both"/>
        <w:rPr>
          <w:color w:val="000000"/>
          <w:sz w:val="27"/>
          <w:szCs w:val="27"/>
        </w:rPr>
      </w:pPr>
      <w:r>
        <w:rPr>
          <w:i/>
          <w:iCs/>
          <w:color w:val="000000"/>
          <w:sz w:val="20"/>
        </w:rPr>
        <w:t xml:space="preserve">No </w:t>
      </w:r>
      <w:hyperlink r:id="rId166" w:tgtFrame="_parent" w:history="1">
        <w:r>
          <w:rPr>
            <w:rStyle w:val="Hyperlink"/>
            <w:i/>
            <w:iCs/>
            <w:sz w:val="20"/>
          </w:rPr>
          <w:t>XIV-821</w:t>
        </w:r>
      </w:hyperlink>
      <w:r>
        <w:rPr>
          <w:i/>
          <w:iCs/>
          <w:color w:val="000000"/>
          <w:sz w:val="20"/>
        </w:rPr>
        <w:t>, 23/12/2021, published in the RLA, 30/12/2021, ID code 2021-27710</w:t>
      </w:r>
    </w:p>
    <w:p w14:paraId="743124E2" w14:textId="5B92DB4B" w:rsidR="00ED3A7E" w:rsidRPr="000550CF" w:rsidRDefault="00ED3A7E" w:rsidP="00F3494E">
      <w:pPr>
        <w:ind w:firstLine="720"/>
        <w:jc w:val="both"/>
        <w:rPr>
          <w:lang w:eastAsia="lt-LT"/>
        </w:rPr>
      </w:pPr>
    </w:p>
    <w:p w14:paraId="1C60E33F" w14:textId="77777777" w:rsidR="00ED3A7E" w:rsidRPr="000550CF" w:rsidRDefault="00ED3A7E" w:rsidP="00F3494E">
      <w:pPr>
        <w:widowControl w:val="0"/>
        <w:ind w:firstLine="720"/>
        <w:jc w:val="both"/>
        <w:rPr>
          <w:szCs w:val="24"/>
        </w:rPr>
      </w:pPr>
      <w:r>
        <w:t xml:space="preserve">4) oversight of persons involved in the liquidation and bankruptcy of financial brokerage firms and other similar </w:t>
      </w:r>
      <w:proofErr w:type="gramStart"/>
      <w:r>
        <w:t>procedures;</w:t>
      </w:r>
      <w:proofErr w:type="gramEnd"/>
    </w:p>
    <w:p w14:paraId="61457A0D" w14:textId="737B44F4" w:rsidR="00FE507A" w:rsidRPr="00FE507A" w:rsidRDefault="00ED3A7E" w:rsidP="00FE507A">
      <w:pPr>
        <w:spacing w:line="360" w:lineRule="atLeast"/>
        <w:ind w:firstLine="720"/>
        <w:jc w:val="both"/>
        <w:rPr>
          <w:color w:val="000000"/>
          <w:szCs w:val="24"/>
        </w:rPr>
      </w:pPr>
      <w:r>
        <w:t xml:space="preserve">5) oversight of persons charged with carrying out statutory audits of financial statements of insurance undertakings, credit institutions, financial brokerage firms, financial institutions and other financial </w:t>
      </w:r>
      <w:proofErr w:type="gramStart"/>
      <w:r>
        <w:t>institutions;</w:t>
      </w:r>
      <w:proofErr w:type="gramEnd"/>
    </w:p>
    <w:p w14:paraId="41683DA8" w14:textId="77777777" w:rsidR="00FE507A" w:rsidRDefault="00FE507A" w:rsidP="00FE507A">
      <w:pPr>
        <w:rPr>
          <w:color w:val="000000"/>
          <w:sz w:val="27"/>
          <w:szCs w:val="27"/>
        </w:rPr>
      </w:pPr>
      <w:r>
        <w:rPr>
          <w:i/>
          <w:iCs/>
          <w:color w:val="000000"/>
          <w:sz w:val="20"/>
        </w:rPr>
        <w:t>Amendments to the paragraph of the Article:</w:t>
      </w:r>
    </w:p>
    <w:p w14:paraId="57123650" w14:textId="77777777" w:rsidR="00FE507A" w:rsidRDefault="00FE507A" w:rsidP="00FE507A">
      <w:pPr>
        <w:jc w:val="both"/>
        <w:rPr>
          <w:color w:val="000000"/>
          <w:sz w:val="27"/>
          <w:szCs w:val="27"/>
        </w:rPr>
      </w:pPr>
      <w:r>
        <w:rPr>
          <w:i/>
          <w:iCs/>
          <w:color w:val="000000"/>
          <w:sz w:val="20"/>
        </w:rPr>
        <w:t xml:space="preserve">No </w:t>
      </w:r>
      <w:hyperlink r:id="rId167" w:tgtFrame="_parent" w:history="1">
        <w:r>
          <w:rPr>
            <w:rStyle w:val="Hyperlink"/>
            <w:i/>
            <w:iCs/>
            <w:sz w:val="20"/>
          </w:rPr>
          <w:t>XIV-821</w:t>
        </w:r>
      </w:hyperlink>
      <w:r>
        <w:rPr>
          <w:i/>
          <w:iCs/>
          <w:color w:val="000000"/>
          <w:sz w:val="20"/>
        </w:rPr>
        <w:t>, 23/12/2021, published in the RLA, 30/12/2021, ID code 2021-27710</w:t>
      </w:r>
    </w:p>
    <w:p w14:paraId="4BFAA627" w14:textId="70BA848F" w:rsidR="00ED3A7E" w:rsidRPr="000550CF" w:rsidRDefault="00ED3A7E" w:rsidP="00F3494E">
      <w:pPr>
        <w:widowControl w:val="0"/>
        <w:ind w:firstLine="720"/>
        <w:jc w:val="both"/>
        <w:rPr>
          <w:szCs w:val="24"/>
          <w:lang w:eastAsia="lt-LT"/>
        </w:rPr>
      </w:pPr>
    </w:p>
    <w:p w14:paraId="69C4FDD5" w14:textId="77777777" w:rsidR="00ED3A7E" w:rsidRPr="000550CF" w:rsidRDefault="00ED3A7E" w:rsidP="00F3494E">
      <w:pPr>
        <w:widowControl w:val="0"/>
        <w:ind w:firstLine="720"/>
        <w:jc w:val="both"/>
        <w:rPr>
          <w:szCs w:val="24"/>
        </w:rPr>
      </w:pPr>
      <w:r>
        <w:t xml:space="preserve">6) oversight of persons active on emission allowance markets for the purpose of ensuring a consolidated overview of financial and spot </w:t>
      </w:r>
      <w:proofErr w:type="gramStart"/>
      <w:r>
        <w:t>markets;</w:t>
      </w:r>
      <w:proofErr w:type="gramEnd"/>
    </w:p>
    <w:p w14:paraId="454AC226" w14:textId="77777777" w:rsidR="00ED3A7E" w:rsidRPr="000550CF" w:rsidRDefault="00ED3A7E" w:rsidP="00F3494E">
      <w:pPr>
        <w:widowControl w:val="0"/>
        <w:ind w:firstLine="720"/>
        <w:jc w:val="both"/>
        <w:rPr>
          <w:szCs w:val="24"/>
        </w:rPr>
      </w:pPr>
      <w:r>
        <w:t>7) oversight of persons active on agricultural commodity derivatives markets for the purpose of ensuring a consolidated overview of financial and spot markets.</w:t>
      </w:r>
    </w:p>
    <w:p w14:paraId="6007099D" w14:textId="77777777" w:rsidR="00ED3A7E" w:rsidRPr="000550CF" w:rsidRDefault="00ED3A7E" w:rsidP="00F3494E">
      <w:pPr>
        <w:widowControl w:val="0"/>
        <w:ind w:firstLine="720"/>
        <w:jc w:val="both"/>
        <w:rPr>
          <w:szCs w:val="24"/>
        </w:rPr>
      </w:pPr>
      <w:r>
        <w:t>3. Where the information requested by a third-country supervisory authority originates in another Member State, it may not be disclosed without a prior consent of the supervisory authority which have transmitted it and, where appropriate, solely for the purposes for which those authorities gave their consent.</w:t>
      </w:r>
    </w:p>
    <w:p w14:paraId="0908B5C3" w14:textId="77777777" w:rsidR="00ED3A7E" w:rsidRPr="000550CF" w:rsidRDefault="00ED3A7E" w:rsidP="00F3494E">
      <w:pPr>
        <w:widowControl w:val="0"/>
        <w:ind w:firstLine="720"/>
        <w:jc w:val="both"/>
        <w:rPr>
          <w:szCs w:val="24"/>
        </w:rPr>
      </w:pPr>
      <w:r>
        <w:t>4. Provisions of paragraph 3 of this Article mutatis mutandis shall apply to the information received from third-country supervisory authorities.</w:t>
      </w:r>
    </w:p>
    <w:p w14:paraId="2E31B8A2" w14:textId="77777777" w:rsidR="00ED3A7E" w:rsidRPr="000550CF" w:rsidRDefault="00ED3A7E" w:rsidP="00F3494E">
      <w:pPr>
        <w:widowControl w:val="0"/>
        <w:ind w:firstLine="720"/>
        <w:jc w:val="both"/>
        <w:rPr>
          <w:szCs w:val="24"/>
          <w:lang w:eastAsia="lt-LT"/>
        </w:rPr>
      </w:pPr>
    </w:p>
    <w:p w14:paraId="4484DA92" w14:textId="77777777" w:rsidR="00ED3A7E" w:rsidRPr="000550CF" w:rsidRDefault="00ED3A7E" w:rsidP="00F3494E">
      <w:pPr>
        <w:widowControl w:val="0"/>
        <w:ind w:firstLine="720"/>
        <w:jc w:val="both"/>
        <w:rPr>
          <w:szCs w:val="24"/>
        </w:rPr>
      </w:pPr>
      <w:r>
        <w:rPr>
          <w:b/>
          <w:szCs w:val="24"/>
        </w:rPr>
        <w:t xml:space="preserve">Article 100. </w:t>
      </w:r>
      <w:r>
        <w:rPr>
          <w:b/>
        </w:rPr>
        <w:t>Relations with auditors</w:t>
      </w:r>
    </w:p>
    <w:p w14:paraId="37C1E3F6" w14:textId="77777777" w:rsidR="00ED3A7E" w:rsidRPr="000550CF" w:rsidRDefault="00ED3A7E" w:rsidP="00F3494E">
      <w:pPr>
        <w:widowControl w:val="0"/>
        <w:ind w:firstLine="720"/>
        <w:jc w:val="both"/>
        <w:rPr>
          <w:szCs w:val="24"/>
        </w:rPr>
      </w:pPr>
      <w:r>
        <w:t>1. In performing the audit in a financial brokerage firm, a market operator or a transaction data reporting services provider, the auditor shall have a duty to report promptly to the supervisory authority any circumstances or facts which are liable to:</w:t>
      </w:r>
    </w:p>
    <w:p w14:paraId="245334CD" w14:textId="77777777" w:rsidR="00ED3A7E" w:rsidRPr="000550CF" w:rsidRDefault="00ED3A7E" w:rsidP="00F3494E">
      <w:pPr>
        <w:widowControl w:val="0"/>
        <w:ind w:firstLine="720"/>
        <w:jc w:val="both"/>
        <w:rPr>
          <w:szCs w:val="24"/>
        </w:rPr>
      </w:pPr>
      <w:r>
        <w:t xml:space="preserve">1) constitute a material infringement of the laws, regulations or administrative provisions which lay down the conditions governing the licensing </w:t>
      </w:r>
      <w:proofErr w:type="gramStart"/>
      <w:r>
        <w:t>conditions</w:t>
      </w:r>
      <w:proofErr w:type="gramEnd"/>
      <w:r>
        <w:t xml:space="preserve"> or which specifically govern pursuit of the activities of firms, or</w:t>
      </w:r>
    </w:p>
    <w:p w14:paraId="271D6D8C" w14:textId="77777777" w:rsidR="00ED3A7E" w:rsidRPr="000550CF" w:rsidRDefault="00ED3A7E" w:rsidP="00F3494E">
      <w:pPr>
        <w:widowControl w:val="0"/>
        <w:ind w:firstLine="720"/>
        <w:jc w:val="both"/>
        <w:rPr>
          <w:szCs w:val="24"/>
        </w:rPr>
      </w:pPr>
      <w:r>
        <w:lastRenderedPageBreak/>
        <w:t>2) affect the continuous functioning of the firm, or</w:t>
      </w:r>
    </w:p>
    <w:p w14:paraId="2F005BDE" w14:textId="77777777" w:rsidR="00ED3A7E" w:rsidRPr="000550CF" w:rsidRDefault="00ED3A7E" w:rsidP="00F3494E">
      <w:pPr>
        <w:widowControl w:val="0"/>
        <w:ind w:firstLine="720"/>
        <w:jc w:val="both"/>
        <w:rPr>
          <w:szCs w:val="24"/>
        </w:rPr>
      </w:pPr>
      <w:r>
        <w:t>3) lead to refusal to certify the accounts or to the expression of reservations.</w:t>
      </w:r>
    </w:p>
    <w:p w14:paraId="3BD11C7B" w14:textId="77777777" w:rsidR="00ED3A7E" w:rsidRPr="000550CF" w:rsidRDefault="00ED3A7E" w:rsidP="00F3494E">
      <w:pPr>
        <w:widowControl w:val="0"/>
        <w:ind w:firstLine="720"/>
        <w:jc w:val="both"/>
        <w:rPr>
          <w:szCs w:val="24"/>
        </w:rPr>
      </w:pPr>
      <w:r>
        <w:t xml:space="preserve">2. The auditor shall also have a duty to report to the supervisory authority the facts and circumstances referred to in paragraph 1 of this Article of which the person becomes aware </w:t>
      </w:r>
      <w:proofErr w:type="gramStart"/>
      <w:r>
        <w:t>in the course of</w:t>
      </w:r>
      <w:proofErr w:type="gramEnd"/>
      <w:r>
        <w:t xml:space="preserve"> the audit in an undertaking having close links with the financial brokerage firm within which he is carrying out that audit.</w:t>
      </w:r>
    </w:p>
    <w:p w14:paraId="603E6370" w14:textId="77777777" w:rsidR="00ED3A7E" w:rsidRPr="000550CF" w:rsidRDefault="00ED3A7E" w:rsidP="00F3494E">
      <w:pPr>
        <w:widowControl w:val="0"/>
        <w:ind w:firstLine="720"/>
        <w:jc w:val="both"/>
        <w:rPr>
          <w:szCs w:val="24"/>
        </w:rPr>
      </w:pPr>
      <w:r>
        <w:t>3. The disclosure of information to the supervisory authority referred to in paragraphs 1 and 2 of this Article shall not constitute a breach of any legal or contractual restriction on disclosure of confidential information and shall not entail any negative consequences for the auditor.</w:t>
      </w:r>
    </w:p>
    <w:p w14:paraId="5479A7D6" w14:textId="77777777" w:rsidR="00ED3A7E" w:rsidRPr="000550CF" w:rsidRDefault="00ED3A7E" w:rsidP="00F3494E">
      <w:pPr>
        <w:widowControl w:val="0"/>
        <w:ind w:firstLine="720"/>
        <w:jc w:val="both"/>
        <w:rPr>
          <w:szCs w:val="24"/>
          <w:lang w:eastAsia="lt-LT"/>
        </w:rPr>
      </w:pPr>
    </w:p>
    <w:p w14:paraId="5A28A903" w14:textId="77777777" w:rsidR="00ED3A7E" w:rsidRPr="000550CF" w:rsidRDefault="00ED3A7E" w:rsidP="00F3494E">
      <w:pPr>
        <w:widowControl w:val="0"/>
        <w:ind w:firstLine="720"/>
        <w:jc w:val="both"/>
        <w:rPr>
          <w:szCs w:val="24"/>
        </w:rPr>
      </w:pPr>
      <w:r>
        <w:rPr>
          <w:b/>
          <w:szCs w:val="24"/>
        </w:rPr>
        <w:t>Article 101. Alternative (extra-judicial) mechanism for investor disputes</w:t>
      </w:r>
    </w:p>
    <w:p w14:paraId="64E8C3FC" w14:textId="77777777" w:rsidR="00ED3A7E" w:rsidRPr="000550CF" w:rsidRDefault="00ED3A7E" w:rsidP="00F3494E">
      <w:pPr>
        <w:widowControl w:val="0"/>
        <w:ind w:firstLine="720"/>
        <w:jc w:val="both"/>
        <w:rPr>
          <w:szCs w:val="24"/>
        </w:rPr>
      </w:pPr>
      <w:r>
        <w:t>1. The supervisory authority shall encourage the setting-up of bodies ensuring the effective and efficient procedures for the out-of-court settlement of disputes of investors and firms providing investment services.</w:t>
      </w:r>
    </w:p>
    <w:p w14:paraId="50B389F7" w14:textId="77777777" w:rsidR="00ED3A7E" w:rsidRPr="000550CF" w:rsidRDefault="00ED3A7E" w:rsidP="00F3494E">
      <w:pPr>
        <w:widowControl w:val="0"/>
        <w:ind w:firstLine="720"/>
        <w:jc w:val="both"/>
        <w:rPr>
          <w:szCs w:val="24"/>
        </w:rPr>
      </w:pPr>
      <w:r>
        <w:t>2. The bodies referred to in paragraph 1 of this Article shall not be prevented from exchanging information and data, including the cases where the resolution of a dispute is attributable to the jurisdictions of more than one Member State.</w:t>
      </w:r>
    </w:p>
    <w:p w14:paraId="12C0A665" w14:textId="77777777" w:rsidR="00ED3A7E" w:rsidRPr="000550CF" w:rsidRDefault="00ED3A7E" w:rsidP="00F3494E">
      <w:pPr>
        <w:widowControl w:val="0"/>
        <w:ind w:firstLine="720"/>
        <w:jc w:val="both"/>
        <w:rPr>
          <w:szCs w:val="24"/>
        </w:rPr>
      </w:pPr>
      <w:r>
        <w:t>3. The supervisory authority shall report to ESMA the procedures of lodging and settlement of complaint falling within its competence in the out-of-court resolution of investor disputes.</w:t>
      </w:r>
    </w:p>
    <w:p w14:paraId="03BC261F" w14:textId="77777777" w:rsidR="00ED3A7E" w:rsidRPr="000550CF" w:rsidRDefault="00ED3A7E" w:rsidP="00F3494E">
      <w:pPr>
        <w:widowControl w:val="0"/>
        <w:ind w:firstLine="720"/>
        <w:jc w:val="both"/>
        <w:rPr>
          <w:szCs w:val="24"/>
          <w:lang w:eastAsia="lt-LT"/>
        </w:rPr>
      </w:pPr>
    </w:p>
    <w:p w14:paraId="640F13EE" w14:textId="77777777" w:rsidR="00ED3A7E" w:rsidRPr="000550CF" w:rsidRDefault="00ED3A7E" w:rsidP="00F3494E">
      <w:pPr>
        <w:widowControl w:val="0"/>
        <w:jc w:val="center"/>
        <w:rPr>
          <w:szCs w:val="24"/>
        </w:rPr>
      </w:pPr>
      <w:r>
        <w:rPr>
          <w:b/>
          <w:szCs w:val="24"/>
        </w:rPr>
        <w:t>SECTION THREE</w:t>
      </w:r>
    </w:p>
    <w:p w14:paraId="317C72CB" w14:textId="77777777" w:rsidR="00ED3A7E" w:rsidRPr="000550CF" w:rsidRDefault="00ED3A7E" w:rsidP="00F3494E">
      <w:pPr>
        <w:widowControl w:val="0"/>
        <w:jc w:val="center"/>
        <w:rPr>
          <w:szCs w:val="24"/>
        </w:rPr>
      </w:pPr>
      <w:r>
        <w:rPr>
          <w:b/>
          <w:szCs w:val="24"/>
        </w:rPr>
        <w:t xml:space="preserve">RIGHTS AND POWERS OF THE SUPERVISORY AUTHORITY </w:t>
      </w:r>
    </w:p>
    <w:p w14:paraId="0E4CADB7" w14:textId="77777777" w:rsidR="00ED3A7E" w:rsidRPr="000550CF" w:rsidRDefault="00ED3A7E" w:rsidP="00F3494E">
      <w:pPr>
        <w:widowControl w:val="0"/>
        <w:ind w:firstLine="720"/>
        <w:rPr>
          <w:szCs w:val="24"/>
          <w:lang w:eastAsia="lt-LT"/>
        </w:rPr>
      </w:pPr>
    </w:p>
    <w:p w14:paraId="2EB10266" w14:textId="77777777" w:rsidR="00ED3A7E" w:rsidRPr="000550CF" w:rsidRDefault="00ED3A7E" w:rsidP="00F3494E">
      <w:pPr>
        <w:widowControl w:val="0"/>
        <w:ind w:left="2410" w:hanging="1690"/>
        <w:jc w:val="both"/>
        <w:rPr>
          <w:szCs w:val="24"/>
        </w:rPr>
      </w:pPr>
      <w:r>
        <w:rPr>
          <w:b/>
          <w:szCs w:val="24"/>
        </w:rPr>
        <w:t xml:space="preserve">Article 102. Rights of the supervisory authority in investigating infringements of legal acts regulating the market in financial instruments </w:t>
      </w:r>
    </w:p>
    <w:p w14:paraId="57B5D061" w14:textId="77777777" w:rsidR="00ED3A7E" w:rsidRPr="000550CF" w:rsidRDefault="00ED3A7E" w:rsidP="00F3494E">
      <w:pPr>
        <w:widowControl w:val="0"/>
        <w:ind w:firstLine="720"/>
        <w:jc w:val="both"/>
        <w:rPr>
          <w:szCs w:val="24"/>
        </w:rPr>
      </w:pPr>
      <w:r>
        <w:t>1. The supervisory authority shall organise and carry out inspections to determine the compliance with this Law and other legal acts the supervision over compliance with which falls within the competence of the supervisory authority.</w:t>
      </w:r>
    </w:p>
    <w:p w14:paraId="75080475" w14:textId="77777777" w:rsidR="00ED3A7E" w:rsidRPr="000550CF" w:rsidRDefault="00ED3A7E" w:rsidP="00F3494E">
      <w:pPr>
        <w:widowControl w:val="0"/>
        <w:ind w:firstLine="720"/>
        <w:jc w:val="both"/>
        <w:rPr>
          <w:szCs w:val="24"/>
        </w:rPr>
      </w:pPr>
      <w:r>
        <w:t>2. Requirements for inspections arranged by the supervisory authority are set out in Article 42</w:t>
      </w:r>
      <w:r>
        <w:rPr>
          <w:bCs/>
          <w:szCs w:val="24"/>
          <w:vertAlign w:val="superscript"/>
        </w:rPr>
        <w:t>1</w:t>
      </w:r>
      <w:r>
        <w:t xml:space="preserve"> of the Law on the Bank of Lithuania.</w:t>
      </w:r>
      <w:r>
        <w:rPr>
          <w:b/>
          <w:szCs w:val="24"/>
        </w:rPr>
        <w:t xml:space="preserve"> </w:t>
      </w:r>
      <w:r>
        <w:t>In conducting inspections arranged by the supervisory authority, employees of the supervisory shall have the rights established in the Law on the Bank of Lithuania and in this Law.</w:t>
      </w:r>
    </w:p>
    <w:p w14:paraId="22F09782" w14:textId="14E59A07" w:rsidR="00FE507A" w:rsidRPr="00FE507A" w:rsidRDefault="00ED3A7E" w:rsidP="00FE507A">
      <w:pPr>
        <w:spacing w:line="360" w:lineRule="atLeast"/>
        <w:ind w:firstLine="720"/>
        <w:jc w:val="both"/>
        <w:rPr>
          <w:color w:val="000000"/>
          <w:szCs w:val="24"/>
        </w:rPr>
      </w:pPr>
      <w:r>
        <w:t xml:space="preserve">3.  </w:t>
      </w:r>
      <w:r>
        <w:rPr>
          <w:color w:val="000000"/>
          <w:sz w:val="27"/>
          <w:szCs w:val="27"/>
        </w:rPr>
        <w:t> </w:t>
      </w:r>
      <w:r>
        <w:rPr>
          <w:color w:val="000000"/>
          <w:szCs w:val="24"/>
        </w:rPr>
        <w:t>In accordance with the procedure established by the Law on the Bank of Lithuania, the supervisory authority shall have the right to give to a financial brokerage firm, a financial advisor firm, a third-country firm’s branch, a market operator, and a transaction data reporting services provider or a central depositary the following mandatory instructions:</w:t>
      </w:r>
    </w:p>
    <w:p w14:paraId="02F12E7F" w14:textId="77777777" w:rsidR="00FE507A" w:rsidRDefault="00FE507A" w:rsidP="00FE507A">
      <w:pPr>
        <w:rPr>
          <w:color w:val="000000"/>
          <w:sz w:val="27"/>
          <w:szCs w:val="27"/>
        </w:rPr>
      </w:pPr>
      <w:r>
        <w:rPr>
          <w:i/>
          <w:iCs/>
          <w:color w:val="000000"/>
          <w:sz w:val="20"/>
        </w:rPr>
        <w:t>Amendments to the paragraph of the Article:</w:t>
      </w:r>
    </w:p>
    <w:p w14:paraId="7991708F" w14:textId="77777777" w:rsidR="00FE507A" w:rsidRDefault="00FE507A" w:rsidP="00FE507A">
      <w:pPr>
        <w:jc w:val="both"/>
        <w:rPr>
          <w:color w:val="000000"/>
          <w:sz w:val="27"/>
          <w:szCs w:val="27"/>
        </w:rPr>
      </w:pPr>
      <w:r>
        <w:rPr>
          <w:i/>
          <w:iCs/>
          <w:color w:val="000000"/>
          <w:sz w:val="20"/>
        </w:rPr>
        <w:t xml:space="preserve">No </w:t>
      </w:r>
      <w:hyperlink r:id="rId168" w:tgtFrame="_parent" w:history="1">
        <w:r>
          <w:rPr>
            <w:rStyle w:val="Hyperlink"/>
            <w:i/>
            <w:iCs/>
            <w:sz w:val="20"/>
          </w:rPr>
          <w:t>XIII-2252</w:t>
        </w:r>
      </w:hyperlink>
      <w:r>
        <w:rPr>
          <w:i/>
          <w:iCs/>
          <w:color w:val="000000"/>
          <w:sz w:val="20"/>
        </w:rPr>
        <w:t>, 27/06/2019, published in the RLA, 05/07/2019, ID code 2019-11172</w:t>
      </w:r>
    </w:p>
    <w:p w14:paraId="4F9FF9EF" w14:textId="5B982785" w:rsidR="00ED3A7E" w:rsidRPr="000550CF" w:rsidRDefault="00ED3A7E" w:rsidP="00F3494E">
      <w:pPr>
        <w:widowControl w:val="0"/>
        <w:ind w:firstLine="720"/>
        <w:jc w:val="both"/>
        <w:rPr>
          <w:szCs w:val="24"/>
          <w:lang w:eastAsia="lt-LT"/>
        </w:rPr>
      </w:pPr>
    </w:p>
    <w:p w14:paraId="4744225C" w14:textId="77777777" w:rsidR="00ED3A7E" w:rsidRPr="000550CF" w:rsidRDefault="00ED3A7E" w:rsidP="00F3494E">
      <w:pPr>
        <w:widowControl w:val="0"/>
        <w:ind w:firstLine="720"/>
        <w:jc w:val="both"/>
        <w:rPr>
          <w:szCs w:val="24"/>
        </w:rPr>
      </w:pPr>
      <w:r>
        <w:t xml:space="preserve">1) to temporarily halt or terminate trading on a regulated market or another trading venue or the admission of financial instruments to trading on a regulated market or another trading </w:t>
      </w:r>
      <w:proofErr w:type="gramStart"/>
      <w:r>
        <w:t>venue;</w:t>
      </w:r>
      <w:proofErr w:type="gramEnd"/>
      <w:r>
        <w:t xml:space="preserve"> </w:t>
      </w:r>
    </w:p>
    <w:p w14:paraId="1BE709C7" w14:textId="77777777" w:rsidR="00ED3A7E" w:rsidRPr="000550CF" w:rsidRDefault="00ED3A7E" w:rsidP="00F3494E">
      <w:pPr>
        <w:widowControl w:val="0"/>
        <w:ind w:firstLine="720"/>
        <w:jc w:val="both"/>
        <w:rPr>
          <w:szCs w:val="24"/>
        </w:rPr>
      </w:pPr>
      <w:r>
        <w:t xml:space="preserve">2) to eliminate, within its specified time limit, the infringements of legal acts regulating the market in financial instruments or the weaknesses of </w:t>
      </w:r>
      <w:proofErr w:type="gramStart"/>
      <w:r>
        <w:t>activities;</w:t>
      </w:r>
      <w:proofErr w:type="gramEnd"/>
    </w:p>
    <w:p w14:paraId="096ECF6B" w14:textId="77777777" w:rsidR="00ED3A7E" w:rsidRPr="000550CF" w:rsidRDefault="00ED3A7E" w:rsidP="00F3494E">
      <w:pPr>
        <w:widowControl w:val="0"/>
        <w:ind w:firstLine="720"/>
        <w:jc w:val="both"/>
        <w:rPr>
          <w:szCs w:val="24"/>
        </w:rPr>
      </w:pPr>
      <w:r>
        <w:t xml:space="preserve">3) to suspend or terminate the distribution or trade in a particular financial </w:t>
      </w:r>
      <w:proofErr w:type="gramStart"/>
      <w:r>
        <w:t>instrument;</w:t>
      </w:r>
      <w:proofErr w:type="gramEnd"/>
      <w:r>
        <w:t xml:space="preserve"> </w:t>
      </w:r>
    </w:p>
    <w:p w14:paraId="7B17F137" w14:textId="77777777" w:rsidR="00ED3A7E" w:rsidRPr="000550CF" w:rsidRDefault="00ED3A7E" w:rsidP="00F3494E">
      <w:pPr>
        <w:widowControl w:val="0"/>
        <w:ind w:firstLine="720"/>
        <w:jc w:val="both"/>
        <w:rPr>
          <w:szCs w:val="24"/>
        </w:rPr>
      </w:pPr>
      <w:r>
        <w:t xml:space="preserve">4) to terminate or suspend the professional activity related to the investment and/or ancillary </w:t>
      </w:r>
      <w:proofErr w:type="gramStart"/>
      <w:r>
        <w:t>services;</w:t>
      </w:r>
      <w:proofErr w:type="gramEnd"/>
    </w:p>
    <w:p w14:paraId="608DD7C5" w14:textId="77777777" w:rsidR="00ED3A7E" w:rsidRPr="000550CF" w:rsidRDefault="00ED3A7E" w:rsidP="00F3494E">
      <w:pPr>
        <w:ind w:firstLine="720"/>
        <w:jc w:val="both"/>
      </w:pPr>
      <w:r>
        <w:t xml:space="preserve">5) to restore the situation that existed before the infringement of legal acts regulating the market in financial </w:t>
      </w:r>
      <w:proofErr w:type="gramStart"/>
      <w:r>
        <w:t>instruments;</w:t>
      </w:r>
      <w:proofErr w:type="gramEnd"/>
    </w:p>
    <w:p w14:paraId="64F73CF9" w14:textId="52C7EBBB" w:rsidR="00FE507A" w:rsidRPr="00FE507A" w:rsidRDefault="00ED3A7E" w:rsidP="00FE507A">
      <w:pPr>
        <w:spacing w:line="360" w:lineRule="atLeast"/>
        <w:ind w:firstLine="720"/>
        <w:jc w:val="both"/>
        <w:rPr>
          <w:color w:val="000000"/>
          <w:szCs w:val="24"/>
        </w:rPr>
      </w:pPr>
      <w:r>
        <w:t xml:space="preserve">6) for a financial brokerage firm to have own funds that would exceed the own funds requirements set out in this Law and Regulation (EU) </w:t>
      </w:r>
      <w:proofErr w:type="gramStart"/>
      <w:r>
        <w:t>2019/2033;</w:t>
      </w:r>
      <w:proofErr w:type="gramEnd"/>
      <w:r>
        <w:t xml:space="preserve"> </w:t>
      </w:r>
    </w:p>
    <w:p w14:paraId="7BEB1490" w14:textId="77777777" w:rsidR="00FE507A" w:rsidRDefault="00FE507A" w:rsidP="00FE507A">
      <w:pPr>
        <w:rPr>
          <w:color w:val="000000"/>
          <w:sz w:val="27"/>
          <w:szCs w:val="27"/>
        </w:rPr>
      </w:pPr>
      <w:r>
        <w:rPr>
          <w:i/>
          <w:iCs/>
          <w:color w:val="000000"/>
          <w:sz w:val="20"/>
        </w:rPr>
        <w:t>Amendments to the paragraph of the Article:</w:t>
      </w:r>
    </w:p>
    <w:p w14:paraId="0480DF0A" w14:textId="77777777" w:rsidR="00FE507A" w:rsidRDefault="00FE507A" w:rsidP="00FE507A">
      <w:pPr>
        <w:jc w:val="both"/>
        <w:rPr>
          <w:color w:val="000000"/>
          <w:sz w:val="27"/>
          <w:szCs w:val="27"/>
        </w:rPr>
      </w:pPr>
      <w:r>
        <w:rPr>
          <w:i/>
          <w:iCs/>
          <w:color w:val="000000"/>
          <w:sz w:val="20"/>
        </w:rPr>
        <w:lastRenderedPageBreak/>
        <w:t xml:space="preserve">No </w:t>
      </w:r>
      <w:hyperlink r:id="rId169" w:tgtFrame="_parent" w:history="1">
        <w:r>
          <w:rPr>
            <w:rStyle w:val="Hyperlink"/>
            <w:i/>
            <w:iCs/>
            <w:sz w:val="20"/>
          </w:rPr>
          <w:t>XIV-821</w:t>
        </w:r>
      </w:hyperlink>
      <w:r>
        <w:rPr>
          <w:i/>
          <w:iCs/>
          <w:color w:val="000000"/>
          <w:sz w:val="20"/>
        </w:rPr>
        <w:t>, 23/12/2021, published in the RLA, 30/12/2021, ID code 2021-27710</w:t>
      </w:r>
    </w:p>
    <w:p w14:paraId="3C9B8618" w14:textId="5EF92686" w:rsidR="00ED3A7E" w:rsidRPr="000550CF" w:rsidRDefault="00ED3A7E" w:rsidP="00F3494E">
      <w:pPr>
        <w:widowControl w:val="0"/>
        <w:ind w:firstLine="720"/>
        <w:jc w:val="both"/>
        <w:rPr>
          <w:szCs w:val="24"/>
          <w:lang w:eastAsia="lt-LT"/>
        </w:rPr>
      </w:pPr>
    </w:p>
    <w:p w14:paraId="35742547" w14:textId="77777777" w:rsidR="00ED3A7E" w:rsidRPr="000550CF" w:rsidRDefault="00ED3A7E" w:rsidP="00F3494E">
      <w:pPr>
        <w:widowControl w:val="0"/>
        <w:ind w:firstLine="720"/>
        <w:jc w:val="both"/>
        <w:rPr>
          <w:szCs w:val="24"/>
        </w:rPr>
      </w:pPr>
      <w:r>
        <w:t xml:space="preserve">7) to improve the internal control and/or risk management </w:t>
      </w:r>
      <w:proofErr w:type="gramStart"/>
      <w:r>
        <w:t>processes;</w:t>
      </w:r>
      <w:proofErr w:type="gramEnd"/>
      <w:r>
        <w:t xml:space="preserve"> </w:t>
      </w:r>
    </w:p>
    <w:p w14:paraId="43C6F779" w14:textId="77777777" w:rsidR="00ED3A7E" w:rsidRPr="000550CF" w:rsidRDefault="00ED3A7E" w:rsidP="00F3494E">
      <w:pPr>
        <w:widowControl w:val="0"/>
        <w:ind w:firstLine="720"/>
        <w:jc w:val="both"/>
        <w:rPr>
          <w:szCs w:val="24"/>
        </w:rPr>
      </w:pPr>
      <w:r>
        <w:t xml:space="preserve">8) to develop and implement within a plan of measures for elimination of the identified infringements and/or weaknesses acceptable to the supervisory authority within the time limit set </w:t>
      </w:r>
      <w:proofErr w:type="gramStart"/>
      <w:r>
        <w:t>thereby;</w:t>
      </w:r>
      <w:proofErr w:type="gramEnd"/>
      <w:r>
        <w:t xml:space="preserve"> </w:t>
      </w:r>
    </w:p>
    <w:p w14:paraId="4310BF43" w14:textId="77777777" w:rsidR="00ED3A7E" w:rsidRPr="000550CF" w:rsidRDefault="00ED3A7E" w:rsidP="00F3494E">
      <w:pPr>
        <w:widowControl w:val="0"/>
        <w:ind w:firstLine="720"/>
        <w:jc w:val="both"/>
        <w:rPr>
          <w:szCs w:val="24"/>
        </w:rPr>
      </w:pPr>
      <w:r>
        <w:t xml:space="preserve">9) to form additional specific provisions or to properly assess the assets in respect of capital </w:t>
      </w:r>
      <w:proofErr w:type="gramStart"/>
      <w:r>
        <w:t>requirements;</w:t>
      </w:r>
      <w:proofErr w:type="gramEnd"/>
      <w:r>
        <w:t xml:space="preserve"> </w:t>
      </w:r>
    </w:p>
    <w:p w14:paraId="7486532A" w14:textId="77777777" w:rsidR="00ED3A7E" w:rsidRPr="000550CF" w:rsidRDefault="00ED3A7E" w:rsidP="00F3494E">
      <w:pPr>
        <w:widowControl w:val="0"/>
        <w:ind w:firstLine="720"/>
        <w:jc w:val="both"/>
        <w:rPr>
          <w:szCs w:val="24"/>
        </w:rPr>
      </w:pPr>
      <w:r>
        <w:t xml:space="preserve">10) not to perform certain activities, not to conclude certain transactions, to reduce the scope of such activities or transactions or to limit investments in the activity that poses excessive risks to the soundness of a financial brokerage </w:t>
      </w:r>
      <w:proofErr w:type="gramStart"/>
      <w:r>
        <w:t>firm;</w:t>
      </w:r>
      <w:proofErr w:type="gramEnd"/>
      <w:r>
        <w:t xml:space="preserve"> </w:t>
      </w:r>
    </w:p>
    <w:p w14:paraId="07E0DB88" w14:textId="5AAB5626" w:rsidR="0024375F" w:rsidRPr="0024375F" w:rsidRDefault="00ED3A7E" w:rsidP="0024375F">
      <w:pPr>
        <w:spacing w:line="360" w:lineRule="atLeast"/>
        <w:ind w:firstLine="720"/>
        <w:jc w:val="both"/>
        <w:rPr>
          <w:color w:val="000000"/>
          <w:szCs w:val="24"/>
        </w:rPr>
      </w:pPr>
      <w:r>
        <w:t xml:space="preserve">11) to reduce the risks related to the activities, products and systems of the financial brokerage firm, including activities outsourced to third </w:t>
      </w:r>
      <w:proofErr w:type="gramStart"/>
      <w:r>
        <w:t>parties;</w:t>
      </w:r>
      <w:proofErr w:type="gramEnd"/>
    </w:p>
    <w:p w14:paraId="5852AE39" w14:textId="77777777" w:rsidR="0024375F" w:rsidRDefault="0024375F" w:rsidP="0024375F">
      <w:pPr>
        <w:rPr>
          <w:color w:val="000000"/>
          <w:sz w:val="27"/>
          <w:szCs w:val="27"/>
        </w:rPr>
      </w:pPr>
      <w:r>
        <w:rPr>
          <w:i/>
          <w:iCs/>
          <w:color w:val="000000"/>
          <w:sz w:val="20"/>
        </w:rPr>
        <w:t>Amendments to the paragraph of the Article:</w:t>
      </w:r>
    </w:p>
    <w:p w14:paraId="76F294EC" w14:textId="77777777" w:rsidR="0024375F" w:rsidRDefault="0024375F" w:rsidP="0024375F">
      <w:pPr>
        <w:jc w:val="both"/>
        <w:rPr>
          <w:color w:val="000000"/>
          <w:sz w:val="27"/>
          <w:szCs w:val="27"/>
        </w:rPr>
      </w:pPr>
      <w:r>
        <w:rPr>
          <w:i/>
          <w:iCs/>
          <w:color w:val="000000"/>
          <w:sz w:val="20"/>
        </w:rPr>
        <w:t xml:space="preserve">No </w:t>
      </w:r>
      <w:hyperlink r:id="rId170" w:tgtFrame="_parent" w:history="1">
        <w:r>
          <w:rPr>
            <w:rStyle w:val="Hyperlink"/>
            <w:i/>
            <w:iCs/>
            <w:sz w:val="20"/>
          </w:rPr>
          <w:t>XIV-767</w:t>
        </w:r>
      </w:hyperlink>
      <w:r>
        <w:rPr>
          <w:i/>
          <w:iCs/>
          <w:color w:val="000000"/>
          <w:sz w:val="20"/>
        </w:rPr>
        <w:t>, 14/12/2021, published in the RLA, 23/12/2021, ID code 2021-26896</w:t>
      </w:r>
    </w:p>
    <w:p w14:paraId="60316CB0" w14:textId="5348283B" w:rsidR="00ED3A7E" w:rsidRPr="000550CF" w:rsidRDefault="00ED3A7E" w:rsidP="00F3494E">
      <w:pPr>
        <w:widowControl w:val="0"/>
        <w:ind w:firstLine="720"/>
        <w:jc w:val="both"/>
        <w:rPr>
          <w:szCs w:val="24"/>
          <w:lang w:eastAsia="lt-LT"/>
        </w:rPr>
      </w:pPr>
    </w:p>
    <w:p w14:paraId="632394A5" w14:textId="77777777" w:rsidR="00ED3A7E" w:rsidRPr="000550CF" w:rsidRDefault="00ED3A7E" w:rsidP="00F3494E">
      <w:pPr>
        <w:widowControl w:val="0"/>
        <w:ind w:firstLine="720"/>
        <w:jc w:val="both"/>
        <w:rPr>
          <w:szCs w:val="24"/>
        </w:rPr>
      </w:pPr>
      <w:r>
        <w:t xml:space="preserve">12) to reduce the variable part of the remuneration paid to managers and employees of a financial brokerage firm where this is contrary to the maintenance of a sound capital </w:t>
      </w:r>
      <w:proofErr w:type="gramStart"/>
      <w:r>
        <w:t>base;</w:t>
      </w:r>
      <w:proofErr w:type="gramEnd"/>
    </w:p>
    <w:p w14:paraId="713F186A" w14:textId="7A14DB40" w:rsidR="0024375F" w:rsidRDefault="00ED3A7E" w:rsidP="0024375F">
      <w:pPr>
        <w:spacing w:line="360" w:lineRule="atLeast"/>
        <w:ind w:firstLine="720"/>
        <w:jc w:val="both"/>
        <w:rPr>
          <w:color w:val="000000"/>
          <w:sz w:val="27"/>
          <w:szCs w:val="27"/>
        </w:rPr>
      </w:pPr>
      <w:r>
        <w:t xml:space="preserve">13) to use the net profit of the financial brokerage firm to increase own </w:t>
      </w:r>
      <w:proofErr w:type="gramStart"/>
      <w:r>
        <w:t>funds;</w:t>
      </w:r>
      <w:proofErr w:type="gramEnd"/>
    </w:p>
    <w:p w14:paraId="1C9882BC" w14:textId="77777777" w:rsidR="0024375F" w:rsidRDefault="0024375F" w:rsidP="0024375F">
      <w:pPr>
        <w:rPr>
          <w:color w:val="000000"/>
          <w:sz w:val="27"/>
          <w:szCs w:val="27"/>
        </w:rPr>
      </w:pPr>
      <w:r>
        <w:rPr>
          <w:i/>
          <w:iCs/>
          <w:color w:val="000000"/>
          <w:sz w:val="20"/>
        </w:rPr>
        <w:t>Amendments to the paragraph of the Article:</w:t>
      </w:r>
    </w:p>
    <w:p w14:paraId="17A6E6A2" w14:textId="14230523" w:rsidR="0024375F" w:rsidRDefault="0024375F" w:rsidP="0024375F">
      <w:pPr>
        <w:jc w:val="both"/>
        <w:rPr>
          <w:color w:val="000000"/>
          <w:sz w:val="27"/>
          <w:szCs w:val="27"/>
        </w:rPr>
      </w:pPr>
      <w:r>
        <w:rPr>
          <w:i/>
          <w:iCs/>
          <w:color w:val="000000"/>
          <w:sz w:val="20"/>
        </w:rPr>
        <w:t xml:space="preserve">No </w:t>
      </w:r>
      <w:hyperlink r:id="rId171" w:tgtFrame="_parent" w:history="1">
        <w:r>
          <w:rPr>
            <w:rStyle w:val="Hyperlink"/>
            <w:i/>
            <w:iCs/>
            <w:sz w:val="20"/>
          </w:rPr>
          <w:t>XIV-821</w:t>
        </w:r>
      </w:hyperlink>
      <w:r>
        <w:rPr>
          <w:i/>
          <w:iCs/>
          <w:color w:val="000000"/>
          <w:sz w:val="20"/>
        </w:rPr>
        <w:t>, 23/12/2021, published in the RLA, 30/12/2021, ID code 2021-27710</w:t>
      </w:r>
    </w:p>
    <w:p w14:paraId="670A6FAE" w14:textId="78EA9A28" w:rsidR="00ED3A7E" w:rsidRPr="000550CF" w:rsidRDefault="00ED3A7E" w:rsidP="00F3494E">
      <w:pPr>
        <w:widowControl w:val="0"/>
        <w:ind w:firstLine="720"/>
        <w:jc w:val="both"/>
        <w:rPr>
          <w:szCs w:val="24"/>
          <w:lang w:eastAsia="lt-LT"/>
        </w:rPr>
      </w:pPr>
    </w:p>
    <w:p w14:paraId="166B5C13" w14:textId="77777777" w:rsidR="00ED3A7E" w:rsidRPr="000550CF" w:rsidRDefault="00ED3A7E" w:rsidP="00F3494E">
      <w:pPr>
        <w:ind w:firstLine="720"/>
        <w:jc w:val="both"/>
      </w:pPr>
      <w:r>
        <w:t xml:space="preserve">14) to limit or terminate the distribution of profits to shareholders of a financial brokerage firm or the payment of interest to holders of non-equity securities issued by the financial brokerage firm which are included in its capital where such a ban does not mean that the financial brokerage firm defaults on its </w:t>
      </w:r>
      <w:proofErr w:type="gramStart"/>
      <w:r>
        <w:t>obligations;</w:t>
      </w:r>
      <w:proofErr w:type="gramEnd"/>
    </w:p>
    <w:p w14:paraId="2FB81407" w14:textId="77777777" w:rsidR="00ED3A7E" w:rsidRPr="000550CF" w:rsidRDefault="00ED3A7E" w:rsidP="00F3494E">
      <w:pPr>
        <w:widowControl w:val="0"/>
        <w:ind w:firstLine="720"/>
        <w:jc w:val="both"/>
        <w:rPr>
          <w:szCs w:val="24"/>
        </w:rPr>
      </w:pPr>
      <w:r>
        <w:t xml:space="preserve">15) to provide to the supervisory authority additional information necessary for the performance of supervisory functions or to provide such information more </w:t>
      </w:r>
      <w:proofErr w:type="gramStart"/>
      <w:r>
        <w:t>frequently;</w:t>
      </w:r>
      <w:proofErr w:type="gramEnd"/>
      <w:r>
        <w:t xml:space="preserve"> </w:t>
      </w:r>
    </w:p>
    <w:p w14:paraId="43E52330" w14:textId="77777777" w:rsidR="00ED3A7E" w:rsidRPr="000550CF" w:rsidRDefault="00ED3A7E" w:rsidP="00F3494E">
      <w:pPr>
        <w:widowControl w:val="0"/>
        <w:ind w:firstLine="720"/>
        <w:jc w:val="both"/>
        <w:rPr>
          <w:szCs w:val="24"/>
        </w:rPr>
      </w:pPr>
      <w:r>
        <w:t>16)</w:t>
      </w:r>
      <w:r>
        <w:rPr>
          <w:i/>
          <w:iCs/>
          <w:szCs w:val="24"/>
        </w:rPr>
        <w:t xml:space="preserve"> </w:t>
      </w:r>
      <w:r>
        <w:t xml:space="preserve">to fulfil special liquidity </w:t>
      </w:r>
      <w:proofErr w:type="gramStart"/>
      <w:r>
        <w:t>requirements;</w:t>
      </w:r>
      <w:proofErr w:type="gramEnd"/>
      <w:r>
        <w:rPr>
          <w:i/>
          <w:szCs w:val="24"/>
        </w:rPr>
        <w:t xml:space="preserve"> </w:t>
      </w:r>
    </w:p>
    <w:p w14:paraId="4883CFB0" w14:textId="77777777" w:rsidR="00ED3A7E" w:rsidRPr="000550CF" w:rsidRDefault="00ED3A7E" w:rsidP="00F3494E">
      <w:pPr>
        <w:widowControl w:val="0"/>
        <w:ind w:firstLine="720"/>
        <w:jc w:val="both"/>
        <w:rPr>
          <w:szCs w:val="24"/>
        </w:rPr>
      </w:pPr>
      <w:r>
        <w:t xml:space="preserve">17) to make public additional </w:t>
      </w:r>
      <w:proofErr w:type="gramStart"/>
      <w:r>
        <w:t>information;</w:t>
      </w:r>
      <w:proofErr w:type="gramEnd"/>
    </w:p>
    <w:p w14:paraId="03C37852" w14:textId="77777777" w:rsidR="00ED3A7E" w:rsidRPr="000550CF" w:rsidRDefault="00ED3A7E" w:rsidP="00F3494E">
      <w:pPr>
        <w:widowControl w:val="0"/>
        <w:ind w:firstLine="720"/>
        <w:jc w:val="both"/>
        <w:rPr>
          <w:szCs w:val="24"/>
        </w:rPr>
      </w:pPr>
      <w:r>
        <w:t xml:space="preserve">18) to fulfil additional prudential </w:t>
      </w:r>
      <w:proofErr w:type="gramStart"/>
      <w:r>
        <w:t>requirements;</w:t>
      </w:r>
      <w:proofErr w:type="gramEnd"/>
      <w:r>
        <w:t xml:space="preserve"> </w:t>
      </w:r>
    </w:p>
    <w:p w14:paraId="7CEB8C0C" w14:textId="77777777" w:rsidR="00ED3A7E" w:rsidRPr="000550CF" w:rsidRDefault="00ED3A7E" w:rsidP="00F3494E">
      <w:pPr>
        <w:widowControl w:val="0"/>
        <w:ind w:firstLine="720"/>
        <w:jc w:val="both"/>
        <w:rPr>
          <w:szCs w:val="24"/>
        </w:rPr>
      </w:pPr>
      <w:r>
        <w:t xml:space="preserve">19) to require the reduction or a certain position or </w:t>
      </w:r>
      <w:proofErr w:type="gramStart"/>
      <w:r>
        <w:t>exposure;</w:t>
      </w:r>
      <w:proofErr w:type="gramEnd"/>
    </w:p>
    <w:p w14:paraId="73689347" w14:textId="77777777" w:rsidR="00ED3A7E" w:rsidRPr="000550CF" w:rsidRDefault="00ED3A7E" w:rsidP="00F3494E">
      <w:pPr>
        <w:widowControl w:val="0"/>
        <w:ind w:firstLine="720"/>
        <w:jc w:val="both"/>
        <w:rPr>
          <w:szCs w:val="24"/>
        </w:rPr>
      </w:pPr>
      <w:r>
        <w:t xml:space="preserve">20) to require the removal of a manager of a financial brokerage firm or of its market </w:t>
      </w:r>
      <w:proofErr w:type="gramStart"/>
      <w:r>
        <w:t>operator;</w:t>
      </w:r>
      <w:proofErr w:type="gramEnd"/>
    </w:p>
    <w:p w14:paraId="0DE712CB" w14:textId="77777777" w:rsidR="00ED3A7E" w:rsidRPr="000550CF" w:rsidRDefault="00ED3A7E" w:rsidP="00F3494E">
      <w:pPr>
        <w:widowControl w:val="0"/>
        <w:ind w:firstLine="720"/>
        <w:jc w:val="both"/>
        <w:rPr>
          <w:szCs w:val="24"/>
        </w:rPr>
      </w:pPr>
      <w:r>
        <w:t xml:space="preserve">21) where any benefits gained or losses avoided as a result of the infringement are established, to order to compensate for the damage caused to injured </w:t>
      </w:r>
      <w:proofErr w:type="gramStart"/>
      <w:r>
        <w:t>parties;</w:t>
      </w:r>
      <w:proofErr w:type="gramEnd"/>
    </w:p>
    <w:p w14:paraId="74C89CEE" w14:textId="1E88DED7" w:rsidR="00ED3A7E" w:rsidRDefault="00ED3A7E" w:rsidP="00F3494E">
      <w:pPr>
        <w:widowControl w:val="0"/>
        <w:ind w:firstLine="720"/>
        <w:jc w:val="both"/>
        <w:rPr>
          <w:szCs w:val="24"/>
        </w:rPr>
      </w:pPr>
      <w:r>
        <w:t xml:space="preserve">22) to stop the publication and provision to investors of the key information document which does not meet the requirements of Regulation (EU) No 1286/2014 and to publish a new key information document which meets the requirements of legal </w:t>
      </w:r>
      <w:proofErr w:type="gramStart"/>
      <w:r>
        <w:t>acts;</w:t>
      </w:r>
      <w:proofErr w:type="gramEnd"/>
    </w:p>
    <w:p w14:paraId="5094F520" w14:textId="77777777" w:rsidR="0024375F" w:rsidRDefault="0024375F" w:rsidP="0024375F">
      <w:pPr>
        <w:spacing w:line="360" w:lineRule="atLeast"/>
        <w:ind w:firstLine="720"/>
        <w:jc w:val="both"/>
        <w:rPr>
          <w:color w:val="000000"/>
        </w:rPr>
      </w:pPr>
      <w:r>
        <w:rPr>
          <w:color w:val="000000"/>
        </w:rPr>
        <w:t>22</w:t>
      </w:r>
      <w:r>
        <w:rPr>
          <w:color w:val="000000"/>
          <w:vertAlign w:val="superscript"/>
        </w:rPr>
        <w:t>1</w:t>
      </w:r>
      <w:r>
        <w:rPr>
          <w:color w:val="000000"/>
        </w:rPr>
        <w:t xml:space="preserve">) for a financial brokerage firm to use higher multiplier coefficients, as specified in Regulation (EU) </w:t>
      </w:r>
      <w:proofErr w:type="gramStart"/>
      <w:r>
        <w:rPr>
          <w:color w:val="000000"/>
        </w:rPr>
        <w:t>2019/2033;</w:t>
      </w:r>
      <w:proofErr w:type="gramEnd"/>
    </w:p>
    <w:p w14:paraId="7D8CBD17" w14:textId="77777777" w:rsidR="0024375F" w:rsidRDefault="0024375F" w:rsidP="0024375F">
      <w:pPr>
        <w:rPr>
          <w:color w:val="000000"/>
        </w:rPr>
      </w:pPr>
      <w:r>
        <w:rPr>
          <w:i/>
          <w:iCs/>
          <w:color w:val="000000"/>
          <w:sz w:val="20"/>
        </w:rPr>
        <w:t>Supplemented with the sub-paragraph to the Article:</w:t>
      </w:r>
    </w:p>
    <w:p w14:paraId="5D030649" w14:textId="71120408" w:rsidR="0024375F" w:rsidRDefault="0024375F" w:rsidP="0024375F">
      <w:pPr>
        <w:jc w:val="both"/>
        <w:rPr>
          <w:color w:val="000000"/>
        </w:rPr>
      </w:pPr>
      <w:r>
        <w:rPr>
          <w:i/>
          <w:iCs/>
          <w:color w:val="000000"/>
          <w:sz w:val="20"/>
        </w:rPr>
        <w:t xml:space="preserve">No </w:t>
      </w:r>
      <w:hyperlink r:id="rId172" w:tgtFrame="_parent" w:history="1">
        <w:r>
          <w:rPr>
            <w:rStyle w:val="Hyperlink"/>
            <w:i/>
            <w:iCs/>
            <w:sz w:val="20"/>
          </w:rPr>
          <w:t>XIV-821</w:t>
        </w:r>
      </w:hyperlink>
      <w:r>
        <w:rPr>
          <w:i/>
          <w:iCs/>
          <w:color w:val="000000"/>
          <w:sz w:val="20"/>
        </w:rPr>
        <w:t>, 23/12/2021, published in the RLA, 30/12/2021, ID code 2021-27710</w:t>
      </w:r>
    </w:p>
    <w:p w14:paraId="58151129" w14:textId="77777777" w:rsidR="0024375F" w:rsidRDefault="0024375F" w:rsidP="0024375F">
      <w:pPr>
        <w:spacing w:line="360" w:lineRule="atLeast"/>
        <w:ind w:firstLine="720"/>
        <w:jc w:val="both"/>
        <w:rPr>
          <w:color w:val="000000"/>
        </w:rPr>
      </w:pPr>
      <w:bookmarkStart w:id="278" w:name="part_24fa5e22046547acbc0fe350fb0338b0"/>
      <w:bookmarkEnd w:id="278"/>
      <w:r>
        <w:rPr>
          <w:color w:val="000000"/>
        </w:rPr>
        <w:t>22</w:t>
      </w:r>
      <w:r>
        <w:rPr>
          <w:color w:val="000000"/>
          <w:vertAlign w:val="superscript"/>
        </w:rPr>
        <w:t>2</w:t>
      </w:r>
      <w:r>
        <w:rPr>
          <w:color w:val="000000"/>
        </w:rPr>
        <w:t>) to enhance the procedure, processes, mechanisms and strategies put in place under Articles 14</w:t>
      </w:r>
      <w:r>
        <w:rPr>
          <w:color w:val="000000"/>
          <w:vertAlign w:val="superscript"/>
        </w:rPr>
        <w:t>1</w:t>
      </w:r>
      <w:r>
        <w:rPr>
          <w:color w:val="000000"/>
        </w:rPr>
        <w:t xml:space="preserve"> and 16 of this </w:t>
      </w:r>
      <w:proofErr w:type="gramStart"/>
      <w:r>
        <w:rPr>
          <w:color w:val="000000"/>
        </w:rPr>
        <w:t>Law;</w:t>
      </w:r>
      <w:proofErr w:type="gramEnd"/>
    </w:p>
    <w:p w14:paraId="3B40284A" w14:textId="77777777" w:rsidR="0024375F" w:rsidRDefault="0024375F" w:rsidP="0024375F">
      <w:pPr>
        <w:rPr>
          <w:color w:val="000000"/>
        </w:rPr>
      </w:pPr>
      <w:r>
        <w:rPr>
          <w:i/>
          <w:iCs/>
          <w:color w:val="000000"/>
          <w:sz w:val="20"/>
        </w:rPr>
        <w:t>Supplemented with the sub-paragraph to the Article:</w:t>
      </w:r>
    </w:p>
    <w:p w14:paraId="381DA883" w14:textId="1A29D767" w:rsidR="0024375F" w:rsidRDefault="0024375F" w:rsidP="0024375F">
      <w:pPr>
        <w:jc w:val="both"/>
        <w:rPr>
          <w:color w:val="000000"/>
        </w:rPr>
      </w:pPr>
      <w:r>
        <w:rPr>
          <w:i/>
          <w:iCs/>
          <w:color w:val="000000"/>
          <w:sz w:val="20"/>
        </w:rPr>
        <w:t xml:space="preserve">No </w:t>
      </w:r>
      <w:hyperlink r:id="rId173" w:tgtFrame="_parent" w:history="1">
        <w:r>
          <w:rPr>
            <w:rStyle w:val="Hyperlink"/>
            <w:i/>
            <w:iCs/>
            <w:sz w:val="20"/>
          </w:rPr>
          <w:t>XIV-821</w:t>
        </w:r>
      </w:hyperlink>
      <w:r>
        <w:rPr>
          <w:i/>
          <w:iCs/>
          <w:color w:val="000000"/>
          <w:sz w:val="20"/>
        </w:rPr>
        <w:t>, 23/12/2021, published in the RLA, 30/12/2021, ID code 2021-27710</w:t>
      </w:r>
    </w:p>
    <w:p w14:paraId="64D68CF1" w14:textId="77777777" w:rsidR="0024375F" w:rsidRDefault="0024375F" w:rsidP="0024375F">
      <w:pPr>
        <w:spacing w:line="360" w:lineRule="atLeast"/>
        <w:ind w:firstLine="720"/>
        <w:jc w:val="both"/>
        <w:rPr>
          <w:color w:val="000000"/>
        </w:rPr>
      </w:pPr>
      <w:bookmarkStart w:id="279" w:name="part_c44f7c0f0d68451f9494ac0e88b4b69c"/>
      <w:bookmarkEnd w:id="279"/>
      <w:r>
        <w:rPr>
          <w:color w:val="000000"/>
        </w:rPr>
        <w:t>22</w:t>
      </w:r>
      <w:r>
        <w:rPr>
          <w:color w:val="000000"/>
          <w:vertAlign w:val="superscript"/>
        </w:rPr>
        <w:t>3</w:t>
      </w:r>
      <w:r>
        <w:rPr>
          <w:color w:val="000000"/>
        </w:rPr>
        <w:t xml:space="preserve">) within one year, to submit a plan for the implementation of supervision requirements under this Law and Regulation (EU) 2019/2033, to set the final deadline for the implementation of that plan and to improve the plan by clarifying its scope of application and the final deadline for </w:t>
      </w:r>
      <w:proofErr w:type="gramStart"/>
      <w:r>
        <w:rPr>
          <w:color w:val="000000"/>
        </w:rPr>
        <w:t>implementation;</w:t>
      </w:r>
      <w:proofErr w:type="gramEnd"/>
    </w:p>
    <w:p w14:paraId="15E9F436" w14:textId="77777777" w:rsidR="0024375F" w:rsidRDefault="0024375F" w:rsidP="0024375F">
      <w:pPr>
        <w:rPr>
          <w:color w:val="000000"/>
        </w:rPr>
      </w:pPr>
      <w:r>
        <w:rPr>
          <w:i/>
          <w:iCs/>
          <w:color w:val="000000"/>
          <w:sz w:val="20"/>
        </w:rPr>
        <w:t>Supplemented with the sub-paragraph to the Article:</w:t>
      </w:r>
    </w:p>
    <w:p w14:paraId="03918681" w14:textId="7AF3D5BF" w:rsidR="0024375F" w:rsidRDefault="0024375F" w:rsidP="0024375F">
      <w:pPr>
        <w:jc w:val="both"/>
        <w:rPr>
          <w:color w:val="000000"/>
        </w:rPr>
      </w:pPr>
      <w:r>
        <w:rPr>
          <w:i/>
          <w:iCs/>
          <w:color w:val="000000"/>
          <w:sz w:val="20"/>
        </w:rPr>
        <w:lastRenderedPageBreak/>
        <w:t xml:space="preserve">No </w:t>
      </w:r>
      <w:hyperlink r:id="rId174" w:tgtFrame="_parent" w:history="1">
        <w:r>
          <w:rPr>
            <w:rStyle w:val="Hyperlink"/>
            <w:i/>
            <w:iCs/>
            <w:sz w:val="20"/>
          </w:rPr>
          <w:t>XIV-821</w:t>
        </w:r>
      </w:hyperlink>
      <w:r>
        <w:rPr>
          <w:i/>
          <w:iCs/>
          <w:color w:val="000000"/>
          <w:sz w:val="20"/>
        </w:rPr>
        <w:t>, 23/12/2021, published in the RLA, 30/12/2021, ID code 2021-27710</w:t>
      </w:r>
    </w:p>
    <w:p w14:paraId="00E1B55E" w14:textId="77777777" w:rsidR="0024375F" w:rsidRDefault="0024375F" w:rsidP="0024375F">
      <w:pPr>
        <w:spacing w:line="360" w:lineRule="atLeast"/>
        <w:ind w:firstLine="720"/>
        <w:jc w:val="both"/>
        <w:rPr>
          <w:color w:val="000000"/>
        </w:rPr>
      </w:pPr>
      <w:bookmarkStart w:id="280" w:name="part_de5d73acfc1d43d09b0859bfd1e951f0"/>
      <w:bookmarkEnd w:id="280"/>
      <w:r>
        <w:rPr>
          <w:color w:val="000000"/>
        </w:rPr>
        <w:t>22</w:t>
      </w:r>
      <w:r>
        <w:rPr>
          <w:color w:val="000000"/>
          <w:vertAlign w:val="superscript"/>
        </w:rPr>
        <w:t>4</w:t>
      </w:r>
      <w:r>
        <w:rPr>
          <w:color w:val="000000"/>
        </w:rPr>
        <w:t xml:space="preserve">) to reduce the risk to the security of the financial brokerage firm’s network and information systems in order to ensure the confidentiality, integrity and accessibility of their processes, data and </w:t>
      </w:r>
      <w:proofErr w:type="gramStart"/>
      <w:r>
        <w:rPr>
          <w:color w:val="000000"/>
        </w:rPr>
        <w:t>assets;</w:t>
      </w:r>
      <w:proofErr w:type="gramEnd"/>
    </w:p>
    <w:p w14:paraId="6DF79AF5" w14:textId="77777777" w:rsidR="0024375F" w:rsidRDefault="0024375F" w:rsidP="0024375F">
      <w:pPr>
        <w:rPr>
          <w:color w:val="000000"/>
        </w:rPr>
      </w:pPr>
      <w:r>
        <w:rPr>
          <w:i/>
          <w:iCs/>
          <w:color w:val="000000"/>
          <w:sz w:val="20"/>
        </w:rPr>
        <w:t>Supplemented with the sub-paragraph to the Article:</w:t>
      </w:r>
    </w:p>
    <w:p w14:paraId="4F00919B" w14:textId="77777777" w:rsidR="0024375F" w:rsidRDefault="0024375F" w:rsidP="0024375F">
      <w:pPr>
        <w:jc w:val="both"/>
        <w:rPr>
          <w:color w:val="000000"/>
        </w:rPr>
      </w:pPr>
      <w:r>
        <w:rPr>
          <w:i/>
          <w:iCs/>
          <w:color w:val="000000"/>
          <w:sz w:val="20"/>
        </w:rPr>
        <w:t xml:space="preserve">No </w:t>
      </w:r>
      <w:hyperlink r:id="rId175" w:tgtFrame="_parent" w:history="1">
        <w:r>
          <w:rPr>
            <w:rStyle w:val="Hyperlink"/>
            <w:i/>
            <w:iCs/>
            <w:sz w:val="20"/>
          </w:rPr>
          <w:t>XIV-821</w:t>
        </w:r>
      </w:hyperlink>
      <w:r>
        <w:rPr>
          <w:i/>
          <w:iCs/>
          <w:color w:val="000000"/>
          <w:sz w:val="20"/>
        </w:rPr>
        <w:t>, 23/12/2021, published in the RLA, 30/12/2021, ID code 2021-27710</w:t>
      </w:r>
    </w:p>
    <w:p w14:paraId="03D9B0C1" w14:textId="77777777" w:rsidR="0024375F" w:rsidRPr="000550CF" w:rsidRDefault="0024375F" w:rsidP="00F3494E">
      <w:pPr>
        <w:widowControl w:val="0"/>
        <w:ind w:firstLine="720"/>
        <w:jc w:val="both"/>
        <w:rPr>
          <w:szCs w:val="24"/>
          <w:lang w:eastAsia="lt-LT"/>
        </w:rPr>
      </w:pPr>
    </w:p>
    <w:p w14:paraId="54756A30" w14:textId="6C2D9357" w:rsidR="0024375F" w:rsidRPr="0024375F" w:rsidRDefault="00ED3A7E" w:rsidP="0024375F">
      <w:pPr>
        <w:spacing w:line="360" w:lineRule="atLeast"/>
        <w:ind w:firstLine="720"/>
        <w:jc w:val="both"/>
        <w:rPr>
          <w:color w:val="000000"/>
          <w:szCs w:val="24"/>
        </w:rPr>
      </w:pPr>
      <w:r>
        <w:t xml:space="preserve">23) to submit to the supervisory authority a plan to restore compliance with supervisory requirements drawn up in accordance with this Law and Regulation (EU) No 575/2013, and to determine the final deadline for the implementation of the plan, including improvements to that plan, taking into account its scope and the final deadline for </w:t>
      </w:r>
      <w:proofErr w:type="gramStart"/>
      <w:r>
        <w:t>implementation;</w:t>
      </w:r>
      <w:proofErr w:type="gramEnd"/>
    </w:p>
    <w:p w14:paraId="3777972B" w14:textId="77777777" w:rsidR="0024375F" w:rsidRDefault="0024375F" w:rsidP="0024375F">
      <w:pPr>
        <w:rPr>
          <w:color w:val="000000"/>
          <w:sz w:val="27"/>
          <w:szCs w:val="27"/>
        </w:rPr>
      </w:pPr>
      <w:r>
        <w:rPr>
          <w:i/>
          <w:iCs/>
          <w:color w:val="000000"/>
          <w:sz w:val="20"/>
        </w:rPr>
        <w:t>Supplemented with the sub-paragraph to the Article:</w:t>
      </w:r>
    </w:p>
    <w:p w14:paraId="4D477E30" w14:textId="0AF7FB9B" w:rsidR="0024375F" w:rsidRDefault="0024375F" w:rsidP="0024375F">
      <w:pPr>
        <w:jc w:val="both"/>
        <w:rPr>
          <w:color w:val="000000"/>
          <w:sz w:val="27"/>
          <w:szCs w:val="27"/>
        </w:rPr>
      </w:pPr>
      <w:r>
        <w:rPr>
          <w:i/>
          <w:iCs/>
          <w:color w:val="000000"/>
          <w:sz w:val="20"/>
        </w:rPr>
        <w:t xml:space="preserve">No </w:t>
      </w:r>
      <w:hyperlink r:id="rId176" w:tgtFrame="_parent" w:history="1">
        <w:r>
          <w:rPr>
            <w:rStyle w:val="Hyperlink"/>
            <w:i/>
            <w:iCs/>
            <w:sz w:val="20"/>
          </w:rPr>
          <w:t>XIV-767</w:t>
        </w:r>
      </w:hyperlink>
      <w:r>
        <w:rPr>
          <w:i/>
          <w:iCs/>
          <w:color w:val="000000"/>
          <w:sz w:val="20"/>
        </w:rPr>
        <w:t>, 14/12/2021, published in the RLA, 23/12/2021, ID code 2021-26896</w:t>
      </w:r>
    </w:p>
    <w:p w14:paraId="76A572D5" w14:textId="77777777" w:rsidR="0024375F" w:rsidRPr="0024375F" w:rsidRDefault="0024375F" w:rsidP="0024375F">
      <w:pPr>
        <w:spacing w:line="360" w:lineRule="atLeast"/>
        <w:ind w:firstLine="720"/>
        <w:jc w:val="both"/>
        <w:rPr>
          <w:color w:val="000000"/>
          <w:szCs w:val="24"/>
        </w:rPr>
      </w:pPr>
      <w:r>
        <w:rPr>
          <w:color w:val="000000"/>
          <w:szCs w:val="24"/>
        </w:rPr>
        <w:t xml:space="preserve">24) to perform other actions or to refrain from certain actions </w:t>
      </w:r>
      <w:proofErr w:type="gramStart"/>
      <w:r>
        <w:rPr>
          <w:color w:val="000000"/>
          <w:szCs w:val="24"/>
        </w:rPr>
        <w:t>in order to</w:t>
      </w:r>
      <w:proofErr w:type="gramEnd"/>
      <w:r>
        <w:rPr>
          <w:color w:val="000000"/>
          <w:szCs w:val="24"/>
        </w:rPr>
        <w:t xml:space="preserve"> eliminate violations of legal acts or operational deficiencies.</w:t>
      </w:r>
    </w:p>
    <w:p w14:paraId="44335A87" w14:textId="77777777" w:rsidR="0024375F" w:rsidRDefault="0024375F" w:rsidP="0024375F">
      <w:pPr>
        <w:rPr>
          <w:color w:val="000000"/>
          <w:sz w:val="27"/>
          <w:szCs w:val="27"/>
        </w:rPr>
      </w:pPr>
      <w:r>
        <w:rPr>
          <w:i/>
          <w:iCs/>
          <w:color w:val="000000"/>
          <w:sz w:val="20"/>
        </w:rPr>
        <w:t>Amendments to the numbering of the sub-paragraph of the Article:</w:t>
      </w:r>
    </w:p>
    <w:p w14:paraId="0124BE58" w14:textId="77777777" w:rsidR="0024375F" w:rsidRDefault="0024375F" w:rsidP="0024375F">
      <w:pPr>
        <w:jc w:val="both"/>
        <w:rPr>
          <w:color w:val="000000"/>
          <w:sz w:val="27"/>
          <w:szCs w:val="27"/>
        </w:rPr>
      </w:pPr>
      <w:r>
        <w:rPr>
          <w:i/>
          <w:iCs/>
          <w:color w:val="000000"/>
          <w:sz w:val="20"/>
        </w:rPr>
        <w:t xml:space="preserve">No </w:t>
      </w:r>
      <w:hyperlink r:id="rId177" w:tgtFrame="_parent" w:history="1">
        <w:r>
          <w:rPr>
            <w:rStyle w:val="Hyperlink"/>
            <w:i/>
            <w:iCs/>
            <w:sz w:val="20"/>
          </w:rPr>
          <w:t>XIV-767</w:t>
        </w:r>
      </w:hyperlink>
      <w:r>
        <w:rPr>
          <w:i/>
          <w:iCs/>
          <w:color w:val="000000"/>
          <w:sz w:val="20"/>
        </w:rPr>
        <w:t>, 14/12/2021, published in the RLA, 23/12/2021, ID code 2021-26896</w:t>
      </w:r>
    </w:p>
    <w:p w14:paraId="4F395696" w14:textId="4AC0D0C1" w:rsidR="00ED3A7E" w:rsidRPr="000550CF" w:rsidRDefault="00ED3A7E" w:rsidP="00F3494E">
      <w:pPr>
        <w:ind w:firstLine="720"/>
        <w:jc w:val="both"/>
        <w:rPr>
          <w:lang w:eastAsia="lt-LT"/>
        </w:rPr>
      </w:pPr>
    </w:p>
    <w:p w14:paraId="65BBA9B5" w14:textId="77777777" w:rsidR="00ED3A7E" w:rsidRPr="000550CF" w:rsidRDefault="00ED3A7E" w:rsidP="00F3494E">
      <w:pPr>
        <w:ind w:firstLine="720"/>
        <w:jc w:val="both"/>
      </w:pPr>
      <w:r>
        <w:t>4. The mandatory instructions referred to in paragraph 3 of this Article may be given when at least one of the following grounds exists:</w:t>
      </w:r>
    </w:p>
    <w:p w14:paraId="6B6A7033" w14:textId="77777777" w:rsidR="00ED3A7E" w:rsidRPr="000550CF" w:rsidRDefault="00ED3A7E" w:rsidP="00F3494E">
      <w:pPr>
        <w:ind w:firstLine="720"/>
        <w:jc w:val="both"/>
      </w:pPr>
      <w:r>
        <w:t xml:space="preserve">1) the supervisory authority identifies or has reasonable grounds for suspecting infringements of legal acts the supervision over compliance with which is assigned to its competence or irregularities in the activities of the financial brokerage firm, financial advisor firm, third-country firm’s branch, market operator, transaction data reporting services provider or central </w:t>
      </w:r>
      <w:proofErr w:type="gramStart"/>
      <w:r>
        <w:t>depositary;</w:t>
      </w:r>
      <w:proofErr w:type="gramEnd"/>
      <w:r>
        <w:t xml:space="preserve"> </w:t>
      </w:r>
    </w:p>
    <w:p w14:paraId="6D5F407F" w14:textId="77777777" w:rsidR="00ED3A7E" w:rsidRPr="000550CF" w:rsidRDefault="00ED3A7E" w:rsidP="00F3494E">
      <w:pPr>
        <w:ind w:firstLine="720"/>
        <w:jc w:val="both"/>
      </w:pPr>
      <w:r>
        <w:t xml:space="preserve">2) the supervisory authority possesses evidence that during the next 12 months legal acts the supervision over compliance with which is assigned to its competence may be </w:t>
      </w:r>
      <w:proofErr w:type="gramStart"/>
      <w:r>
        <w:t>infringed;</w:t>
      </w:r>
      <w:proofErr w:type="gramEnd"/>
    </w:p>
    <w:p w14:paraId="7A3A3E98" w14:textId="77777777" w:rsidR="00ED3A7E" w:rsidRPr="000550CF" w:rsidRDefault="00ED3A7E" w:rsidP="00F3494E">
      <w:pPr>
        <w:ind w:firstLine="720"/>
        <w:jc w:val="both"/>
      </w:pPr>
      <w:r>
        <w:t xml:space="preserve">3) the stability and reliability of activities of the financial brokerage firm, financial advisor firm, third-country firm’s branch, market operator, transaction data reporting services provider or central depositary is at risk or </w:t>
      </w:r>
      <w:proofErr w:type="gramStart"/>
      <w:r>
        <w:t>in order to</w:t>
      </w:r>
      <w:proofErr w:type="gramEnd"/>
      <w:r>
        <w:t xml:space="preserve"> avoid material damage or irreversible consequences for interests of the public and/or investors.</w:t>
      </w:r>
    </w:p>
    <w:p w14:paraId="10CC1AF2" w14:textId="256F0CAB" w:rsidR="0024375F" w:rsidRPr="0024375F" w:rsidRDefault="00ED3A7E" w:rsidP="0024375F">
      <w:pPr>
        <w:spacing w:line="360" w:lineRule="atLeast"/>
        <w:ind w:firstLine="720"/>
        <w:jc w:val="both"/>
        <w:rPr>
          <w:color w:val="000000"/>
          <w:szCs w:val="24"/>
        </w:rPr>
      </w:pPr>
      <w:r>
        <w:t xml:space="preserve">5. </w:t>
      </w:r>
      <w:r>
        <w:rPr>
          <w:color w:val="000000"/>
          <w:szCs w:val="24"/>
        </w:rPr>
        <w:t xml:space="preserve">Quantitative and qualitative results of the supervisory review and evaluation carried out by the supervisory authority, the management structure of the financial brokerage firm, risk identification, management, and internal control processes should be </w:t>
      </w:r>
      <w:proofErr w:type="gramStart"/>
      <w:r>
        <w:rPr>
          <w:color w:val="000000"/>
          <w:szCs w:val="24"/>
        </w:rPr>
        <w:t>taken into account</w:t>
      </w:r>
      <w:proofErr w:type="gramEnd"/>
      <w:r>
        <w:rPr>
          <w:color w:val="000000"/>
          <w:szCs w:val="24"/>
        </w:rPr>
        <w:t xml:space="preserve"> in determining the appropriate amount of the individual own funds requirement, as well as special liquidity requirements under points 6 and 16 of paragraph 3 of this Article.</w:t>
      </w:r>
    </w:p>
    <w:p w14:paraId="01327EE6" w14:textId="77777777" w:rsidR="0024375F" w:rsidRDefault="0024375F" w:rsidP="0024375F">
      <w:pPr>
        <w:rPr>
          <w:color w:val="000000"/>
          <w:sz w:val="27"/>
          <w:szCs w:val="27"/>
        </w:rPr>
      </w:pPr>
      <w:r>
        <w:rPr>
          <w:i/>
          <w:iCs/>
          <w:color w:val="000000"/>
          <w:sz w:val="20"/>
        </w:rPr>
        <w:t>Amendments to the paragraph of the Article:</w:t>
      </w:r>
    </w:p>
    <w:p w14:paraId="093AEDE3" w14:textId="77777777" w:rsidR="0024375F" w:rsidRDefault="0024375F" w:rsidP="0024375F">
      <w:pPr>
        <w:jc w:val="both"/>
        <w:rPr>
          <w:color w:val="000000"/>
          <w:sz w:val="27"/>
          <w:szCs w:val="27"/>
        </w:rPr>
      </w:pPr>
      <w:r>
        <w:rPr>
          <w:i/>
          <w:iCs/>
          <w:color w:val="000000"/>
          <w:sz w:val="20"/>
        </w:rPr>
        <w:t xml:space="preserve">No </w:t>
      </w:r>
      <w:hyperlink r:id="rId178" w:tgtFrame="_parent" w:history="1">
        <w:r>
          <w:rPr>
            <w:rStyle w:val="Hyperlink"/>
            <w:i/>
            <w:iCs/>
            <w:sz w:val="20"/>
          </w:rPr>
          <w:t>XIV-767</w:t>
        </w:r>
      </w:hyperlink>
      <w:r>
        <w:rPr>
          <w:i/>
          <w:iCs/>
          <w:color w:val="000000"/>
          <w:sz w:val="20"/>
        </w:rPr>
        <w:t>, 14/12/2021, published in the RLA, 23/12/2021, ID code 2021-26896</w:t>
      </w:r>
    </w:p>
    <w:p w14:paraId="34C4D703" w14:textId="77777777" w:rsidR="0024375F" w:rsidRDefault="0024375F" w:rsidP="0024375F">
      <w:pPr>
        <w:jc w:val="both"/>
        <w:rPr>
          <w:color w:val="000000"/>
          <w:sz w:val="27"/>
          <w:szCs w:val="27"/>
        </w:rPr>
      </w:pPr>
      <w:r>
        <w:rPr>
          <w:i/>
          <w:iCs/>
          <w:color w:val="000000"/>
          <w:sz w:val="20"/>
        </w:rPr>
        <w:t xml:space="preserve">No </w:t>
      </w:r>
      <w:hyperlink r:id="rId179" w:tgtFrame="_parent" w:history="1">
        <w:r>
          <w:rPr>
            <w:rStyle w:val="Hyperlink"/>
            <w:i/>
            <w:iCs/>
            <w:sz w:val="20"/>
          </w:rPr>
          <w:t>XIV-821</w:t>
        </w:r>
      </w:hyperlink>
      <w:r>
        <w:rPr>
          <w:i/>
          <w:iCs/>
          <w:color w:val="000000"/>
          <w:sz w:val="20"/>
        </w:rPr>
        <w:t>, 23/12/2021, published in the RLA, 30/12/2021, ID code 2021-27710</w:t>
      </w:r>
    </w:p>
    <w:p w14:paraId="2780542B" w14:textId="7E79603F" w:rsidR="00ED3A7E" w:rsidRPr="000550CF" w:rsidRDefault="00ED3A7E" w:rsidP="00F3494E">
      <w:pPr>
        <w:ind w:firstLine="720"/>
        <w:jc w:val="both"/>
        <w:rPr>
          <w:lang w:eastAsia="lt-LT"/>
        </w:rPr>
      </w:pPr>
    </w:p>
    <w:p w14:paraId="0129AE59" w14:textId="77777777" w:rsidR="00ED3A7E" w:rsidRPr="000550CF" w:rsidRDefault="00ED3A7E" w:rsidP="00F3494E">
      <w:pPr>
        <w:ind w:firstLine="720"/>
        <w:jc w:val="both"/>
      </w:pPr>
      <w:r>
        <w:t>6. In the cases referred to in points 1 and 3 of paragraph 4 of this Article, the supervisory authority,</w:t>
      </w:r>
      <w:r>
        <w:rPr>
          <w:b/>
          <w:bCs/>
          <w:i/>
        </w:rPr>
        <w:t xml:space="preserve"> </w:t>
      </w:r>
      <w:r>
        <w:t>mutatis mutandis acting in observance of the procedure set forth in 42</w:t>
      </w:r>
      <w:r>
        <w:rPr>
          <w:bCs/>
          <w:vertAlign w:val="superscript"/>
        </w:rPr>
        <w:t xml:space="preserve">1 </w:t>
      </w:r>
      <w:r>
        <w:t>of the Law on the Bank of Lithuania with respect to court permissions, shall have the right to apply to the court requesting the sequestration of assets of the entities referred to in paragraph 3 of this Article. The applications of the supervisory authority regarding the sequestration of assets shall be examined by Vilnius Regional Administrative Court.</w:t>
      </w:r>
    </w:p>
    <w:p w14:paraId="37122CB4" w14:textId="77777777" w:rsidR="00ED3A7E" w:rsidRPr="000550CF" w:rsidRDefault="00ED3A7E" w:rsidP="00F3494E">
      <w:pPr>
        <w:ind w:firstLine="720"/>
        <w:jc w:val="both"/>
      </w:pPr>
      <w:r>
        <w:t xml:space="preserve">7. </w:t>
      </w:r>
      <w:r>
        <w:rPr>
          <w:color w:val="000000"/>
          <w:szCs w:val="24"/>
        </w:rPr>
        <w:t>Where the supervisory authority establishes that the</w:t>
      </w:r>
      <w:r>
        <w:t xml:space="preserve"> financial brokerage firm to which the requirement specified in Article 14(2) of this Law applies infringes the requirements of this Law, Regulation (EU) No 575/2013, Articles 3, 4, 5, 6, 7, 14, 15, 16, 17, 24, 25 and 26 of Regulation (EU) No 600/2014, or the data available to the supervisory authority shows that in the short run due to the </w:t>
      </w:r>
      <w:r>
        <w:lastRenderedPageBreak/>
        <w:t>deteriorating financial condition the financial brokerage firm will breach them, the supervisory authority shall have the right to give to the financial brokerage firm the following instructions:</w:t>
      </w:r>
    </w:p>
    <w:p w14:paraId="4F49BADA" w14:textId="77777777" w:rsidR="00ED3A7E" w:rsidRPr="000550CF" w:rsidRDefault="00ED3A7E" w:rsidP="00F3494E">
      <w:pPr>
        <w:ind w:firstLine="720"/>
        <w:jc w:val="both"/>
      </w:pPr>
      <w:r>
        <w:t>1) to implement one or more of the procedures or arrangements specified in the recovery plan prepared in accordance with provisions of Articles 4 to 11 of the Law of the Republic of Lithuania on Financial Sustainability or to update the recovery plan, when the conditions that led to the application of instructions specified in this paragraph differ from the assumptions made in the recovery plan in effect, and implement one or more of the procedures or measures specified in the renewed recovery plan by the supervisory authority within a specified period ensuring that the conditions that led to the application of instructions specified in this paragraph are eliminated;</w:t>
      </w:r>
    </w:p>
    <w:p w14:paraId="5A920ABF" w14:textId="77777777" w:rsidR="00ED3A7E" w:rsidRPr="000550CF" w:rsidRDefault="00ED3A7E" w:rsidP="00F3494E">
      <w:pPr>
        <w:widowControl w:val="0"/>
        <w:ind w:firstLine="720"/>
        <w:jc w:val="both"/>
        <w:rPr>
          <w:szCs w:val="24"/>
        </w:rPr>
      </w:pPr>
      <w:r>
        <w:t xml:space="preserve">2) to develop and implement, within the time limit set by the supervisory authority, a plan of measures for modification in the financial brokerage firm’s activities acceptable to the supervisory </w:t>
      </w:r>
      <w:proofErr w:type="gramStart"/>
      <w:r>
        <w:t>authority;</w:t>
      </w:r>
      <w:proofErr w:type="gramEnd"/>
    </w:p>
    <w:p w14:paraId="2FB31B27" w14:textId="77777777" w:rsidR="00ED3A7E" w:rsidRPr="000550CF" w:rsidRDefault="00ED3A7E" w:rsidP="00F3494E">
      <w:pPr>
        <w:widowControl w:val="0"/>
        <w:ind w:firstLine="720"/>
        <w:jc w:val="both"/>
        <w:rPr>
          <w:szCs w:val="24"/>
        </w:rPr>
      </w:pPr>
      <w:r>
        <w:t xml:space="preserve">3) to convene a general meeting of shareholders of the financial brokerage firm and discuss there the issues proposed by the supervisory authority. Where management bodies of the financial brokerage firm fail to comply with the requirement to convene a general meeting of shareholders, the supervisory authority shall convene the general meeting of </w:t>
      </w:r>
      <w:proofErr w:type="gramStart"/>
      <w:r>
        <w:t>shareholders,  prepare</w:t>
      </w:r>
      <w:proofErr w:type="gramEnd"/>
      <w:r>
        <w:t xml:space="preserve"> its agenda and require that the issues proposed by the supervisory authority are considered;</w:t>
      </w:r>
    </w:p>
    <w:p w14:paraId="052571E0" w14:textId="77777777" w:rsidR="00ED3A7E" w:rsidRPr="000550CF" w:rsidRDefault="00ED3A7E" w:rsidP="00F3494E">
      <w:pPr>
        <w:widowControl w:val="0"/>
        <w:ind w:firstLine="720"/>
        <w:jc w:val="both"/>
        <w:rPr>
          <w:szCs w:val="24"/>
        </w:rPr>
      </w:pPr>
      <w:r>
        <w:t xml:space="preserve">4) to remove or replace one or more managers or persons who belong to the senior management of the financial brokerage firm where the supervisory authority finds out that they do not meet the requirements set out in Article 9 of this </w:t>
      </w:r>
      <w:proofErr w:type="gramStart"/>
      <w:r>
        <w:t>Law;</w:t>
      </w:r>
      <w:proofErr w:type="gramEnd"/>
    </w:p>
    <w:p w14:paraId="088E5587" w14:textId="77777777" w:rsidR="00ED3A7E" w:rsidRPr="000550CF" w:rsidRDefault="00ED3A7E" w:rsidP="00F3494E">
      <w:pPr>
        <w:widowControl w:val="0"/>
        <w:ind w:firstLine="720"/>
        <w:jc w:val="both"/>
        <w:rPr>
          <w:szCs w:val="24"/>
        </w:rPr>
      </w:pPr>
      <w:r>
        <w:t xml:space="preserve">5) to draw up a plan of negotiations on debt restructuring with some or all of its creditors in accordance with the recovery </w:t>
      </w:r>
      <w:proofErr w:type="gramStart"/>
      <w:r>
        <w:t>plan;</w:t>
      </w:r>
      <w:proofErr w:type="gramEnd"/>
    </w:p>
    <w:p w14:paraId="5773C387" w14:textId="77777777" w:rsidR="00ED3A7E" w:rsidRPr="000550CF" w:rsidRDefault="00ED3A7E" w:rsidP="00F3494E">
      <w:pPr>
        <w:widowControl w:val="0"/>
        <w:ind w:firstLine="720"/>
        <w:jc w:val="both"/>
        <w:rPr>
          <w:szCs w:val="24"/>
        </w:rPr>
      </w:pPr>
      <w:r>
        <w:t xml:space="preserve">6) to change the business strategy of the financial brokerage </w:t>
      </w:r>
      <w:proofErr w:type="gramStart"/>
      <w:r>
        <w:t>firm;</w:t>
      </w:r>
      <w:proofErr w:type="gramEnd"/>
      <w:r>
        <w:t xml:space="preserve"> </w:t>
      </w:r>
    </w:p>
    <w:p w14:paraId="0F2107AF" w14:textId="77777777" w:rsidR="00ED3A7E" w:rsidRPr="000550CF" w:rsidRDefault="00ED3A7E" w:rsidP="00F3494E">
      <w:pPr>
        <w:widowControl w:val="0"/>
        <w:ind w:firstLine="720"/>
        <w:jc w:val="both"/>
        <w:rPr>
          <w:szCs w:val="24"/>
        </w:rPr>
      </w:pPr>
      <w:r>
        <w:t xml:space="preserve">7) to change </w:t>
      </w:r>
      <w:proofErr w:type="gramStart"/>
      <w:r>
        <w:t>the  legal</w:t>
      </w:r>
      <w:proofErr w:type="gramEnd"/>
      <w:r>
        <w:t xml:space="preserve"> and organisational or operational structure of the financial brokerage firm.</w:t>
      </w:r>
    </w:p>
    <w:p w14:paraId="01307ECC" w14:textId="77777777" w:rsidR="00ED3A7E" w:rsidRPr="000550CF" w:rsidRDefault="00ED3A7E" w:rsidP="00F3494E">
      <w:pPr>
        <w:ind w:firstLine="720"/>
        <w:jc w:val="both"/>
      </w:pPr>
      <w:r>
        <w:t>8. Where the mandatory instructions set out in paragraph 7 of this Article are given to the financial brokerage firm which is subject to the requirement of Article 14(2) of this Law and which is a part of a financial group, the provisions of Article 75</w:t>
      </w:r>
      <w:r>
        <w:rPr>
          <w:szCs w:val="24"/>
          <w:vertAlign w:val="superscript"/>
        </w:rPr>
        <w:t>2</w:t>
      </w:r>
      <w:r>
        <w:t xml:space="preserve"> of the Law of the Republic of Lithuania on Banks shall apply mutatis mutandis</w:t>
      </w:r>
      <w:r>
        <w:rPr>
          <w:i/>
          <w:szCs w:val="24"/>
        </w:rPr>
        <w:t xml:space="preserve"> </w:t>
      </w:r>
      <w:r>
        <w:t>to such firm.</w:t>
      </w:r>
    </w:p>
    <w:p w14:paraId="413F95F3" w14:textId="55266B31" w:rsidR="0024375F" w:rsidRPr="0024375F" w:rsidRDefault="00ED3A7E" w:rsidP="0024375F">
      <w:pPr>
        <w:spacing w:line="360" w:lineRule="atLeast"/>
        <w:ind w:firstLine="720"/>
        <w:jc w:val="both"/>
        <w:rPr>
          <w:color w:val="000000"/>
          <w:szCs w:val="24"/>
        </w:rPr>
      </w:pPr>
      <w:r>
        <w:t xml:space="preserve">9.  </w:t>
      </w:r>
      <w:r>
        <w:rPr>
          <w:color w:val="000000"/>
          <w:szCs w:val="24"/>
        </w:rPr>
        <w:t>A financial brokerage firm, financial advisory firm, branch of a third country’s company, market operator, central depository, authorised adviser, institutional investor, asset manager or transactions reporting service provider must comply with the instructions laid down in paragraph 3 of this Article within the time limits set by the supervisory authority and notify the supervisory authority in writing without delay</w:t>
      </w:r>
      <w:r>
        <w:rPr>
          <w:color w:val="000000"/>
          <w:szCs w:val="24"/>
          <w:shd w:val="clear" w:color="auto" w:fill="FFFFFF"/>
        </w:rPr>
        <w:t xml:space="preserve"> but not later than the next business day after the compliance with the instruction</w:t>
      </w:r>
      <w:r>
        <w:rPr>
          <w:color w:val="000000"/>
          <w:szCs w:val="24"/>
        </w:rPr>
        <w:t>.</w:t>
      </w:r>
      <w:r>
        <w:rPr>
          <w:color w:val="000000"/>
          <w:szCs w:val="24"/>
          <w:shd w:val="clear" w:color="auto" w:fill="FFFFFF"/>
        </w:rPr>
        <w:t xml:space="preserve"> A financial brokerage firm to which the requirement referred to in Article 14(2) of this Law applies, must also comply with the instructions set out in paragraph 7 of this Article within the terms set by the supervisory authority and notify the supervisory authority in writing immediately, but no later than the next business day after the execution of the instruction.</w:t>
      </w:r>
    </w:p>
    <w:p w14:paraId="3F6857EE" w14:textId="77777777" w:rsidR="0024375F" w:rsidRDefault="0024375F" w:rsidP="0024375F">
      <w:pPr>
        <w:rPr>
          <w:color w:val="000000"/>
          <w:sz w:val="27"/>
          <w:szCs w:val="27"/>
        </w:rPr>
      </w:pPr>
      <w:r>
        <w:rPr>
          <w:i/>
          <w:iCs/>
          <w:color w:val="000000"/>
          <w:sz w:val="20"/>
        </w:rPr>
        <w:t>Amendments to the paragraph of the Article:</w:t>
      </w:r>
    </w:p>
    <w:p w14:paraId="21021855" w14:textId="77777777" w:rsidR="0024375F" w:rsidRDefault="0024375F" w:rsidP="0024375F">
      <w:pPr>
        <w:jc w:val="both"/>
        <w:rPr>
          <w:color w:val="000000"/>
          <w:sz w:val="27"/>
          <w:szCs w:val="27"/>
        </w:rPr>
      </w:pPr>
      <w:r>
        <w:rPr>
          <w:i/>
          <w:iCs/>
          <w:color w:val="000000"/>
          <w:sz w:val="20"/>
        </w:rPr>
        <w:t xml:space="preserve">No </w:t>
      </w:r>
      <w:hyperlink r:id="rId180" w:tgtFrame="_parent" w:history="1">
        <w:r>
          <w:rPr>
            <w:rStyle w:val="Hyperlink"/>
            <w:i/>
            <w:iCs/>
            <w:sz w:val="20"/>
          </w:rPr>
          <w:t>XIII-2252</w:t>
        </w:r>
      </w:hyperlink>
      <w:r>
        <w:rPr>
          <w:i/>
          <w:iCs/>
          <w:color w:val="000000"/>
          <w:sz w:val="20"/>
        </w:rPr>
        <w:t>, 27/06/2019, published in the RLA, 05/07/2019, ID code 2019-11172</w:t>
      </w:r>
    </w:p>
    <w:p w14:paraId="3C7D10C1" w14:textId="686C4AAB" w:rsidR="00ED3A7E" w:rsidRPr="000550CF" w:rsidRDefault="00ED3A7E" w:rsidP="00F3494E">
      <w:pPr>
        <w:widowControl w:val="0"/>
        <w:ind w:firstLine="720"/>
        <w:jc w:val="both"/>
        <w:rPr>
          <w:szCs w:val="24"/>
          <w:lang w:eastAsia="lt-LT"/>
        </w:rPr>
      </w:pPr>
    </w:p>
    <w:p w14:paraId="24F8A23E" w14:textId="4D599A3E" w:rsidR="00ED3A7E" w:rsidRDefault="00ED3A7E" w:rsidP="00F3494E">
      <w:pPr>
        <w:ind w:firstLine="720"/>
        <w:jc w:val="both"/>
      </w:pPr>
      <w:r>
        <w:t>10. Having established that the financial brokerage firm which is subject to the requirement of Article 14(2) of this Law meets the conditions of paragraph 7 of this Article, the supervisory authority shall immediately notify this to the resolution authority of financial sector entities (hereinafter – the resolution authority). In such case (including the cases when the supervisory authority carries out inspections under this Article), the supervisory authority shall have the right to obtain all information necessary for the updating of restructuring plan prepared in accordance with the Law on Financial Sustainability, preparation for the possible restructuring of the financial brokerage firm and for the evaluation of its assets and liabilities. The supervisory authority shall communicate this information to the resolution authority.</w:t>
      </w:r>
    </w:p>
    <w:p w14:paraId="656CD2F7" w14:textId="77777777" w:rsidR="0024375F" w:rsidRDefault="0024375F" w:rsidP="0024375F">
      <w:pPr>
        <w:spacing w:line="360" w:lineRule="atLeast"/>
        <w:ind w:firstLine="720"/>
        <w:jc w:val="both"/>
        <w:rPr>
          <w:color w:val="000000"/>
        </w:rPr>
      </w:pPr>
      <w:r>
        <w:rPr>
          <w:color w:val="000000"/>
        </w:rPr>
        <w:lastRenderedPageBreak/>
        <w:t>10</w:t>
      </w:r>
      <w:r>
        <w:rPr>
          <w:color w:val="000000"/>
          <w:vertAlign w:val="superscript"/>
        </w:rPr>
        <w:t>1</w:t>
      </w:r>
      <w:r>
        <w:rPr>
          <w:color w:val="000000"/>
        </w:rPr>
        <w:t>. By applying point 15 of paragraph 3 of this Article, the supervisory authority may establish requirements for financial brokerage firms to provide additional information or to provide it more often than specified in Regulation (EU) 2019/2033, if the information to be provided is not duplicated and one of the following conditions is met:</w:t>
      </w:r>
    </w:p>
    <w:p w14:paraId="1AE62D91" w14:textId="77777777" w:rsidR="0024375F" w:rsidRDefault="0024375F" w:rsidP="0024375F">
      <w:pPr>
        <w:spacing w:line="360" w:lineRule="atLeast"/>
        <w:ind w:firstLine="720"/>
        <w:jc w:val="both"/>
        <w:rPr>
          <w:color w:val="000000"/>
        </w:rPr>
      </w:pPr>
      <w:bookmarkStart w:id="281" w:name="part_2fb9e21046674dbca549fa45ff114b0a"/>
      <w:bookmarkEnd w:id="281"/>
      <w:r>
        <w:rPr>
          <w:color w:val="000000"/>
        </w:rPr>
        <w:t xml:space="preserve">1) one of the grounds specified in points 1 and 2 of paragraph 4 of this Article </w:t>
      </w:r>
      <w:proofErr w:type="gramStart"/>
      <w:r>
        <w:rPr>
          <w:color w:val="000000"/>
        </w:rPr>
        <w:t>applies;</w:t>
      </w:r>
      <w:proofErr w:type="gramEnd"/>
    </w:p>
    <w:p w14:paraId="0B6ED35E" w14:textId="77777777" w:rsidR="0024375F" w:rsidRDefault="0024375F" w:rsidP="0024375F">
      <w:pPr>
        <w:spacing w:line="360" w:lineRule="atLeast"/>
        <w:ind w:firstLine="720"/>
        <w:jc w:val="both"/>
        <w:rPr>
          <w:color w:val="000000"/>
        </w:rPr>
      </w:pPr>
      <w:bookmarkStart w:id="282" w:name="part_c6d12a43979247c5b24f5cb953bafa1d"/>
      <w:bookmarkEnd w:id="282"/>
      <w:r>
        <w:rPr>
          <w:color w:val="000000"/>
        </w:rPr>
        <w:t xml:space="preserve">2) in the view of the supervisory authority, it is necessary to collect data that could be used to prove that there is a basis referred to in point 2 of paragraph 4 of this </w:t>
      </w:r>
      <w:proofErr w:type="gramStart"/>
      <w:r>
        <w:rPr>
          <w:color w:val="000000"/>
        </w:rPr>
        <w:t>Article;</w:t>
      </w:r>
      <w:proofErr w:type="gramEnd"/>
    </w:p>
    <w:p w14:paraId="35AF7FC3" w14:textId="77777777" w:rsidR="0024375F" w:rsidRDefault="0024375F" w:rsidP="0024375F">
      <w:pPr>
        <w:spacing w:line="360" w:lineRule="atLeast"/>
        <w:ind w:firstLine="720"/>
        <w:jc w:val="both"/>
        <w:rPr>
          <w:color w:val="000000"/>
        </w:rPr>
      </w:pPr>
      <w:bookmarkStart w:id="283" w:name="part_186475d0286b4590ad7b99432a9fcfe7"/>
      <w:bookmarkEnd w:id="283"/>
      <w:r>
        <w:rPr>
          <w:color w:val="000000"/>
        </w:rPr>
        <w:t xml:space="preserve">3) additional information is requested </w:t>
      </w:r>
      <w:proofErr w:type="gramStart"/>
      <w:r>
        <w:rPr>
          <w:color w:val="000000"/>
        </w:rPr>
        <w:t>in the course of</w:t>
      </w:r>
      <w:proofErr w:type="gramEnd"/>
      <w:r>
        <w:rPr>
          <w:color w:val="000000"/>
        </w:rPr>
        <w:t xml:space="preserve"> a supervisory review and assessment referred to in Article 152 of this Law.</w:t>
      </w:r>
    </w:p>
    <w:p w14:paraId="28C521AD" w14:textId="77777777" w:rsidR="0024375F" w:rsidRDefault="0024375F" w:rsidP="0024375F">
      <w:pPr>
        <w:rPr>
          <w:color w:val="000000"/>
        </w:rPr>
      </w:pPr>
      <w:r>
        <w:rPr>
          <w:i/>
          <w:iCs/>
          <w:color w:val="000000"/>
          <w:sz w:val="20"/>
        </w:rPr>
        <w:t>Supplemented with the paragraph to the Article:</w:t>
      </w:r>
    </w:p>
    <w:p w14:paraId="60AEB7AF" w14:textId="263CA491" w:rsidR="0024375F" w:rsidRDefault="0024375F" w:rsidP="0024375F">
      <w:pPr>
        <w:jc w:val="both"/>
        <w:rPr>
          <w:color w:val="000000"/>
        </w:rPr>
      </w:pPr>
      <w:r>
        <w:rPr>
          <w:i/>
          <w:iCs/>
          <w:color w:val="000000"/>
          <w:sz w:val="20"/>
        </w:rPr>
        <w:t xml:space="preserve">No </w:t>
      </w:r>
      <w:hyperlink r:id="rId181" w:tgtFrame="_parent" w:history="1">
        <w:r>
          <w:rPr>
            <w:rStyle w:val="Hyperlink"/>
            <w:i/>
            <w:iCs/>
            <w:sz w:val="20"/>
          </w:rPr>
          <w:t>XIV-821</w:t>
        </w:r>
      </w:hyperlink>
      <w:r>
        <w:rPr>
          <w:i/>
          <w:iCs/>
          <w:color w:val="000000"/>
          <w:sz w:val="20"/>
        </w:rPr>
        <w:t>, 23/12/2021, published in the RLA, 30/12/2021, ID code 2021-27710</w:t>
      </w:r>
    </w:p>
    <w:p w14:paraId="29C991DD" w14:textId="77777777" w:rsidR="0024375F" w:rsidRDefault="0024375F" w:rsidP="0024375F">
      <w:pPr>
        <w:spacing w:line="360" w:lineRule="atLeast"/>
        <w:ind w:firstLine="720"/>
        <w:jc w:val="both"/>
        <w:rPr>
          <w:color w:val="000000"/>
        </w:rPr>
      </w:pPr>
      <w:bookmarkStart w:id="284" w:name="part_8bbfbc67789d47e590da482ec1023d13"/>
      <w:bookmarkEnd w:id="284"/>
      <w:r>
        <w:rPr>
          <w:color w:val="000000"/>
        </w:rPr>
        <w:t>10</w:t>
      </w:r>
      <w:r>
        <w:rPr>
          <w:color w:val="000000"/>
          <w:vertAlign w:val="superscript"/>
        </w:rPr>
        <w:t>2</w:t>
      </w:r>
      <w:r>
        <w:rPr>
          <w:color w:val="000000"/>
        </w:rPr>
        <w:t>. For the purposes of paragraph 10</w:t>
      </w:r>
      <w:r>
        <w:rPr>
          <w:color w:val="000000"/>
          <w:vertAlign w:val="superscript"/>
        </w:rPr>
        <w:t>1</w:t>
      </w:r>
      <w:r>
        <w:rPr>
          <w:color w:val="000000"/>
        </w:rPr>
        <w:t xml:space="preserve"> of this Article, information shall </w:t>
      </w:r>
      <w:proofErr w:type="gramStart"/>
      <w:r>
        <w:rPr>
          <w:color w:val="000000"/>
        </w:rPr>
        <w:t>be considered to be</w:t>
      </w:r>
      <w:proofErr w:type="gramEnd"/>
      <w:r>
        <w:rPr>
          <w:color w:val="000000"/>
        </w:rPr>
        <w:t xml:space="preserve"> duplicated when the supervisory authority already has the same or substantially the same information or when the supervisory authority is capable of preparing that information or can obtain it in other ways than requesting it to be provided by a financial brokerage firm.  The supervisory authority shall not request additional information when it already has the information in a different format or in a different detail than the additional information that should be provided, and the different format or detail does not prevent it from preparing substantially similar information.</w:t>
      </w:r>
    </w:p>
    <w:p w14:paraId="34ED843B" w14:textId="77777777" w:rsidR="0024375F" w:rsidRDefault="0024375F" w:rsidP="0024375F">
      <w:pPr>
        <w:rPr>
          <w:color w:val="000000"/>
        </w:rPr>
      </w:pPr>
      <w:r>
        <w:rPr>
          <w:i/>
          <w:iCs/>
          <w:color w:val="000000"/>
          <w:sz w:val="20"/>
        </w:rPr>
        <w:t>Supplemented with the paragraph to the Article:</w:t>
      </w:r>
    </w:p>
    <w:p w14:paraId="0F743D00" w14:textId="3BA48C4E" w:rsidR="0024375F" w:rsidRDefault="0024375F" w:rsidP="0024375F">
      <w:pPr>
        <w:jc w:val="both"/>
        <w:rPr>
          <w:color w:val="000000"/>
        </w:rPr>
      </w:pPr>
      <w:r>
        <w:rPr>
          <w:i/>
          <w:iCs/>
          <w:color w:val="000000"/>
          <w:sz w:val="20"/>
        </w:rPr>
        <w:t xml:space="preserve">No </w:t>
      </w:r>
      <w:hyperlink r:id="rId182" w:tgtFrame="_parent" w:history="1">
        <w:r>
          <w:rPr>
            <w:rStyle w:val="Hyperlink"/>
            <w:i/>
            <w:iCs/>
            <w:sz w:val="20"/>
          </w:rPr>
          <w:t>XIV-821</w:t>
        </w:r>
      </w:hyperlink>
      <w:r>
        <w:rPr>
          <w:i/>
          <w:iCs/>
          <w:color w:val="000000"/>
          <w:sz w:val="20"/>
        </w:rPr>
        <w:t>, 23/12/2021, published in the RLA, 30/12/2021, ID code 2021-27710</w:t>
      </w:r>
    </w:p>
    <w:p w14:paraId="017F2CFF" w14:textId="77777777" w:rsidR="0024375F" w:rsidRPr="000550CF" w:rsidRDefault="0024375F" w:rsidP="00F3494E">
      <w:pPr>
        <w:ind w:firstLine="720"/>
        <w:jc w:val="both"/>
        <w:rPr>
          <w:lang w:eastAsia="lt-LT"/>
        </w:rPr>
      </w:pPr>
    </w:p>
    <w:p w14:paraId="7174F990" w14:textId="77777777" w:rsidR="00ED3A7E" w:rsidRPr="000550CF" w:rsidRDefault="00ED3A7E" w:rsidP="00F3494E">
      <w:pPr>
        <w:widowControl w:val="0"/>
        <w:ind w:firstLine="720"/>
        <w:jc w:val="both"/>
        <w:rPr>
          <w:szCs w:val="24"/>
        </w:rPr>
      </w:pPr>
      <w:r>
        <w:t>11. In case restrictive measures are applied under this Law in respect of the financial brokerage firm’s activities or liquidation proceedings of the financial brokerage firm are initiated within the meaning of Article 121 of the Law on Financial Sustainability, the supervisory authority shall have mutatis mutandis the rights and obligations established for the resolution authority in accordance with Chapter VII of the Law on Financial Sustainability.</w:t>
      </w:r>
    </w:p>
    <w:p w14:paraId="2F970FBC" w14:textId="77777777" w:rsidR="00ED3A7E" w:rsidRPr="000550CF" w:rsidRDefault="00ED3A7E" w:rsidP="00F3494E">
      <w:pPr>
        <w:widowControl w:val="0"/>
        <w:ind w:firstLine="720"/>
        <w:jc w:val="both"/>
        <w:rPr>
          <w:szCs w:val="24"/>
        </w:rPr>
      </w:pPr>
      <w:r>
        <w:t>12. The supervisory authority may request supervisory authorities of Member States to carry out the necessary inspections in their territory and to allow its personnel to participate during such inspections.</w:t>
      </w:r>
    </w:p>
    <w:p w14:paraId="5143740A" w14:textId="77777777" w:rsidR="00ED3A7E" w:rsidRPr="000550CF" w:rsidRDefault="00ED3A7E" w:rsidP="00F3494E">
      <w:pPr>
        <w:widowControl w:val="0"/>
        <w:ind w:firstLine="720"/>
        <w:jc w:val="both"/>
        <w:rPr>
          <w:szCs w:val="24"/>
        </w:rPr>
      </w:pPr>
      <w:r>
        <w:t>13. The supervisory authority may apply to ESMA where a supervisory authority of another Member State:</w:t>
      </w:r>
    </w:p>
    <w:p w14:paraId="23C78E2F" w14:textId="77777777" w:rsidR="00ED3A7E" w:rsidRPr="000550CF" w:rsidRDefault="00ED3A7E" w:rsidP="00F3494E">
      <w:pPr>
        <w:widowControl w:val="0"/>
        <w:ind w:firstLine="720"/>
        <w:jc w:val="both"/>
        <w:rPr>
          <w:szCs w:val="24"/>
        </w:rPr>
      </w:pPr>
      <w:r>
        <w:t xml:space="preserve">1) fails to act on time concerning the request for information or refuses to provide </w:t>
      </w:r>
      <w:proofErr w:type="gramStart"/>
      <w:r>
        <w:t>information;</w:t>
      </w:r>
      <w:proofErr w:type="gramEnd"/>
    </w:p>
    <w:p w14:paraId="39A65FCA" w14:textId="77777777" w:rsidR="00ED3A7E" w:rsidRPr="000550CF" w:rsidRDefault="00ED3A7E" w:rsidP="00F3494E">
      <w:pPr>
        <w:widowControl w:val="0"/>
        <w:ind w:firstLine="720"/>
        <w:jc w:val="both"/>
        <w:rPr>
          <w:szCs w:val="24"/>
        </w:rPr>
      </w:pPr>
      <w:r>
        <w:t xml:space="preserve">2) fails to act on time concerning the request for cooperation in carrying out supervision, or inspection within the meaning of Article 96 of this Law, or reject the </w:t>
      </w:r>
      <w:proofErr w:type="gramStart"/>
      <w:r>
        <w:t>request;</w:t>
      </w:r>
      <w:proofErr w:type="gramEnd"/>
    </w:p>
    <w:p w14:paraId="3EB5A37F" w14:textId="77777777" w:rsidR="00ED3A7E" w:rsidRPr="000550CF" w:rsidRDefault="00ED3A7E" w:rsidP="00F3494E">
      <w:pPr>
        <w:widowControl w:val="0"/>
        <w:ind w:firstLine="720"/>
        <w:jc w:val="both"/>
        <w:rPr>
          <w:szCs w:val="24"/>
        </w:rPr>
      </w:pPr>
      <w:r>
        <w:t>3) fails to act on time concerning the request to allow the personnel of the supervisory authority to participate in the inspection in the territory of that Member State or rejects it.</w:t>
      </w:r>
    </w:p>
    <w:p w14:paraId="594E142E" w14:textId="77777777" w:rsidR="00ED3A7E" w:rsidRPr="000550CF" w:rsidRDefault="00ED3A7E" w:rsidP="00F3494E">
      <w:pPr>
        <w:widowControl w:val="0"/>
        <w:ind w:firstLine="720"/>
        <w:jc w:val="both"/>
        <w:rPr>
          <w:szCs w:val="24"/>
        </w:rPr>
      </w:pPr>
      <w:r>
        <w:t>14. When taking a decision on giving of mandatory instructions under paragraph 7 of this Article, the supervisory authority shall also follow the applicable legal acts of the European Union.</w:t>
      </w:r>
    </w:p>
    <w:p w14:paraId="0416A7FD" w14:textId="77777777" w:rsidR="0024375F" w:rsidRPr="0024375F" w:rsidRDefault="0024375F" w:rsidP="0024375F">
      <w:pPr>
        <w:spacing w:line="360" w:lineRule="atLeast"/>
        <w:ind w:firstLine="720"/>
        <w:jc w:val="both"/>
        <w:rPr>
          <w:color w:val="000000"/>
          <w:szCs w:val="24"/>
        </w:rPr>
      </w:pPr>
      <w:r>
        <w:rPr>
          <w:color w:val="000000"/>
          <w:szCs w:val="24"/>
        </w:rPr>
        <w:t>15. The supervisory authority shall inform the resolution authority about the amounts of the additional capital requirement determined in accordance with sub-paragraph 6 of paragraph 3 of this Article.</w:t>
      </w:r>
    </w:p>
    <w:p w14:paraId="74374CBB" w14:textId="77777777" w:rsidR="0024375F" w:rsidRDefault="0024375F" w:rsidP="0024375F">
      <w:pPr>
        <w:rPr>
          <w:color w:val="000000"/>
          <w:sz w:val="27"/>
          <w:szCs w:val="27"/>
        </w:rPr>
      </w:pPr>
      <w:r>
        <w:rPr>
          <w:i/>
          <w:iCs/>
          <w:color w:val="000000"/>
          <w:sz w:val="20"/>
        </w:rPr>
        <w:t>Supplemented with the paragraph to the Article:</w:t>
      </w:r>
    </w:p>
    <w:p w14:paraId="08878824" w14:textId="77777777" w:rsidR="0024375F" w:rsidRDefault="0024375F" w:rsidP="0024375F">
      <w:pPr>
        <w:jc w:val="both"/>
        <w:rPr>
          <w:color w:val="000000"/>
          <w:sz w:val="27"/>
          <w:szCs w:val="27"/>
        </w:rPr>
      </w:pPr>
      <w:r>
        <w:rPr>
          <w:i/>
          <w:iCs/>
          <w:color w:val="000000"/>
          <w:sz w:val="20"/>
        </w:rPr>
        <w:t xml:space="preserve">No </w:t>
      </w:r>
      <w:hyperlink r:id="rId183" w:tgtFrame="_parent" w:history="1">
        <w:r>
          <w:rPr>
            <w:rStyle w:val="Hyperlink"/>
            <w:i/>
            <w:iCs/>
            <w:sz w:val="20"/>
          </w:rPr>
          <w:t>XIV-767</w:t>
        </w:r>
      </w:hyperlink>
      <w:r>
        <w:rPr>
          <w:i/>
          <w:iCs/>
          <w:color w:val="000000"/>
          <w:sz w:val="20"/>
        </w:rPr>
        <w:t>, 14/12/2021, published in the RLA, 23/12/2021, ID code 2021-26896</w:t>
      </w:r>
    </w:p>
    <w:p w14:paraId="236908C5" w14:textId="77777777" w:rsidR="00ED3A7E" w:rsidRPr="000550CF" w:rsidRDefault="00ED3A7E" w:rsidP="00F3494E">
      <w:pPr>
        <w:widowControl w:val="0"/>
        <w:ind w:firstLine="720"/>
        <w:jc w:val="both"/>
        <w:rPr>
          <w:szCs w:val="24"/>
          <w:lang w:eastAsia="lt-LT"/>
        </w:rPr>
      </w:pPr>
    </w:p>
    <w:p w14:paraId="0F82422A" w14:textId="77777777" w:rsidR="00ED3A7E" w:rsidRPr="000550CF" w:rsidRDefault="00ED3A7E" w:rsidP="00F3494E">
      <w:pPr>
        <w:widowControl w:val="0"/>
        <w:ind w:firstLine="720"/>
        <w:jc w:val="both"/>
        <w:rPr>
          <w:szCs w:val="24"/>
        </w:rPr>
      </w:pPr>
      <w:r>
        <w:rPr>
          <w:b/>
          <w:szCs w:val="24"/>
        </w:rPr>
        <w:t xml:space="preserve">Article 103. Temporary representative for supervision of activities of a financial brokerage firm </w:t>
      </w:r>
    </w:p>
    <w:p w14:paraId="1330FB82" w14:textId="77777777" w:rsidR="00ED3A7E" w:rsidRPr="000550CF" w:rsidRDefault="00ED3A7E" w:rsidP="00F3494E">
      <w:pPr>
        <w:widowControl w:val="0"/>
        <w:ind w:firstLine="720"/>
        <w:jc w:val="both"/>
        <w:rPr>
          <w:szCs w:val="24"/>
        </w:rPr>
      </w:pPr>
      <w:r>
        <w:t xml:space="preserve">1. In urgent cases, where the data on any threat to safe and sound operations of a financial brokerage firm are available, the supervisory authority may appoint a temporary representative for </w:t>
      </w:r>
      <w:r>
        <w:lastRenderedPageBreak/>
        <w:t xml:space="preserve">supervision of activities of the financial brokerage firm (hereinafter – a representative for supervision of activities) </w:t>
      </w:r>
      <w:proofErr w:type="gramStart"/>
      <w:r>
        <w:t>in order to</w:t>
      </w:r>
      <w:proofErr w:type="gramEnd"/>
      <w:r>
        <w:t xml:space="preserve"> avoid the threat to financial instruments or funds of clients transferred to the financial brokerage firm.</w:t>
      </w:r>
    </w:p>
    <w:p w14:paraId="592D712F" w14:textId="77777777" w:rsidR="00ED3A7E" w:rsidRPr="000550CF" w:rsidRDefault="00ED3A7E" w:rsidP="00F3494E">
      <w:pPr>
        <w:widowControl w:val="0"/>
        <w:ind w:firstLine="720"/>
        <w:jc w:val="both"/>
        <w:rPr>
          <w:szCs w:val="24"/>
        </w:rPr>
      </w:pPr>
      <w:r>
        <w:t xml:space="preserve">2. </w:t>
      </w:r>
      <w:r>
        <w:rPr>
          <w:color w:val="000000"/>
        </w:rPr>
        <w:t xml:space="preserve">A legal or natural person may be appointed a representative for supervision of activities. A natural person or the head of a legal person appointed a representative for supervision of activities shall be subject </w:t>
      </w:r>
      <w:r>
        <w:rPr>
          <w:iCs/>
          <w:color w:val="000000"/>
        </w:rPr>
        <w:t>mutatis mutandis</w:t>
      </w:r>
      <w:r>
        <w:rPr>
          <w:color w:val="000000"/>
        </w:rPr>
        <w:t xml:space="preserve"> to the requirements of good repute, qualification and experience specified in Article 9(1) of this Law. Where a natural person is appointed a representative for supervision of activities, an assistant of the representative for supervision of activities may be appointed. Salaries of the representative for supervision of activities and his assistant, taking account of the scope of their activities, qualifications and period of service shall be determined by the supervisory authority. Salaries shall be paid from funds of an electronic money institution or a branch of the financial brokerage firm. An employee of the supervisory authority may not be appointed a representative for supervision of activities and his assistant</w:t>
      </w:r>
      <w:r>
        <w:t>.</w:t>
      </w:r>
    </w:p>
    <w:p w14:paraId="3F5BF270" w14:textId="77777777" w:rsidR="00ED3A7E" w:rsidRPr="000550CF" w:rsidRDefault="00ED3A7E" w:rsidP="00F3494E">
      <w:pPr>
        <w:ind w:firstLine="720"/>
        <w:jc w:val="both"/>
      </w:pPr>
      <w:r>
        <w:t xml:space="preserve">3. Managers of a financial brokerage firm </w:t>
      </w:r>
      <w:r>
        <w:rPr>
          <w:color w:val="000000"/>
        </w:rPr>
        <w:t xml:space="preserve">must obtain the consent of a representative for supervision of activities concerning each decision relating to the firm’s activities. All decisions of the </w:t>
      </w:r>
      <w:r>
        <w:t xml:space="preserve">financial brokerage firm </w:t>
      </w:r>
      <w:r>
        <w:rPr>
          <w:color w:val="000000"/>
        </w:rPr>
        <w:t>taken without the consent of the representative for supervision of activities after the date of entry into force of the decision to appoint the representative for supervision of activities shall be null and void</w:t>
      </w:r>
      <w:r>
        <w:t>.</w:t>
      </w:r>
    </w:p>
    <w:p w14:paraId="45708EC6" w14:textId="77777777" w:rsidR="00ED3A7E" w:rsidRPr="000550CF" w:rsidRDefault="00ED3A7E" w:rsidP="00F3494E">
      <w:pPr>
        <w:ind w:firstLine="720"/>
        <w:jc w:val="both"/>
      </w:pPr>
      <w:r>
        <w:t xml:space="preserve">4. </w:t>
      </w:r>
      <w:r>
        <w:rPr>
          <w:color w:val="000000"/>
        </w:rPr>
        <w:t>A representative for supervision of activities shall disagree with the decisions taken by m</w:t>
      </w:r>
      <w:r>
        <w:t xml:space="preserve">anagers of a financial brokerage firm </w:t>
      </w:r>
      <w:r>
        <w:rPr>
          <w:color w:val="000000"/>
        </w:rPr>
        <w:t xml:space="preserve">where, in his opinion, such decisions </w:t>
      </w:r>
      <w:proofErr w:type="gramStart"/>
      <w:r>
        <w:rPr>
          <w:color w:val="000000"/>
        </w:rPr>
        <w:t>are in conflict with</w:t>
      </w:r>
      <w:proofErr w:type="gramEnd"/>
      <w:r>
        <w:rPr>
          <w:color w:val="000000"/>
        </w:rPr>
        <w:t xml:space="preserve"> the legal acts regulating safe and sound activities of the </w:t>
      </w:r>
      <w:r>
        <w:t xml:space="preserve">financial brokerage firm </w:t>
      </w:r>
      <w:r>
        <w:rPr>
          <w:color w:val="000000"/>
        </w:rPr>
        <w:t xml:space="preserve">or pose a threat to the stability and soundness of activities of the </w:t>
      </w:r>
      <w:r>
        <w:t>financial brokerage firm</w:t>
      </w:r>
      <w:r>
        <w:rPr>
          <w:color w:val="000000"/>
        </w:rPr>
        <w:t xml:space="preserve"> for other reasons</w:t>
      </w:r>
      <w:r>
        <w:t xml:space="preserve">. </w:t>
      </w:r>
      <w:r>
        <w:rPr>
          <w:color w:val="000000"/>
        </w:rPr>
        <w:t xml:space="preserve">In performing his functions, a representative for supervision of activities shall be subject </w:t>
      </w:r>
      <w:r>
        <w:rPr>
          <w:iCs/>
          <w:color w:val="000000"/>
        </w:rPr>
        <w:t>mutatis mutandis</w:t>
      </w:r>
      <w:r>
        <w:rPr>
          <w:color w:val="000000"/>
        </w:rPr>
        <w:t xml:space="preserve"> to provisions of Article</w:t>
      </w:r>
      <w:r>
        <w:t xml:space="preserve"> 42</w:t>
      </w:r>
      <w:r>
        <w:rPr>
          <w:bCs/>
          <w:vertAlign w:val="superscript"/>
        </w:rPr>
        <w:t>1</w:t>
      </w:r>
      <w:r>
        <w:t xml:space="preserve">(5) of the Law on the Bank of Lithuania. </w:t>
      </w:r>
      <w:r>
        <w:rPr>
          <w:color w:val="000000"/>
        </w:rPr>
        <w:t>A representative for supervision of activities must provide to the supervisory authority the information specified by it</w:t>
      </w:r>
      <w:r>
        <w:t>.</w:t>
      </w:r>
    </w:p>
    <w:p w14:paraId="0A2224D7" w14:textId="77777777" w:rsidR="00ED3A7E" w:rsidRPr="000550CF" w:rsidRDefault="00ED3A7E" w:rsidP="00F3494E">
      <w:pPr>
        <w:ind w:firstLine="720"/>
        <w:jc w:val="both"/>
      </w:pPr>
      <w:r>
        <w:t xml:space="preserve">5. </w:t>
      </w:r>
      <w:r>
        <w:rPr>
          <w:color w:val="000000"/>
        </w:rPr>
        <w:t xml:space="preserve">A decision to appoint or remove a representative for supervision of activities shall be notified to the </w:t>
      </w:r>
      <w:r>
        <w:t>financial brokerage firm</w:t>
      </w:r>
      <w:r>
        <w:rPr>
          <w:color w:val="000000"/>
        </w:rPr>
        <w:t xml:space="preserve"> and the Register of Legal Entities and shall also published on the website of the supervisory authority no later than on the next business day after taking the decision</w:t>
      </w:r>
      <w:r>
        <w:t xml:space="preserve">. </w:t>
      </w:r>
    </w:p>
    <w:p w14:paraId="5AEBF697" w14:textId="77777777" w:rsidR="00ED3A7E" w:rsidRPr="000550CF" w:rsidRDefault="00ED3A7E" w:rsidP="00F3494E">
      <w:pPr>
        <w:ind w:firstLine="720"/>
        <w:jc w:val="both"/>
      </w:pPr>
      <w:r>
        <w:t xml:space="preserve">6. </w:t>
      </w:r>
      <w:r>
        <w:rPr>
          <w:color w:val="000000"/>
        </w:rPr>
        <w:t>A representative for supervision of activities shall be removed when</w:t>
      </w:r>
      <w:r>
        <w:t>:</w:t>
      </w:r>
    </w:p>
    <w:p w14:paraId="295FD852" w14:textId="77777777" w:rsidR="00ED3A7E" w:rsidRPr="000550CF" w:rsidRDefault="00ED3A7E" w:rsidP="00F3494E">
      <w:pPr>
        <w:ind w:firstLine="720"/>
        <w:jc w:val="both"/>
      </w:pPr>
      <w:r>
        <w:t xml:space="preserve">1) </w:t>
      </w:r>
      <w:r>
        <w:rPr>
          <w:color w:val="000000"/>
        </w:rPr>
        <w:t xml:space="preserve">it is established that the </w:t>
      </w:r>
      <w:r>
        <w:t>financial brokerage firm</w:t>
      </w:r>
      <w:r>
        <w:rPr>
          <w:color w:val="000000"/>
        </w:rPr>
        <w:t xml:space="preserve"> is capable of operating in a stable and sound </w:t>
      </w:r>
      <w:proofErr w:type="gramStart"/>
      <w:r>
        <w:rPr>
          <w:color w:val="000000"/>
        </w:rPr>
        <w:t>manner</w:t>
      </w:r>
      <w:r>
        <w:t>;</w:t>
      </w:r>
      <w:proofErr w:type="gramEnd"/>
    </w:p>
    <w:p w14:paraId="5CFA96FB" w14:textId="77777777" w:rsidR="00ED3A7E" w:rsidRPr="000550CF" w:rsidRDefault="00ED3A7E" w:rsidP="00F3494E">
      <w:pPr>
        <w:ind w:firstLine="720"/>
        <w:jc w:val="both"/>
      </w:pPr>
      <w:r>
        <w:t xml:space="preserve">2) bankruptcy proceedings are initiated against the financial brokerage </w:t>
      </w:r>
      <w:proofErr w:type="gramStart"/>
      <w:r>
        <w:t>firm;</w:t>
      </w:r>
      <w:proofErr w:type="gramEnd"/>
    </w:p>
    <w:p w14:paraId="147F092E" w14:textId="77777777" w:rsidR="00ED3A7E" w:rsidRPr="000550CF" w:rsidRDefault="00ED3A7E" w:rsidP="00F3494E">
      <w:pPr>
        <w:ind w:firstLine="720"/>
        <w:jc w:val="both"/>
      </w:pPr>
      <w:r>
        <w:t>3) the financial brokerage firm’s</w:t>
      </w:r>
      <w:r>
        <w:rPr>
          <w:color w:val="000000"/>
        </w:rPr>
        <w:t xml:space="preserve"> licence is withdrawn</w:t>
      </w:r>
      <w:r>
        <w:t>.</w:t>
      </w:r>
    </w:p>
    <w:p w14:paraId="688FF610" w14:textId="77777777" w:rsidR="00ED3A7E" w:rsidRPr="000550CF" w:rsidRDefault="00ED3A7E" w:rsidP="00F3494E">
      <w:pPr>
        <w:ind w:firstLine="720"/>
        <w:jc w:val="both"/>
        <w:rPr>
          <w:lang w:eastAsia="lt-LT"/>
        </w:rPr>
      </w:pPr>
    </w:p>
    <w:p w14:paraId="75DFA12C" w14:textId="77777777" w:rsidR="00ED3A7E" w:rsidRPr="000550CF" w:rsidRDefault="00ED3A7E" w:rsidP="00F3494E">
      <w:pPr>
        <w:ind w:firstLine="720"/>
        <w:jc w:val="both"/>
        <w:rPr>
          <w:b/>
          <w:bCs/>
        </w:rPr>
      </w:pPr>
      <w:r>
        <w:rPr>
          <w:b/>
          <w:bCs/>
        </w:rPr>
        <w:t xml:space="preserve">Article 104. Appointment of a temporary administrator of a financial brokerage firm </w:t>
      </w:r>
    </w:p>
    <w:p w14:paraId="1F36FB44" w14:textId="77777777" w:rsidR="00ED3A7E" w:rsidRPr="000550CF" w:rsidRDefault="00ED3A7E" w:rsidP="00F3494E">
      <w:pPr>
        <w:ind w:firstLine="720"/>
        <w:jc w:val="both"/>
      </w:pPr>
      <w:r>
        <w:t>1. Provisions of Article 75</w:t>
      </w:r>
      <w:r>
        <w:rPr>
          <w:vertAlign w:val="superscript"/>
        </w:rPr>
        <w:t>1</w:t>
      </w:r>
      <w:r>
        <w:t xml:space="preserve"> of the Law on Banks shall apply mutatis mutandis to the appointment and activities of a temporary administrator of a financial brokerage firm which is subject to the requirement specified in Article 14(2) of this Law. </w:t>
      </w:r>
    </w:p>
    <w:p w14:paraId="1B5210EF" w14:textId="77777777" w:rsidR="00ED3A7E" w:rsidRPr="000550CF" w:rsidRDefault="00ED3A7E" w:rsidP="00F3494E">
      <w:pPr>
        <w:ind w:firstLine="720"/>
        <w:jc w:val="both"/>
      </w:pPr>
      <w:r>
        <w:t>2. Provisions of Article 75</w:t>
      </w:r>
      <w:r>
        <w:rPr>
          <w:vertAlign w:val="superscript"/>
        </w:rPr>
        <w:t>2</w:t>
      </w:r>
      <w:r>
        <w:t> Article of the Law on Banks shall apply mutatis mutandis when appointing a temporary administrator of a financial brokerage firm which is subject to the requirement specified in Article 14(2) of this Law and which is a part of a financial group.</w:t>
      </w:r>
    </w:p>
    <w:p w14:paraId="36606143" w14:textId="77777777" w:rsidR="00ED3A7E" w:rsidRPr="000550CF" w:rsidRDefault="00ED3A7E" w:rsidP="00F3494E">
      <w:pPr>
        <w:ind w:firstLine="720"/>
        <w:jc w:val="both"/>
        <w:rPr>
          <w:lang w:eastAsia="lt-LT"/>
        </w:rPr>
      </w:pPr>
    </w:p>
    <w:p w14:paraId="2A802946" w14:textId="77777777" w:rsidR="00ED3A7E" w:rsidRPr="000550CF" w:rsidRDefault="00ED3A7E" w:rsidP="00F3494E">
      <w:pPr>
        <w:ind w:firstLine="720"/>
        <w:jc w:val="both"/>
      </w:pPr>
      <w:r>
        <w:rPr>
          <w:b/>
        </w:rPr>
        <w:t>Article 105. Reorganisation of a financial brokerage firm</w:t>
      </w:r>
    </w:p>
    <w:p w14:paraId="11BC256B" w14:textId="058EDFA1" w:rsidR="00ED3A7E" w:rsidRDefault="00ED3A7E" w:rsidP="00F3494E">
      <w:pPr>
        <w:ind w:firstLine="720"/>
        <w:jc w:val="both"/>
      </w:pPr>
      <w:r>
        <w:t xml:space="preserve">A financial brokerage firm </w:t>
      </w:r>
      <w:r>
        <w:rPr>
          <w:color w:val="000000"/>
        </w:rPr>
        <w:t>may be reorganised only upon a prior authorisation of the supervisory authority</w:t>
      </w:r>
      <w:r>
        <w:t>. The supervisory authority may refuse to approve the reorganisation only where this would pose a threat to financial instruments or funds of clients transferred to the financial brokerage firm.</w:t>
      </w:r>
    </w:p>
    <w:p w14:paraId="5525C6C7" w14:textId="77777777" w:rsidR="0024375F" w:rsidRPr="000550CF" w:rsidRDefault="0024375F" w:rsidP="00F3494E">
      <w:pPr>
        <w:ind w:firstLine="720"/>
        <w:jc w:val="both"/>
        <w:rPr>
          <w:lang w:eastAsia="lt-LT"/>
        </w:rPr>
      </w:pPr>
    </w:p>
    <w:p w14:paraId="176E8134" w14:textId="77777777" w:rsidR="0024375F" w:rsidRPr="0024375F" w:rsidRDefault="0024375F" w:rsidP="0024375F">
      <w:pPr>
        <w:spacing w:line="360" w:lineRule="atLeast"/>
        <w:ind w:left="2410" w:hanging="1690"/>
        <w:jc w:val="both"/>
        <w:textAlignment w:val="baseline"/>
        <w:rPr>
          <w:color w:val="000000"/>
          <w:szCs w:val="24"/>
        </w:rPr>
      </w:pPr>
      <w:r>
        <w:rPr>
          <w:b/>
          <w:bCs/>
          <w:color w:val="000000"/>
          <w:szCs w:val="24"/>
          <w:shd w:val="clear" w:color="auto" w:fill="FFFFFF"/>
        </w:rPr>
        <w:lastRenderedPageBreak/>
        <w:t>Article 105</w:t>
      </w:r>
      <w:r>
        <w:rPr>
          <w:b/>
          <w:bCs/>
          <w:color w:val="000000"/>
          <w:szCs w:val="24"/>
          <w:shd w:val="clear" w:color="auto" w:fill="FFFFFF"/>
          <w:vertAlign w:val="superscript"/>
        </w:rPr>
        <w:t>1</w:t>
      </w:r>
      <w:r>
        <w:rPr>
          <w:b/>
          <w:bCs/>
          <w:color w:val="000000"/>
          <w:szCs w:val="24"/>
          <w:shd w:val="clear" w:color="auto" w:fill="FFFFFF"/>
        </w:rPr>
        <w:t xml:space="preserve">. Conditions for recognition of a financial brokerage firm which is subject to the initial capital requirement under Article 14(2) of this Law as </w:t>
      </w:r>
      <w:proofErr w:type="gramStart"/>
      <w:r>
        <w:rPr>
          <w:b/>
          <w:bCs/>
          <w:color w:val="000000"/>
          <w:szCs w:val="24"/>
          <w:shd w:val="clear" w:color="auto" w:fill="FFFFFF"/>
        </w:rPr>
        <w:t>insolvent</w:t>
      </w:r>
      <w:proofErr w:type="gramEnd"/>
    </w:p>
    <w:p w14:paraId="055F743F" w14:textId="77777777" w:rsidR="0024375F" w:rsidRPr="00BE49BD" w:rsidRDefault="0024375F" w:rsidP="0024375F">
      <w:pPr>
        <w:spacing w:line="360" w:lineRule="atLeast"/>
        <w:ind w:firstLine="720"/>
        <w:jc w:val="both"/>
        <w:textAlignment w:val="baseline"/>
        <w:rPr>
          <w:color w:val="000000"/>
          <w:szCs w:val="24"/>
        </w:rPr>
      </w:pPr>
      <w:bookmarkStart w:id="285" w:name="part_70ea9e052d6347d7adf1f39c4f96c8c0"/>
      <w:bookmarkEnd w:id="285"/>
      <w:r>
        <w:rPr>
          <w:color w:val="000000"/>
          <w:szCs w:val="24"/>
        </w:rPr>
        <w:t>A financial brokerage firm which is subject to the initial capital requirement under Article 14(2) of this Law may be declared insolvent if at least one of the following conditions is met:</w:t>
      </w:r>
    </w:p>
    <w:p w14:paraId="39FB4BE3" w14:textId="77777777" w:rsidR="0024375F" w:rsidRPr="00BE49BD" w:rsidRDefault="0024375F" w:rsidP="0024375F">
      <w:pPr>
        <w:spacing w:line="360" w:lineRule="atLeast"/>
        <w:ind w:firstLine="720"/>
        <w:jc w:val="both"/>
        <w:rPr>
          <w:color w:val="000000"/>
          <w:szCs w:val="24"/>
        </w:rPr>
      </w:pPr>
      <w:bookmarkStart w:id="286" w:name="part_cecba85f27904683a8693cdf7386890f"/>
      <w:bookmarkEnd w:id="286"/>
      <w:r>
        <w:rPr>
          <w:color w:val="000000"/>
          <w:szCs w:val="24"/>
        </w:rPr>
        <w:t>1) due to the fact that a financial brokerage firm has suffered or is likely to suffer losses for compensation of which the financial brokerage firm will need all of its own funds or a large part thereof, or due to other reasons related to its financial situation or based on the objective factors supporting such an assessment that in the near future the financial brokerage firm will violate requirements applicable for the issue of the licence so that the supervisory authority would have grounds for revocation of the licence;</w:t>
      </w:r>
    </w:p>
    <w:p w14:paraId="789B0360" w14:textId="77777777" w:rsidR="0024375F" w:rsidRPr="00BE49BD" w:rsidRDefault="0024375F" w:rsidP="0024375F">
      <w:pPr>
        <w:spacing w:line="360" w:lineRule="atLeast"/>
        <w:ind w:firstLine="720"/>
        <w:jc w:val="both"/>
        <w:rPr>
          <w:color w:val="000000"/>
          <w:szCs w:val="24"/>
        </w:rPr>
      </w:pPr>
      <w:bookmarkStart w:id="287" w:name="part_f1fa4f0fa17943c1a27c235645d56e41"/>
      <w:bookmarkEnd w:id="287"/>
      <w:r>
        <w:rPr>
          <w:color w:val="000000"/>
          <w:szCs w:val="24"/>
        </w:rPr>
        <w:t xml:space="preserve">2) the assets of a financial brokerage firm </w:t>
      </w:r>
      <w:proofErr w:type="gramStart"/>
      <w:r>
        <w:rPr>
          <w:color w:val="000000"/>
          <w:szCs w:val="24"/>
        </w:rPr>
        <w:t>are</w:t>
      </w:r>
      <w:proofErr w:type="gramEnd"/>
      <w:r>
        <w:rPr>
          <w:color w:val="000000"/>
          <w:szCs w:val="24"/>
        </w:rPr>
        <w:t xml:space="preserve"> or, on the basis of objective factors, it is established that in the near future they will be less than its liabilities;</w:t>
      </w:r>
    </w:p>
    <w:p w14:paraId="6DDD77C1" w14:textId="77777777" w:rsidR="0024375F" w:rsidRPr="00BE49BD" w:rsidRDefault="0024375F" w:rsidP="0024375F">
      <w:pPr>
        <w:spacing w:line="360" w:lineRule="atLeast"/>
        <w:ind w:firstLine="720"/>
        <w:jc w:val="both"/>
        <w:rPr>
          <w:color w:val="000000"/>
          <w:szCs w:val="24"/>
        </w:rPr>
      </w:pPr>
      <w:bookmarkStart w:id="288" w:name="part_bb8530fdd1d546558fd78afa39378f99"/>
      <w:bookmarkEnd w:id="288"/>
      <w:r>
        <w:rPr>
          <w:color w:val="000000"/>
          <w:szCs w:val="24"/>
        </w:rPr>
        <w:t xml:space="preserve">3) the financial brokerage firm either is not capable of or, </w:t>
      </w:r>
      <w:proofErr w:type="gramStart"/>
      <w:r>
        <w:rPr>
          <w:color w:val="000000"/>
          <w:szCs w:val="24"/>
        </w:rPr>
        <w:t>on the basis of</w:t>
      </w:r>
      <w:proofErr w:type="gramEnd"/>
      <w:r>
        <w:rPr>
          <w:color w:val="000000"/>
          <w:szCs w:val="24"/>
        </w:rPr>
        <w:t xml:space="preserve"> objective factors supporting such assessment, it is established that in the near future it will not be capable of covering its debts or meeting other liabilities.</w:t>
      </w:r>
    </w:p>
    <w:p w14:paraId="644806F2" w14:textId="77777777" w:rsidR="0024375F" w:rsidRDefault="0024375F" w:rsidP="0024375F">
      <w:pPr>
        <w:rPr>
          <w:color w:val="000000"/>
          <w:sz w:val="27"/>
          <w:szCs w:val="27"/>
        </w:rPr>
      </w:pPr>
      <w:r>
        <w:rPr>
          <w:i/>
          <w:iCs/>
          <w:color w:val="000000"/>
          <w:sz w:val="20"/>
        </w:rPr>
        <w:t>Supplemented with an Article:</w:t>
      </w:r>
    </w:p>
    <w:p w14:paraId="3A3F580B" w14:textId="77777777" w:rsidR="0024375F" w:rsidRDefault="0024375F" w:rsidP="0024375F">
      <w:pPr>
        <w:jc w:val="both"/>
        <w:rPr>
          <w:color w:val="000000"/>
          <w:sz w:val="27"/>
          <w:szCs w:val="27"/>
        </w:rPr>
      </w:pPr>
      <w:r>
        <w:rPr>
          <w:i/>
          <w:iCs/>
          <w:color w:val="000000"/>
          <w:sz w:val="20"/>
        </w:rPr>
        <w:t xml:space="preserve">No </w:t>
      </w:r>
      <w:hyperlink r:id="rId184" w:tgtFrame="_parent" w:history="1">
        <w:r>
          <w:rPr>
            <w:rStyle w:val="Hyperlink"/>
            <w:i/>
            <w:iCs/>
            <w:sz w:val="20"/>
          </w:rPr>
          <w:t>XIV-767</w:t>
        </w:r>
      </w:hyperlink>
      <w:r>
        <w:rPr>
          <w:i/>
          <w:iCs/>
          <w:color w:val="000000"/>
          <w:sz w:val="20"/>
        </w:rPr>
        <w:t>, 14/12/2021, published in the RLA, 23/12/2021, ID code 2021-26896</w:t>
      </w:r>
    </w:p>
    <w:p w14:paraId="79F43C2E" w14:textId="77777777" w:rsidR="00ED3A7E" w:rsidRPr="000550CF" w:rsidRDefault="00ED3A7E" w:rsidP="00F3494E">
      <w:pPr>
        <w:ind w:firstLine="720"/>
        <w:jc w:val="both"/>
        <w:rPr>
          <w:lang w:eastAsia="lt-LT"/>
        </w:rPr>
      </w:pPr>
    </w:p>
    <w:p w14:paraId="29B5A766" w14:textId="77777777" w:rsidR="00ED3A7E" w:rsidRPr="000550CF" w:rsidRDefault="00ED3A7E" w:rsidP="00F3494E">
      <w:pPr>
        <w:ind w:firstLine="720"/>
        <w:jc w:val="both"/>
      </w:pPr>
      <w:r>
        <w:rPr>
          <w:b/>
        </w:rPr>
        <w:t>Article 106. Bankruptcy of a financial brokerage firm</w:t>
      </w:r>
    </w:p>
    <w:p w14:paraId="38E3C31B" w14:textId="77777777" w:rsidR="00ED3A7E" w:rsidRPr="000550CF" w:rsidRDefault="00ED3A7E" w:rsidP="00F3494E">
      <w:pPr>
        <w:ind w:firstLine="720"/>
        <w:jc w:val="both"/>
      </w:pPr>
      <w:r>
        <w:t>1. Bankruptcy proceedings of a financial brokerage firm shall be carried out only by court procedure.</w:t>
      </w:r>
    </w:p>
    <w:p w14:paraId="14C0AE7D" w14:textId="77777777" w:rsidR="00ED3A7E" w:rsidRPr="000550CF" w:rsidRDefault="00ED3A7E" w:rsidP="00F3494E">
      <w:pPr>
        <w:ind w:firstLine="720"/>
        <w:jc w:val="both"/>
      </w:pPr>
      <w:r>
        <w:t>2. The supervisory authority shall have the right to file with the court a petition for initiating bankruptcy proceedings against a financial brokerage firm.</w:t>
      </w:r>
    </w:p>
    <w:p w14:paraId="3EF2B66B" w14:textId="77777777" w:rsidR="00ED3A7E" w:rsidRPr="000550CF" w:rsidRDefault="00ED3A7E" w:rsidP="00F3494E">
      <w:pPr>
        <w:ind w:firstLine="720"/>
        <w:jc w:val="both"/>
      </w:pPr>
      <w:r>
        <w:t>3. Upon receipt of the petition to initiate bankruptcy proceedings, the court shall on the same day ban the financial brokerage firm from disposing of bank accounts and financial instruments.</w:t>
      </w:r>
    </w:p>
    <w:p w14:paraId="004D0BE1" w14:textId="77777777" w:rsidR="00ED3A7E" w:rsidRPr="000550CF" w:rsidRDefault="00ED3A7E" w:rsidP="00F3494E">
      <w:pPr>
        <w:widowControl w:val="0"/>
        <w:ind w:firstLine="720"/>
        <w:jc w:val="both"/>
        <w:rPr>
          <w:szCs w:val="24"/>
        </w:rPr>
      </w:pPr>
      <w:r>
        <w:t>4. Not later than within fifteen days after the petition was filed, the court shall pass a decision either to initiate or to refuse to initiate bankruptcy proceedings against the financial brokerage firm.</w:t>
      </w:r>
    </w:p>
    <w:p w14:paraId="26CD6485" w14:textId="77777777" w:rsidR="00ED3A7E" w:rsidRPr="000550CF" w:rsidRDefault="00ED3A7E" w:rsidP="00F3494E">
      <w:pPr>
        <w:widowControl w:val="0"/>
        <w:ind w:firstLine="720"/>
        <w:jc w:val="both"/>
        <w:rPr>
          <w:szCs w:val="24"/>
        </w:rPr>
      </w:pPr>
      <w:r>
        <w:t>5. The administrator of the financial brokerage firm shall return to the firm’s clients their funds either held at the firm or deposited in client accounts with a credit institution managed by the financial brokerage firm and shall transfer the management of the personal accounts of financial instruments to another account manager designated by the client.</w:t>
      </w:r>
    </w:p>
    <w:p w14:paraId="5489D1F8" w14:textId="77777777" w:rsidR="0024375F" w:rsidRPr="0024375F" w:rsidRDefault="0024375F" w:rsidP="0024375F">
      <w:pPr>
        <w:spacing w:line="360" w:lineRule="atLeast"/>
        <w:ind w:firstLine="720"/>
        <w:jc w:val="both"/>
        <w:rPr>
          <w:color w:val="000000"/>
          <w:szCs w:val="24"/>
        </w:rPr>
      </w:pPr>
      <w:r>
        <w:rPr>
          <w:color w:val="000000"/>
          <w:szCs w:val="24"/>
        </w:rPr>
        <w:t>6. The order of satisfaction of creditors’ claims set forth in Article 87 of the Law on Banks shall apply mutatis mutandis to the satisfaction of claims of creditors of a financial brokerage firm to which the requirement referred to in Article 14(2) of this Law applies.</w:t>
      </w:r>
    </w:p>
    <w:p w14:paraId="4648ED56" w14:textId="77777777" w:rsidR="0024375F" w:rsidRPr="00BE49BD" w:rsidRDefault="0024375F" w:rsidP="0024375F">
      <w:pPr>
        <w:spacing w:line="360" w:lineRule="atLeast"/>
        <w:jc w:val="both"/>
        <w:rPr>
          <w:color w:val="000000"/>
          <w:sz w:val="27"/>
          <w:szCs w:val="27"/>
        </w:rPr>
      </w:pPr>
      <w:r>
        <w:rPr>
          <w:b/>
          <w:bCs/>
          <w:i/>
          <w:iCs/>
          <w:color w:val="000000"/>
          <w:sz w:val="20"/>
        </w:rPr>
        <w:t>RLA note. </w:t>
      </w:r>
      <w:r>
        <w:rPr>
          <w:i/>
          <w:iCs/>
          <w:color w:val="000000"/>
          <w:sz w:val="20"/>
        </w:rPr>
        <w:t>The order of satisfaction of creditors’ claims established in Article 106(6) shall apply to bankruptcy proceedings initiated after the date of entry into force of Law No XIII-2024 (04/04/2019), except for the following creditor claims:</w:t>
      </w:r>
    </w:p>
    <w:p w14:paraId="76C5D8B3" w14:textId="77777777" w:rsidR="0024375F" w:rsidRDefault="0024375F" w:rsidP="0024375F">
      <w:pPr>
        <w:spacing w:line="360" w:lineRule="atLeast"/>
        <w:ind w:firstLine="720"/>
        <w:jc w:val="both"/>
        <w:rPr>
          <w:color w:val="000000"/>
          <w:sz w:val="27"/>
          <w:szCs w:val="27"/>
        </w:rPr>
      </w:pPr>
      <w:r>
        <w:rPr>
          <w:i/>
          <w:iCs/>
          <w:color w:val="000000"/>
          <w:sz w:val="20"/>
        </w:rPr>
        <w:t>creditor claims arising in respect of debt instruments specified in Article 87(6) of the Law on Banks of the Republic of Lithuania and meeting the requirements established in that paragraph, which were issued by the financial brokerage firm subjected to the requirement specified in Article 14(2) of the Law on Markets in Financial Instruments before the date of entry into force of Law XIII-2024 (04/04/2019), shall be mutatis mutandis satisfied in the order established by Article 87(5) of the Law on Banks.</w:t>
      </w:r>
    </w:p>
    <w:p w14:paraId="1F1750C7" w14:textId="77777777" w:rsidR="0024375F" w:rsidRDefault="0024375F" w:rsidP="0024375F">
      <w:pPr>
        <w:rPr>
          <w:color w:val="000000"/>
          <w:sz w:val="27"/>
          <w:szCs w:val="27"/>
        </w:rPr>
      </w:pPr>
      <w:r>
        <w:rPr>
          <w:i/>
          <w:iCs/>
          <w:color w:val="000000"/>
          <w:sz w:val="20"/>
        </w:rPr>
        <w:t>Supplemented with the paragraph to the Article:</w:t>
      </w:r>
    </w:p>
    <w:p w14:paraId="5C829E9C" w14:textId="77777777" w:rsidR="0024375F" w:rsidRDefault="0024375F" w:rsidP="0024375F">
      <w:pPr>
        <w:jc w:val="both"/>
        <w:rPr>
          <w:color w:val="000000"/>
          <w:sz w:val="27"/>
          <w:szCs w:val="27"/>
        </w:rPr>
      </w:pPr>
      <w:r>
        <w:rPr>
          <w:i/>
          <w:iCs/>
          <w:color w:val="000000"/>
          <w:sz w:val="20"/>
        </w:rPr>
        <w:t xml:space="preserve">No </w:t>
      </w:r>
      <w:hyperlink r:id="rId185" w:tgtFrame="_parent" w:history="1">
        <w:r>
          <w:rPr>
            <w:rStyle w:val="Hyperlink"/>
            <w:i/>
            <w:iCs/>
            <w:sz w:val="20"/>
          </w:rPr>
          <w:t>XIII-2024</w:t>
        </w:r>
      </w:hyperlink>
      <w:r>
        <w:rPr>
          <w:i/>
          <w:iCs/>
          <w:color w:val="000000"/>
          <w:sz w:val="20"/>
        </w:rPr>
        <w:t>, 26/03/2019, published in the RLA, 03/04/2019, ID code 2019-05398</w:t>
      </w:r>
    </w:p>
    <w:p w14:paraId="30961B7C" w14:textId="77777777" w:rsidR="00ED3A7E" w:rsidRPr="000550CF" w:rsidRDefault="00ED3A7E" w:rsidP="00F3494E">
      <w:pPr>
        <w:widowControl w:val="0"/>
        <w:ind w:firstLine="720"/>
        <w:jc w:val="both"/>
        <w:rPr>
          <w:szCs w:val="24"/>
          <w:lang w:eastAsia="lt-LT"/>
        </w:rPr>
      </w:pPr>
    </w:p>
    <w:p w14:paraId="09A92BC2" w14:textId="77777777" w:rsidR="00ED3A7E" w:rsidRPr="000550CF" w:rsidRDefault="00ED3A7E" w:rsidP="00F3494E">
      <w:pPr>
        <w:widowControl w:val="0"/>
        <w:ind w:firstLine="720"/>
        <w:jc w:val="both"/>
        <w:rPr>
          <w:szCs w:val="24"/>
        </w:rPr>
      </w:pPr>
      <w:r>
        <w:rPr>
          <w:b/>
          <w:szCs w:val="24"/>
        </w:rPr>
        <w:t>Article 107. Joint (consolidated) supervision</w:t>
      </w:r>
    </w:p>
    <w:p w14:paraId="59C3D47E" w14:textId="77777777" w:rsidR="0024375F" w:rsidRDefault="0024375F" w:rsidP="0024375F">
      <w:pPr>
        <w:spacing w:line="360" w:lineRule="atLeast"/>
        <w:ind w:firstLine="720"/>
        <w:jc w:val="both"/>
        <w:rPr>
          <w:color w:val="000000"/>
        </w:rPr>
      </w:pPr>
      <w:r>
        <w:rPr>
          <w:color w:val="000000"/>
        </w:rPr>
        <w:t>1. The supervisory authority shall be the supervisory authority of the group of undertakings and shall carry out a joint (consolidated) supervision of the financial group or the supervision of compliance with the alternative consolidation requirement for groups of undertakings where:</w:t>
      </w:r>
    </w:p>
    <w:p w14:paraId="48BBBDF7" w14:textId="77777777" w:rsidR="0024375F" w:rsidRPr="00BE49BD" w:rsidRDefault="0024375F" w:rsidP="0024375F">
      <w:pPr>
        <w:spacing w:line="360" w:lineRule="atLeast"/>
        <w:ind w:firstLine="720"/>
        <w:jc w:val="both"/>
        <w:rPr>
          <w:color w:val="000000"/>
        </w:rPr>
      </w:pPr>
      <w:bookmarkStart w:id="289" w:name="part_81950d54bdf94bd7a69f6f4842a0ea02"/>
      <w:bookmarkEnd w:id="289"/>
      <w:r>
        <w:rPr>
          <w:color w:val="000000"/>
        </w:rPr>
        <w:t xml:space="preserve">1) the parent undertaking of a group of financial brokerage firms in which there are no credit institutions is a financial brokerage firm, a management company or </w:t>
      </w:r>
      <w:proofErr w:type="gramStart"/>
      <w:r>
        <w:rPr>
          <w:color w:val="000000"/>
        </w:rPr>
        <w:t>an</w:t>
      </w:r>
      <w:proofErr w:type="gramEnd"/>
      <w:r>
        <w:rPr>
          <w:color w:val="000000"/>
        </w:rPr>
        <w:t xml:space="preserve"> European Union parent investment firm holding a license issued by a supervisory authority;</w:t>
      </w:r>
    </w:p>
    <w:p w14:paraId="65737E8D" w14:textId="77777777" w:rsidR="0024375F" w:rsidRPr="00BE49BD" w:rsidRDefault="0024375F" w:rsidP="0024375F">
      <w:pPr>
        <w:spacing w:line="360" w:lineRule="atLeast"/>
        <w:ind w:firstLine="720"/>
        <w:jc w:val="both"/>
        <w:rPr>
          <w:color w:val="000000"/>
        </w:rPr>
      </w:pPr>
      <w:bookmarkStart w:id="290" w:name="part_cce263283f5d4480929a1b043f225852"/>
      <w:bookmarkEnd w:id="290"/>
      <w:r>
        <w:rPr>
          <w:color w:val="000000"/>
        </w:rPr>
        <w:t xml:space="preserve">2) the parent undertaking of a financial brokerage firm or of a management company holding a license issued by the supervisory authority is </w:t>
      </w:r>
      <w:proofErr w:type="gramStart"/>
      <w:r>
        <w:rPr>
          <w:color w:val="000000"/>
        </w:rPr>
        <w:t>an</w:t>
      </w:r>
      <w:proofErr w:type="gramEnd"/>
      <w:r>
        <w:rPr>
          <w:color w:val="000000"/>
        </w:rPr>
        <w:t xml:space="preserve"> European Union parent investment holding company or an European Union parent mixed financial holding company;</w:t>
      </w:r>
    </w:p>
    <w:p w14:paraId="1ACACE8D" w14:textId="77777777" w:rsidR="0024375F" w:rsidRPr="00BE49BD" w:rsidRDefault="0024375F" w:rsidP="0024375F">
      <w:pPr>
        <w:spacing w:line="360" w:lineRule="atLeast"/>
        <w:ind w:firstLine="720"/>
        <w:jc w:val="both"/>
        <w:rPr>
          <w:color w:val="000000"/>
        </w:rPr>
      </w:pPr>
      <w:bookmarkStart w:id="291" w:name="part_28ec9feb9e8d4f8ba4839a385d3e9314"/>
      <w:bookmarkEnd w:id="291"/>
      <w:r>
        <w:rPr>
          <w:color w:val="000000"/>
        </w:rPr>
        <w:t xml:space="preserve">3) a financial brokerage firm holding a license issued by the supervisory authority and at least one financial brokerage firm licensed in another Member State is the same parent investment holding company established in the Republic of Lithuania or a parent mixed financial holding company or the same European Union parent investment holding company established in the Republic of Lithuania or </w:t>
      </w:r>
      <w:proofErr w:type="gramStart"/>
      <w:r>
        <w:rPr>
          <w:color w:val="000000"/>
        </w:rPr>
        <w:t>an</w:t>
      </w:r>
      <w:proofErr w:type="gramEnd"/>
      <w:r>
        <w:rPr>
          <w:color w:val="000000"/>
        </w:rPr>
        <w:t xml:space="preserve"> European Union parent mixed financial holding company;</w:t>
      </w:r>
    </w:p>
    <w:p w14:paraId="7162BD34" w14:textId="77777777" w:rsidR="0024375F" w:rsidRPr="00BE49BD" w:rsidRDefault="0024375F" w:rsidP="0024375F">
      <w:pPr>
        <w:spacing w:line="360" w:lineRule="atLeast"/>
        <w:ind w:firstLine="720"/>
        <w:jc w:val="both"/>
        <w:rPr>
          <w:color w:val="000000"/>
        </w:rPr>
      </w:pPr>
      <w:bookmarkStart w:id="292" w:name="part_37f9719ffda44f989eb690ca26499ee6"/>
      <w:bookmarkEnd w:id="292"/>
      <w:r>
        <w:rPr>
          <w:color w:val="000000"/>
        </w:rPr>
        <w:t xml:space="preserve">4) a financial brokerage firm holding a license issued by the supervisory authority has the largest overall balance of all companies, of which at least one financial brokerage firm is licensed in another Member State and whose parent companies are comprised of more than one investment holding company or mixed financial holding company, as well as having their head offices in different Member States and having one financial brokerage firm in each of those Member </w:t>
      </w:r>
      <w:proofErr w:type="gramStart"/>
      <w:r>
        <w:rPr>
          <w:color w:val="000000"/>
        </w:rPr>
        <w:t>States;</w:t>
      </w:r>
      <w:proofErr w:type="gramEnd"/>
    </w:p>
    <w:p w14:paraId="740166C1" w14:textId="77777777" w:rsidR="0024375F" w:rsidRPr="00BE49BD" w:rsidRDefault="0024375F" w:rsidP="0024375F">
      <w:pPr>
        <w:spacing w:line="360" w:lineRule="atLeast"/>
        <w:ind w:firstLine="720"/>
        <w:jc w:val="both"/>
        <w:rPr>
          <w:color w:val="000000"/>
        </w:rPr>
      </w:pPr>
      <w:bookmarkStart w:id="293" w:name="part_fad93d7f4a664d03841fe0a4dd36076c"/>
      <w:bookmarkEnd w:id="293"/>
      <w:r>
        <w:rPr>
          <w:color w:val="000000"/>
        </w:rPr>
        <w:t xml:space="preserve">5) a financial brokerage firm holding a license issued by the supervisory authority has the largest overall balance of all group companies whose parent company is the same European Union investment holding company or European Union mixed financial holding company and none of which is licensed in that Member State in which an investment holding </w:t>
      </w:r>
      <w:proofErr w:type="gramStart"/>
      <w:r>
        <w:rPr>
          <w:color w:val="000000"/>
        </w:rPr>
        <w:t>company</w:t>
      </w:r>
      <w:proofErr w:type="gramEnd"/>
      <w:r>
        <w:rPr>
          <w:color w:val="000000"/>
        </w:rPr>
        <w:t xml:space="preserve"> or a mixed financial holding company is established.</w:t>
      </w:r>
    </w:p>
    <w:p w14:paraId="74CFE57C" w14:textId="77777777" w:rsidR="0024375F" w:rsidRPr="00BE49BD" w:rsidRDefault="0024375F" w:rsidP="0024375F">
      <w:pPr>
        <w:spacing w:line="360" w:lineRule="atLeast"/>
        <w:ind w:firstLine="720"/>
        <w:jc w:val="both"/>
        <w:rPr>
          <w:color w:val="000000"/>
        </w:rPr>
      </w:pPr>
      <w:bookmarkStart w:id="294" w:name="part_2428441cc8a94f808cb4a53b0ec2d86a"/>
      <w:bookmarkEnd w:id="294"/>
      <w:r>
        <w:rPr>
          <w:color w:val="000000"/>
        </w:rPr>
        <w:t xml:space="preserve">2. The supervisory authority and other supervisory authorities concerned may, by common agreement, refuse to apply the criteria set out in points 3, 4 and 5 of paragraph 1 of this Article where application of those criteria would be inappropriate in order to ensure effective joint (consolidated) supervision or supervision of compliance with the alternative consolidation requirement for groups of undertakings, taking into account specific financial brokerage firms and the significance of their activities in the respective Member States, and may appoint another supervisory authority for joint (consolidated) supervision or for supervision of compliance with the alternative consolidation requirement for groups of undertakings.  In such cases, before </w:t>
      </w:r>
      <w:proofErr w:type="gramStart"/>
      <w:r>
        <w:rPr>
          <w:color w:val="000000"/>
        </w:rPr>
        <w:t>making a decision</w:t>
      </w:r>
      <w:proofErr w:type="gramEnd"/>
      <w:r>
        <w:rPr>
          <w:color w:val="000000"/>
        </w:rPr>
        <w:t xml:space="preserve"> on the selection of the supervisory authority responsible for the carrying out of joint (consolidated) supervision, the European Union parent investment holding company, the European Union parent mixed financial holding company or the financial brokerage firm with the largest overall balance shall be consulted with. The supervisory authority that has become responsible for joint (consolidated) supervision shall notify the European Commission and the European Banking Authority of all such decisions.</w:t>
      </w:r>
    </w:p>
    <w:p w14:paraId="66A3AB20" w14:textId="77777777" w:rsidR="0024375F" w:rsidRPr="00BE49BD" w:rsidRDefault="0024375F" w:rsidP="0024375F">
      <w:pPr>
        <w:spacing w:line="360" w:lineRule="atLeast"/>
        <w:ind w:firstLine="720"/>
        <w:jc w:val="both"/>
        <w:rPr>
          <w:color w:val="000000"/>
        </w:rPr>
      </w:pPr>
      <w:bookmarkStart w:id="295" w:name="part_3eb3ae5c40b54eb988405406b2aba324"/>
      <w:bookmarkEnd w:id="295"/>
      <w:r>
        <w:rPr>
          <w:color w:val="000000"/>
        </w:rPr>
        <w:lastRenderedPageBreak/>
        <w:t>3. In the event of an emergency situation in the Republic of Lithuania, including in the cases provided for in Article 18 of Regulation (EU) No 1093/2010 or negative changes in financial markets which may threaten the liquidity of the market and the stability of the financial system in any other Member State of the European Union where entities belonging to the group of financial brokerage firms are licensed, the supervisory authority shall, where it performs a joint (consolidated) supervision of the financial brokerage firm’s group of undertakings, as soon as it is practically possible to do so, report all information about this situation to the European Banking Authority, the European Systemic Risk Board, the central banks in the European Central Bank System and the Ministry of Finance of the Republic of Lithuania, as well as to the central authorities of the other Member State participating in the drafting of legislation related to the supervision of financial institutions and insurance undertakings, if this information is relevant for the performance of the functions of those institutions.</w:t>
      </w:r>
    </w:p>
    <w:p w14:paraId="2FE8C5D0" w14:textId="77777777" w:rsidR="0024375F" w:rsidRPr="00BE49BD" w:rsidRDefault="0024375F" w:rsidP="0024375F">
      <w:pPr>
        <w:spacing w:line="360" w:lineRule="atLeast"/>
        <w:ind w:firstLine="720"/>
        <w:jc w:val="both"/>
        <w:rPr>
          <w:color w:val="000000"/>
        </w:rPr>
      </w:pPr>
      <w:bookmarkStart w:id="296" w:name="part_d48652a94817482081a963cc9b8e070d"/>
      <w:bookmarkEnd w:id="296"/>
      <w:r>
        <w:rPr>
          <w:color w:val="000000"/>
        </w:rPr>
        <w:t>4. Where the supervisory authority is responsible for the joint (consolidated) supervision of a group that also includes financial brokerage firms licensed in other Member States, it may form a college of supervisors whose purpose is to ensure cooperation and exchange of information between the supervisory authorities of the Republic of Lithuania and of other Member States and the European Banking Authority, and, if necessary, the supervisory authorities of other foreign countries, in particular, when it is necessary in the application of point (c) and paragraph 2 of the first paragraph of Article 23 of Regulation (EU) 2019/2033, in order to exchange with the supervisory authorities of the qualifying central counterparties information relating to initial margin model and update it.</w:t>
      </w:r>
    </w:p>
    <w:p w14:paraId="0FF99894" w14:textId="77777777" w:rsidR="0024375F" w:rsidRPr="00BE49BD" w:rsidRDefault="0024375F" w:rsidP="0024375F">
      <w:pPr>
        <w:spacing w:line="360" w:lineRule="atLeast"/>
        <w:ind w:firstLine="720"/>
        <w:jc w:val="both"/>
        <w:rPr>
          <w:color w:val="000000"/>
        </w:rPr>
      </w:pPr>
      <w:bookmarkStart w:id="297" w:name="part_21f6bd0e9f014eabb30ea6fbd5038bd7"/>
      <w:bookmarkEnd w:id="297"/>
      <w:r>
        <w:rPr>
          <w:color w:val="000000"/>
        </w:rPr>
        <w:t xml:space="preserve">5. The college of supervisors shall be established so that the supervisory authority, the European Banking </w:t>
      </w:r>
      <w:proofErr w:type="gramStart"/>
      <w:r>
        <w:rPr>
          <w:color w:val="000000"/>
        </w:rPr>
        <w:t>Authority</w:t>
      </w:r>
      <w:proofErr w:type="gramEnd"/>
      <w:r>
        <w:rPr>
          <w:color w:val="000000"/>
        </w:rPr>
        <w:t xml:space="preserve"> and other supervisory authorities of the European Union Member States concerned can:</w:t>
      </w:r>
    </w:p>
    <w:p w14:paraId="755F1B56" w14:textId="77777777" w:rsidR="0024375F" w:rsidRDefault="0024375F" w:rsidP="0024375F">
      <w:pPr>
        <w:spacing w:line="360" w:lineRule="atLeast"/>
        <w:ind w:firstLine="720"/>
        <w:jc w:val="both"/>
        <w:rPr>
          <w:color w:val="000000"/>
        </w:rPr>
      </w:pPr>
      <w:bookmarkStart w:id="298" w:name="part_93d7a7a07e404a9da057d5827a15b603"/>
      <w:bookmarkEnd w:id="298"/>
      <w:r>
        <w:rPr>
          <w:color w:val="000000"/>
        </w:rPr>
        <w:t xml:space="preserve">1) perform the tasks referred to in paragraph 3 of this </w:t>
      </w:r>
      <w:proofErr w:type="gramStart"/>
      <w:r>
        <w:rPr>
          <w:color w:val="000000"/>
        </w:rPr>
        <w:t>Article;</w:t>
      </w:r>
      <w:proofErr w:type="gramEnd"/>
    </w:p>
    <w:p w14:paraId="5CA8AD93" w14:textId="77777777" w:rsidR="0024375F" w:rsidRDefault="0024375F" w:rsidP="0024375F">
      <w:pPr>
        <w:spacing w:line="360" w:lineRule="atLeast"/>
        <w:ind w:firstLine="720"/>
        <w:jc w:val="both"/>
        <w:rPr>
          <w:color w:val="000000"/>
        </w:rPr>
      </w:pPr>
      <w:bookmarkStart w:id="299" w:name="part_107b523e4c0b4da79a5527e8264eebe2"/>
      <w:bookmarkEnd w:id="299"/>
      <w:r>
        <w:rPr>
          <w:color w:val="000000"/>
        </w:rPr>
        <w:t xml:space="preserve">2) examine information requests where it is necessary in order to create more favourable conditions for performing joint (consolidated) supervision under Article 7 of Regulation (EU) </w:t>
      </w:r>
      <w:proofErr w:type="gramStart"/>
      <w:r>
        <w:rPr>
          <w:color w:val="000000"/>
        </w:rPr>
        <w:t>2019/2033;</w:t>
      </w:r>
      <w:proofErr w:type="gramEnd"/>
    </w:p>
    <w:p w14:paraId="4E17B9A4" w14:textId="77777777" w:rsidR="0024375F" w:rsidRDefault="0024375F" w:rsidP="0024375F">
      <w:pPr>
        <w:spacing w:line="360" w:lineRule="atLeast"/>
        <w:ind w:firstLine="720"/>
        <w:jc w:val="both"/>
        <w:rPr>
          <w:color w:val="000000"/>
        </w:rPr>
      </w:pPr>
      <w:bookmarkStart w:id="300" w:name="part_7460982136fa422489f051457b2cf6b9"/>
      <w:bookmarkEnd w:id="300"/>
      <w:r>
        <w:rPr>
          <w:color w:val="000000"/>
        </w:rPr>
        <w:t xml:space="preserve">3) examine information requests in cases where several supervisory authorities of financial brokerage firms forming the same group need to request that the supervisory authority of the clearing member’s home Member State or the supervisory authority of the eligible central counterparty provide information on the model and parameters of initial margins applied for calculating the margin requirement of respective financial brokerage </w:t>
      </w:r>
      <w:proofErr w:type="gramStart"/>
      <w:r>
        <w:rPr>
          <w:color w:val="000000"/>
        </w:rPr>
        <w:t>firms;</w:t>
      </w:r>
      <w:proofErr w:type="gramEnd"/>
    </w:p>
    <w:p w14:paraId="7F39AF3A" w14:textId="77777777" w:rsidR="0024375F" w:rsidRDefault="0024375F" w:rsidP="0024375F">
      <w:pPr>
        <w:spacing w:line="360" w:lineRule="atLeast"/>
        <w:ind w:firstLine="720"/>
        <w:jc w:val="both"/>
        <w:rPr>
          <w:color w:val="000000"/>
        </w:rPr>
      </w:pPr>
      <w:bookmarkStart w:id="301" w:name="part_90d545d2445f428ea2284d5dda829e73"/>
      <w:bookmarkEnd w:id="301"/>
      <w:r>
        <w:rPr>
          <w:color w:val="000000"/>
        </w:rPr>
        <w:t xml:space="preserve">4) exchange information with each other, with the European Banking Authority under Article 21 of Regulation (EU) No 1093/2010 and with the European Securities and Markets Authority under Article 21 of Regulation (EU) No </w:t>
      </w:r>
      <w:proofErr w:type="gramStart"/>
      <w:r>
        <w:rPr>
          <w:color w:val="000000"/>
        </w:rPr>
        <w:t>1095/2010;</w:t>
      </w:r>
      <w:proofErr w:type="gramEnd"/>
    </w:p>
    <w:p w14:paraId="63043E6D" w14:textId="77777777" w:rsidR="0024375F" w:rsidRDefault="0024375F" w:rsidP="0024375F">
      <w:pPr>
        <w:spacing w:line="360" w:lineRule="atLeast"/>
        <w:ind w:firstLine="720"/>
        <w:jc w:val="both"/>
        <w:rPr>
          <w:color w:val="000000"/>
        </w:rPr>
      </w:pPr>
      <w:bookmarkStart w:id="302" w:name="part_8e49b183a8594f7a9685d483dd3d3b84"/>
      <w:bookmarkEnd w:id="302"/>
      <w:r>
        <w:rPr>
          <w:color w:val="000000"/>
        </w:rPr>
        <w:t xml:space="preserve">5) agree on the voluntary assignment of tasks and, if necessary, on the voluntary delegation of responsibilities to other supervisory </w:t>
      </w:r>
      <w:proofErr w:type="gramStart"/>
      <w:r>
        <w:rPr>
          <w:color w:val="000000"/>
        </w:rPr>
        <w:t>authorities;</w:t>
      </w:r>
      <w:proofErr w:type="gramEnd"/>
    </w:p>
    <w:p w14:paraId="34DBCD44" w14:textId="77777777" w:rsidR="0024375F" w:rsidRDefault="0024375F" w:rsidP="0024375F">
      <w:pPr>
        <w:spacing w:line="360" w:lineRule="atLeast"/>
        <w:ind w:firstLine="720"/>
        <w:jc w:val="both"/>
        <w:rPr>
          <w:color w:val="000000"/>
        </w:rPr>
      </w:pPr>
      <w:bookmarkStart w:id="303" w:name="part_d9e21108e2244a319085ceded17715df"/>
      <w:bookmarkEnd w:id="303"/>
      <w:r>
        <w:rPr>
          <w:color w:val="000000"/>
        </w:rPr>
        <w:t xml:space="preserve">6) avoid duplication of supervisory requirements </w:t>
      </w:r>
      <w:proofErr w:type="gramStart"/>
      <w:r>
        <w:rPr>
          <w:color w:val="000000"/>
        </w:rPr>
        <w:t>in order to</w:t>
      </w:r>
      <w:proofErr w:type="gramEnd"/>
      <w:r>
        <w:rPr>
          <w:color w:val="000000"/>
        </w:rPr>
        <w:t xml:space="preserve"> increase the effectiveness of supervision.</w:t>
      </w:r>
    </w:p>
    <w:p w14:paraId="6F5E723B" w14:textId="77777777" w:rsidR="0024375F" w:rsidRDefault="0024375F" w:rsidP="0024375F">
      <w:pPr>
        <w:spacing w:line="360" w:lineRule="atLeast"/>
        <w:ind w:firstLine="720"/>
        <w:jc w:val="both"/>
        <w:rPr>
          <w:color w:val="000000"/>
        </w:rPr>
      </w:pPr>
      <w:bookmarkStart w:id="304" w:name="part_da1180dd010b475f9a5d866829686f0c"/>
      <w:bookmarkEnd w:id="304"/>
      <w:r>
        <w:rPr>
          <w:color w:val="000000"/>
        </w:rPr>
        <w:t xml:space="preserve">6. Where appropriate, a college of supervisors may also be established when the subsidiaries of a group of financial brokerage firms whose parent undertaking is a European Union investment </w:t>
      </w:r>
      <w:r>
        <w:rPr>
          <w:color w:val="000000"/>
        </w:rPr>
        <w:lastRenderedPageBreak/>
        <w:t xml:space="preserve">company, a European Union parent investment holding </w:t>
      </w:r>
      <w:proofErr w:type="gramStart"/>
      <w:r>
        <w:rPr>
          <w:color w:val="000000"/>
        </w:rPr>
        <w:t>company</w:t>
      </w:r>
      <w:proofErr w:type="gramEnd"/>
      <w:r>
        <w:rPr>
          <w:color w:val="000000"/>
        </w:rPr>
        <w:t xml:space="preserve"> or a European Union parent mixed financial holding company are located in a third country </w:t>
      </w:r>
    </w:p>
    <w:p w14:paraId="15513B0C" w14:textId="77777777" w:rsidR="0024375F" w:rsidRDefault="0024375F" w:rsidP="0024375F">
      <w:pPr>
        <w:spacing w:line="360" w:lineRule="atLeast"/>
        <w:ind w:firstLine="720"/>
        <w:jc w:val="both"/>
        <w:rPr>
          <w:color w:val="000000"/>
        </w:rPr>
      </w:pPr>
      <w:bookmarkStart w:id="305" w:name="part_78e8267061a644ca9335069bd75fde56"/>
      <w:bookmarkEnd w:id="305"/>
      <w:r>
        <w:rPr>
          <w:color w:val="000000"/>
        </w:rPr>
        <w:t>7. Members of the college of supervisors shall be the following institutions:</w:t>
      </w:r>
    </w:p>
    <w:p w14:paraId="6852E757" w14:textId="77777777" w:rsidR="0024375F" w:rsidRDefault="0024375F" w:rsidP="0024375F">
      <w:pPr>
        <w:spacing w:line="360" w:lineRule="atLeast"/>
        <w:ind w:firstLine="720"/>
        <w:jc w:val="both"/>
        <w:rPr>
          <w:color w:val="000000"/>
        </w:rPr>
      </w:pPr>
      <w:bookmarkStart w:id="306" w:name="part_1b50b57a100040c3b936a08f65236a0e"/>
      <w:bookmarkEnd w:id="306"/>
      <w:r>
        <w:rPr>
          <w:color w:val="000000"/>
        </w:rPr>
        <w:t xml:space="preserve">1) supervisory authorities charged with the supervision of the subsidiaries of a group of financial brokerage firms whose parent undertaking is a European Union investment company, a European Union parent investment holding </w:t>
      </w:r>
      <w:proofErr w:type="gramStart"/>
      <w:r>
        <w:rPr>
          <w:color w:val="000000"/>
        </w:rPr>
        <w:t>company</w:t>
      </w:r>
      <w:proofErr w:type="gramEnd"/>
      <w:r>
        <w:rPr>
          <w:color w:val="000000"/>
        </w:rPr>
        <w:t xml:space="preserve"> or a European Union parent mixed financial holding company;</w:t>
      </w:r>
    </w:p>
    <w:p w14:paraId="4F81E659" w14:textId="77777777" w:rsidR="0024375F" w:rsidRDefault="0024375F" w:rsidP="0024375F">
      <w:pPr>
        <w:spacing w:line="360" w:lineRule="atLeast"/>
        <w:ind w:firstLine="720"/>
        <w:jc w:val="both"/>
        <w:rPr>
          <w:color w:val="000000"/>
        </w:rPr>
      </w:pPr>
      <w:bookmarkStart w:id="307" w:name="part_a8d0908e240a4f26ab2ef19ca9c3504a"/>
      <w:bookmarkEnd w:id="307"/>
      <w:r>
        <w:rPr>
          <w:color w:val="000000"/>
        </w:rPr>
        <w:t>2) when appropriate, supervisory authorities of third countries which are subject to confidentiality requirements determined in Article 43 of the Law on the Bank of Lithuania.</w:t>
      </w:r>
    </w:p>
    <w:p w14:paraId="456EB3D5" w14:textId="77777777" w:rsidR="0024375F" w:rsidRDefault="0024375F" w:rsidP="0024375F">
      <w:pPr>
        <w:spacing w:line="360" w:lineRule="atLeast"/>
        <w:ind w:firstLine="720"/>
        <w:jc w:val="both"/>
        <w:rPr>
          <w:color w:val="000000"/>
        </w:rPr>
      </w:pPr>
      <w:bookmarkStart w:id="308" w:name="part_b1ec4e70e9b1493ba90cda4c65367e71"/>
      <w:bookmarkEnd w:id="308"/>
      <w:r>
        <w:rPr>
          <w:color w:val="000000"/>
        </w:rPr>
        <w:t xml:space="preserve">8. The supervisory authority performing a joint (consolidated) supervision of a group shall chair the meetings of the college of the supervisors and make decisions.  All members of the college shall be informed in advance about the organised meetings of the college, the main issues and activities that will be discussed during the meeting, and they shall be provided after the meeting with information about the decisions and their implementation. When making decisions, the supervisory authority shall </w:t>
      </w:r>
      <w:proofErr w:type="gramStart"/>
      <w:r>
        <w:rPr>
          <w:color w:val="000000"/>
        </w:rPr>
        <w:t>take into account</w:t>
      </w:r>
      <w:proofErr w:type="gramEnd"/>
      <w:r>
        <w:rPr>
          <w:color w:val="000000"/>
        </w:rPr>
        <w:t xml:space="preserve"> the significance of the supervisory activities that should be planned or coordinated by the authority referred to in paragraph 7 of this Article.  The establishment and functioning of the college of supervisors shall be formalised by written agreements.  The European Banking Authority may also participate in the meetings of the college of supervisors, as laid down in Article 21 of Regulation (EU) No 1093/2010.</w:t>
      </w:r>
    </w:p>
    <w:p w14:paraId="42F5C181" w14:textId="77777777" w:rsidR="0024375F" w:rsidRDefault="0024375F" w:rsidP="0024375F">
      <w:pPr>
        <w:spacing w:line="360" w:lineRule="atLeast"/>
        <w:ind w:firstLine="720"/>
        <w:jc w:val="both"/>
        <w:rPr>
          <w:color w:val="000000"/>
        </w:rPr>
      </w:pPr>
      <w:bookmarkStart w:id="309" w:name="part_f60b117e7c3044029485dd4975e78605"/>
      <w:bookmarkEnd w:id="309"/>
      <w:r>
        <w:rPr>
          <w:color w:val="000000"/>
        </w:rPr>
        <w:t>9. The supervisory authority, performing a joint (consolidated) supervision of a group, shall provide the institutions referred to in paragraph 7 of this Article with:</w:t>
      </w:r>
    </w:p>
    <w:p w14:paraId="690D4482" w14:textId="77777777" w:rsidR="0024375F" w:rsidRDefault="0024375F" w:rsidP="0024375F">
      <w:pPr>
        <w:spacing w:line="360" w:lineRule="atLeast"/>
        <w:ind w:firstLine="720"/>
        <w:jc w:val="both"/>
        <w:rPr>
          <w:color w:val="000000"/>
        </w:rPr>
      </w:pPr>
      <w:bookmarkStart w:id="310" w:name="part_bad2e679289946a1888addb19b551d59"/>
      <w:bookmarkEnd w:id="310"/>
      <w:r>
        <w:rPr>
          <w:color w:val="000000"/>
        </w:rPr>
        <w:t xml:space="preserve">1) information on the legal and governance structure of the group of financial brokerage firms, as well as its organisational structure, including all regulated and unregulated entities, unregulated subsidiaries and parent undertakings, as well as information on the supervisory authorities of the regulated entities belonging to the group of financial </w:t>
      </w:r>
      <w:proofErr w:type="gramStart"/>
      <w:r>
        <w:rPr>
          <w:color w:val="000000"/>
        </w:rPr>
        <w:t>brokerage</w:t>
      </w:r>
      <w:proofErr w:type="gramEnd"/>
      <w:r>
        <w:rPr>
          <w:color w:val="000000"/>
        </w:rPr>
        <w:t xml:space="preserve"> firms;</w:t>
      </w:r>
    </w:p>
    <w:p w14:paraId="3D0A167A" w14:textId="77777777" w:rsidR="0024375F" w:rsidRDefault="0024375F" w:rsidP="0024375F">
      <w:pPr>
        <w:spacing w:line="360" w:lineRule="atLeast"/>
        <w:ind w:firstLine="720"/>
        <w:jc w:val="both"/>
        <w:rPr>
          <w:color w:val="000000"/>
        </w:rPr>
      </w:pPr>
      <w:bookmarkStart w:id="311" w:name="part_b08b2a3b5d4a48b5ac3389dc4e9d8f6d"/>
      <w:bookmarkEnd w:id="311"/>
      <w:r>
        <w:rPr>
          <w:color w:val="000000"/>
        </w:rPr>
        <w:t xml:space="preserve">2) the procedures for collecting information from the financial brokerage firms that make up the group of financial brokerage firms and the procedures for verifying that </w:t>
      </w:r>
      <w:proofErr w:type="gramStart"/>
      <w:r>
        <w:rPr>
          <w:color w:val="000000"/>
        </w:rPr>
        <w:t>information;</w:t>
      </w:r>
      <w:proofErr w:type="gramEnd"/>
    </w:p>
    <w:p w14:paraId="470D2BB3" w14:textId="77777777" w:rsidR="0024375F" w:rsidRDefault="0024375F" w:rsidP="0024375F">
      <w:pPr>
        <w:spacing w:line="360" w:lineRule="atLeast"/>
        <w:ind w:firstLine="720"/>
        <w:jc w:val="both"/>
        <w:rPr>
          <w:color w:val="000000"/>
        </w:rPr>
      </w:pPr>
      <w:bookmarkStart w:id="312" w:name="part_e33b985ad1894b49a49fb9f6af6db58d"/>
      <w:bookmarkEnd w:id="312"/>
      <w:r>
        <w:rPr>
          <w:color w:val="000000"/>
        </w:rPr>
        <w:t xml:space="preserve">3) any adverse developments in the financial brokerage firms or other entities of the financial brokerage firm group that could seriously harm those financial brokerage </w:t>
      </w:r>
      <w:proofErr w:type="gramStart"/>
      <w:r>
        <w:rPr>
          <w:color w:val="000000"/>
        </w:rPr>
        <w:t>firms;</w:t>
      </w:r>
      <w:proofErr w:type="gramEnd"/>
    </w:p>
    <w:p w14:paraId="5F5242A6" w14:textId="77777777" w:rsidR="0024375F" w:rsidRDefault="0024375F" w:rsidP="0024375F">
      <w:pPr>
        <w:spacing w:line="360" w:lineRule="atLeast"/>
        <w:ind w:firstLine="720"/>
        <w:jc w:val="both"/>
        <w:rPr>
          <w:color w:val="000000"/>
        </w:rPr>
      </w:pPr>
      <w:bookmarkStart w:id="313" w:name="part_ca7e8cfa74824568a694ded65d3ba523"/>
      <w:bookmarkEnd w:id="313"/>
      <w:r>
        <w:rPr>
          <w:color w:val="000000"/>
        </w:rPr>
        <w:t>4) information on applied impact sanctions and given mandatory instructions which the supervisory authority undertakes in accordance with this Law.</w:t>
      </w:r>
    </w:p>
    <w:p w14:paraId="71D3C53A" w14:textId="77777777" w:rsidR="0024375F" w:rsidRDefault="0024375F" w:rsidP="0024375F">
      <w:pPr>
        <w:spacing w:line="360" w:lineRule="atLeast"/>
        <w:ind w:firstLine="720"/>
        <w:jc w:val="both"/>
        <w:rPr>
          <w:color w:val="000000"/>
        </w:rPr>
      </w:pPr>
      <w:bookmarkStart w:id="314" w:name="part_22cf0b616b444ad6add5ecdd324b69a5"/>
      <w:bookmarkEnd w:id="314"/>
      <w:r>
        <w:rPr>
          <w:color w:val="000000"/>
        </w:rPr>
        <w:t>10. If the supervisory authorities of other Member States, when carrying out joint (consolidated) supervision, do not cooperate with the supervisory authority to the extent necessary for performing the tasks listed in paragraph 9 of this Article, also if there are controversies regarding the activities of the colleges of supervisors, the supervisory authority may request the European Banking Authority’s aid under Article 19 of Regulation (EU) No 1093/2010.</w:t>
      </w:r>
    </w:p>
    <w:p w14:paraId="644223A0" w14:textId="77777777" w:rsidR="0024375F" w:rsidRDefault="0024375F" w:rsidP="0024375F">
      <w:pPr>
        <w:spacing w:line="360" w:lineRule="atLeast"/>
        <w:ind w:firstLine="720"/>
        <w:jc w:val="both"/>
        <w:rPr>
          <w:color w:val="000000"/>
        </w:rPr>
      </w:pPr>
      <w:bookmarkStart w:id="315" w:name="part_00b33d7584de4ce88a99dcd80347e31a"/>
      <w:bookmarkEnd w:id="315"/>
      <w:r>
        <w:rPr>
          <w:color w:val="000000"/>
        </w:rPr>
        <w:t>11. Before making a decision that may be relevant for other supervisory authorities in the performance of supervisory functions, the supervisory authority shall consult on:</w:t>
      </w:r>
    </w:p>
    <w:p w14:paraId="585D9E25" w14:textId="77777777" w:rsidR="0024375F" w:rsidRDefault="0024375F" w:rsidP="0024375F">
      <w:pPr>
        <w:spacing w:line="360" w:lineRule="atLeast"/>
        <w:ind w:firstLine="720"/>
        <w:jc w:val="both"/>
        <w:rPr>
          <w:color w:val="000000"/>
        </w:rPr>
      </w:pPr>
      <w:bookmarkStart w:id="316" w:name="part_f409c2c622764691ab72e626e327421c"/>
      <w:bookmarkEnd w:id="316"/>
      <w:r>
        <w:rPr>
          <w:color w:val="000000"/>
        </w:rPr>
        <w:lastRenderedPageBreak/>
        <w:t xml:space="preserve">1) changes in the shareholding, organisational or governance structure of financial brokerage firms belonging to the group of financial brokerage firms, which require the approval or authorisation of the supervisory </w:t>
      </w:r>
      <w:proofErr w:type="gramStart"/>
      <w:r>
        <w:rPr>
          <w:color w:val="000000"/>
        </w:rPr>
        <w:t>authorities;</w:t>
      </w:r>
      <w:proofErr w:type="gramEnd"/>
    </w:p>
    <w:p w14:paraId="1A88D64C" w14:textId="77777777" w:rsidR="0024375F" w:rsidRDefault="0024375F" w:rsidP="0024375F">
      <w:pPr>
        <w:spacing w:line="360" w:lineRule="atLeast"/>
        <w:ind w:firstLine="720"/>
        <w:jc w:val="both"/>
        <w:rPr>
          <w:color w:val="000000"/>
        </w:rPr>
      </w:pPr>
      <w:bookmarkStart w:id="317" w:name="part_821270f44a324d309f2803d79a4ae9cf"/>
      <w:bookmarkEnd w:id="317"/>
      <w:r>
        <w:rPr>
          <w:color w:val="000000"/>
        </w:rPr>
        <w:t>2) information on applied impact sanctions and given mandatory instructions which the supervisory authority undertakes in accordance with this Law.</w:t>
      </w:r>
    </w:p>
    <w:p w14:paraId="0E91E7D2" w14:textId="77777777" w:rsidR="0024375F" w:rsidRDefault="0024375F" w:rsidP="0024375F">
      <w:pPr>
        <w:spacing w:line="360" w:lineRule="atLeast"/>
        <w:ind w:firstLine="720"/>
        <w:jc w:val="both"/>
        <w:rPr>
          <w:color w:val="000000"/>
        </w:rPr>
      </w:pPr>
      <w:bookmarkStart w:id="318" w:name="part_4c62f2028ef94349bd479507b9ab4e87"/>
      <w:bookmarkEnd w:id="318"/>
      <w:r>
        <w:rPr>
          <w:color w:val="000000"/>
        </w:rPr>
        <w:t>12. If the requirements of paragraph 11 of this Article are deviated from, the supervisory authority shall not be obliged to consult with other supervisory authorities when the decisions referred to in paragraph 11 of this Article are urgent or when such consultations may endanger the effectiveness of its decision.  In such cases, the supervisory authority shall immediately inform the other supervisory authorities of its decision not to consult.</w:t>
      </w:r>
    </w:p>
    <w:p w14:paraId="0E771E56" w14:textId="77777777" w:rsidR="0024375F" w:rsidRDefault="0024375F" w:rsidP="0024375F">
      <w:pPr>
        <w:spacing w:line="360" w:lineRule="atLeast"/>
        <w:ind w:firstLine="720"/>
        <w:jc w:val="both"/>
        <w:rPr>
          <w:color w:val="000000"/>
        </w:rPr>
      </w:pPr>
      <w:bookmarkStart w:id="319" w:name="part_b7236ce98d80419196fb4c81cc5515c7"/>
      <w:bookmarkEnd w:id="319"/>
      <w:r>
        <w:rPr>
          <w:color w:val="000000"/>
        </w:rPr>
        <w:t>13. The supervisory authority shall consult with the group’s supervisory authority when it intends to apply material sanctions or impose sanctions and issue mandatory instructions.</w:t>
      </w:r>
    </w:p>
    <w:p w14:paraId="0AD381D1" w14:textId="77777777" w:rsidR="0024375F" w:rsidRDefault="0024375F" w:rsidP="0024375F">
      <w:pPr>
        <w:spacing w:line="360" w:lineRule="atLeast"/>
        <w:ind w:firstLine="720"/>
        <w:jc w:val="both"/>
        <w:rPr>
          <w:color w:val="000000"/>
        </w:rPr>
      </w:pPr>
      <w:bookmarkStart w:id="320" w:name="part_cdd975b7e1b342d89dc9e874cb210fe5"/>
      <w:bookmarkEnd w:id="320"/>
      <w:r>
        <w:rPr>
          <w:color w:val="000000"/>
        </w:rPr>
        <w:t>14. Where the parent undertaking of a financial brokerage firm is a mixed-activity holding company, the supervisory authority responsible for the supervision of the financial brokerage firm may request that the mixed-activity holding company provide any information relevant to the supervision of that financial brokerage firm.</w:t>
      </w:r>
    </w:p>
    <w:p w14:paraId="6F27E7B8" w14:textId="77777777" w:rsidR="0024375F" w:rsidRDefault="0024375F" w:rsidP="0024375F">
      <w:pPr>
        <w:spacing w:line="360" w:lineRule="atLeast"/>
        <w:ind w:firstLine="720"/>
        <w:jc w:val="both"/>
        <w:rPr>
          <w:color w:val="000000"/>
        </w:rPr>
      </w:pPr>
      <w:bookmarkStart w:id="321" w:name="part_dcc20435628541b38abe78053e8a371f"/>
      <w:bookmarkEnd w:id="321"/>
      <w:r>
        <w:rPr>
          <w:color w:val="000000"/>
        </w:rPr>
        <w:t>15. Where the parent company of a financial brokerage firm is a mixed-activity holding company, the supervisory authority responsible for the supervision of the financial brokerage firm may supervise the transactions of the financial brokerage firm and the mixed-activity holding company and its subsidiaries and request that the financial brokerage firm has put in place appropriate risk management processes and internal control mechanisms, including sound reporting and accounting procedures to make it possible to identify, measure, monitor and control such transactions.</w:t>
      </w:r>
    </w:p>
    <w:p w14:paraId="68F171E8" w14:textId="77777777" w:rsidR="0024375F" w:rsidRDefault="0024375F" w:rsidP="0024375F">
      <w:pPr>
        <w:spacing w:line="360" w:lineRule="atLeast"/>
        <w:ind w:firstLine="720"/>
        <w:jc w:val="both"/>
        <w:rPr>
          <w:color w:val="000000"/>
        </w:rPr>
      </w:pPr>
      <w:bookmarkStart w:id="322" w:name="part_c44b3db306e74edba0243fb874c5999b"/>
      <w:bookmarkEnd w:id="322"/>
      <w:r>
        <w:rPr>
          <w:color w:val="000000"/>
        </w:rPr>
        <w:t>16. The supervisory authority, having received information under paragraph 14 of this Article, may itself or by engagement of other persons conduct spot checks.</w:t>
      </w:r>
    </w:p>
    <w:p w14:paraId="11ABB90F" w14:textId="77777777" w:rsidR="0024375F" w:rsidRDefault="0024375F" w:rsidP="0024375F">
      <w:pPr>
        <w:rPr>
          <w:color w:val="000000"/>
        </w:rPr>
      </w:pPr>
      <w:r>
        <w:rPr>
          <w:i/>
          <w:iCs/>
          <w:color w:val="000000"/>
          <w:sz w:val="20"/>
        </w:rPr>
        <w:t>Amendments to Article:</w:t>
      </w:r>
    </w:p>
    <w:p w14:paraId="03E73DE2" w14:textId="77777777" w:rsidR="0024375F" w:rsidRDefault="0024375F" w:rsidP="0024375F">
      <w:pPr>
        <w:jc w:val="both"/>
        <w:rPr>
          <w:color w:val="000000"/>
        </w:rPr>
      </w:pPr>
      <w:r>
        <w:rPr>
          <w:i/>
          <w:iCs/>
          <w:color w:val="000000"/>
          <w:sz w:val="20"/>
        </w:rPr>
        <w:t xml:space="preserve">No </w:t>
      </w:r>
      <w:hyperlink r:id="rId186" w:tgtFrame="_parent" w:history="1">
        <w:r>
          <w:rPr>
            <w:rStyle w:val="Hyperlink"/>
            <w:i/>
            <w:iCs/>
            <w:sz w:val="20"/>
          </w:rPr>
          <w:t>XIV-821</w:t>
        </w:r>
      </w:hyperlink>
      <w:r>
        <w:rPr>
          <w:i/>
          <w:iCs/>
          <w:color w:val="000000"/>
          <w:sz w:val="20"/>
        </w:rPr>
        <w:t>, 23/12/2021, published in the RLA, 30/12/2021, ID code 2021-27710</w:t>
      </w:r>
    </w:p>
    <w:p w14:paraId="593DBAE0" w14:textId="62D2DB3D" w:rsidR="0024375F" w:rsidRDefault="0024375F" w:rsidP="0024375F">
      <w:pPr>
        <w:rPr>
          <w:color w:val="000000"/>
        </w:rPr>
      </w:pPr>
    </w:p>
    <w:p w14:paraId="303710EC" w14:textId="77777777" w:rsidR="0024375F" w:rsidRDefault="0024375F" w:rsidP="0024375F">
      <w:pPr>
        <w:spacing w:line="360" w:lineRule="atLeast"/>
        <w:ind w:left="2410" w:hanging="1690"/>
        <w:jc w:val="both"/>
        <w:rPr>
          <w:color w:val="000000"/>
        </w:rPr>
      </w:pPr>
      <w:bookmarkStart w:id="323" w:name="part_b15683c397a549f0b9dc532374426029"/>
      <w:bookmarkEnd w:id="323"/>
      <w:r>
        <w:rPr>
          <w:b/>
          <w:bCs/>
          <w:color w:val="000000"/>
        </w:rPr>
        <w:t>Article 107</w:t>
      </w:r>
      <w:r>
        <w:rPr>
          <w:b/>
          <w:bCs/>
          <w:color w:val="000000"/>
          <w:vertAlign w:val="superscript"/>
        </w:rPr>
        <w:t>1</w:t>
      </w:r>
      <w:r>
        <w:rPr>
          <w:b/>
          <w:bCs/>
          <w:color w:val="000000"/>
        </w:rPr>
        <w:t>. Application of alternative group consolidation requirement to holding companies</w:t>
      </w:r>
    </w:p>
    <w:p w14:paraId="4B90F6A4" w14:textId="77777777" w:rsidR="0024375F" w:rsidRDefault="0024375F" w:rsidP="0024375F">
      <w:pPr>
        <w:spacing w:line="360" w:lineRule="atLeast"/>
        <w:ind w:firstLine="720"/>
        <w:jc w:val="both"/>
        <w:rPr>
          <w:color w:val="000000"/>
        </w:rPr>
      </w:pPr>
      <w:bookmarkStart w:id="324" w:name="part_da770743c4964ba4bad83999e00c5433"/>
      <w:bookmarkEnd w:id="324"/>
      <w:r>
        <w:rPr>
          <w:color w:val="000000"/>
        </w:rPr>
        <w:t>Investment holding companies and mixed financial holding companies shall be required to comply with the alternative group consolidation requirement.</w:t>
      </w:r>
    </w:p>
    <w:p w14:paraId="1352C14E" w14:textId="77777777" w:rsidR="0024375F" w:rsidRDefault="0024375F" w:rsidP="0024375F">
      <w:pPr>
        <w:rPr>
          <w:color w:val="000000"/>
        </w:rPr>
      </w:pPr>
      <w:r>
        <w:rPr>
          <w:i/>
          <w:iCs/>
          <w:color w:val="000000"/>
          <w:sz w:val="20"/>
        </w:rPr>
        <w:t>Supplemented with an Article:</w:t>
      </w:r>
    </w:p>
    <w:p w14:paraId="68CE8B00" w14:textId="77777777" w:rsidR="0024375F" w:rsidRDefault="0024375F" w:rsidP="0024375F">
      <w:pPr>
        <w:jc w:val="both"/>
        <w:rPr>
          <w:color w:val="000000"/>
        </w:rPr>
      </w:pPr>
      <w:r>
        <w:rPr>
          <w:i/>
          <w:iCs/>
          <w:color w:val="000000"/>
          <w:sz w:val="20"/>
        </w:rPr>
        <w:t xml:space="preserve">No </w:t>
      </w:r>
      <w:hyperlink r:id="rId187" w:tgtFrame="_parent" w:history="1">
        <w:r>
          <w:rPr>
            <w:rStyle w:val="Hyperlink"/>
            <w:i/>
            <w:iCs/>
            <w:sz w:val="20"/>
          </w:rPr>
          <w:t>XIV-821</w:t>
        </w:r>
      </w:hyperlink>
      <w:r>
        <w:rPr>
          <w:i/>
          <w:iCs/>
          <w:color w:val="000000"/>
          <w:sz w:val="20"/>
        </w:rPr>
        <w:t>, 23/12/2021, published in the RLA, 30/12/2021, ID code 2021-27710</w:t>
      </w:r>
    </w:p>
    <w:p w14:paraId="632D3921" w14:textId="77777777" w:rsidR="0024375F" w:rsidRPr="000550CF" w:rsidRDefault="0024375F" w:rsidP="00F3494E">
      <w:pPr>
        <w:widowControl w:val="0"/>
        <w:ind w:firstLine="720"/>
        <w:jc w:val="both"/>
        <w:rPr>
          <w:szCs w:val="24"/>
          <w:lang w:eastAsia="lt-LT"/>
        </w:rPr>
      </w:pPr>
    </w:p>
    <w:p w14:paraId="50F3DE09" w14:textId="77777777" w:rsidR="00ED3A7E" w:rsidRPr="000550CF" w:rsidRDefault="00ED3A7E" w:rsidP="00CF4639">
      <w:pPr>
        <w:suppressAutoHyphens/>
        <w:ind w:left="2410" w:hanging="1701"/>
        <w:jc w:val="both"/>
        <w:textAlignment w:val="baseline"/>
        <w:rPr>
          <w:szCs w:val="24"/>
        </w:rPr>
      </w:pPr>
      <w:r>
        <w:rPr>
          <w:b/>
        </w:rPr>
        <w:t>Article 108. Powers</w:t>
      </w:r>
      <w:r>
        <w:rPr>
          <w:b/>
          <w:szCs w:val="24"/>
        </w:rPr>
        <w:t xml:space="preserve"> of the supervisory authority in respect of branches of financial brokerage firms licensed in another Member State established in the Republic of Lithuania</w:t>
      </w:r>
      <w:r>
        <w:t xml:space="preserve">  </w:t>
      </w:r>
    </w:p>
    <w:p w14:paraId="3699D6A3" w14:textId="77777777" w:rsidR="00ED3A7E" w:rsidRPr="000550CF" w:rsidRDefault="00ED3A7E" w:rsidP="00F3494E">
      <w:pPr>
        <w:widowControl w:val="0"/>
        <w:ind w:firstLine="720"/>
        <w:jc w:val="both"/>
        <w:rPr>
          <w:szCs w:val="24"/>
        </w:rPr>
      </w:pPr>
      <w:r>
        <w:t>1. The supervisory authority of the home Member State shall carry out the prudential supervision of a financial brokerage firm licensed in another Member State which has established a branch in the Republic of Lithuania.  However, this shall not limit the right of the Lithuanian supervisory authority to require that the financial brokerage firm that has established the branch in the Republic of Lithuania provides regular information about the activities of the branch in the Republic of Lithuania, and to carry out supervision according to the provisions of this Law.</w:t>
      </w:r>
    </w:p>
    <w:p w14:paraId="46CBFD1D" w14:textId="77777777" w:rsidR="00ED3A7E" w:rsidRPr="000550CF" w:rsidRDefault="00ED3A7E" w:rsidP="00F3494E">
      <w:pPr>
        <w:widowControl w:val="0"/>
        <w:ind w:firstLine="720"/>
        <w:jc w:val="both"/>
        <w:rPr>
          <w:szCs w:val="24"/>
        </w:rPr>
      </w:pPr>
      <w:r>
        <w:t xml:space="preserve">2. In performing the supervisory functions established in this Law the supervisory authority </w:t>
      </w:r>
      <w:r>
        <w:lastRenderedPageBreak/>
        <w:t xml:space="preserve">shall have the right to request from the branch of the financial brokerage firm the provision of the complete information necessary to assess whether the branch complies with the requirements for activities of </w:t>
      </w:r>
      <w:proofErr w:type="spellStart"/>
      <w:r>
        <w:t>braches</w:t>
      </w:r>
      <w:proofErr w:type="spellEnd"/>
      <w:r>
        <w:t xml:space="preserve"> laid down </w:t>
      </w:r>
      <w:proofErr w:type="gramStart"/>
      <w:r>
        <w:t>on the basis of</w:t>
      </w:r>
      <w:proofErr w:type="gramEnd"/>
      <w:r>
        <w:t xml:space="preserve"> Article 45 of this Law.</w:t>
      </w:r>
    </w:p>
    <w:p w14:paraId="1ABA0978" w14:textId="77777777" w:rsidR="00ED3A7E" w:rsidRPr="000550CF" w:rsidRDefault="00ED3A7E" w:rsidP="00F3494E">
      <w:pPr>
        <w:widowControl w:val="0"/>
        <w:ind w:firstLine="720"/>
        <w:jc w:val="both"/>
        <w:rPr>
          <w:szCs w:val="24"/>
        </w:rPr>
      </w:pPr>
      <w:r>
        <w:t>3. The requests of the supervisory Authority stipulated in paragraph 2 of this Article shall not be stricter than those applicable for the purpose of supervision of financial brokerage firms established in the Republic of Lithuania.</w:t>
      </w:r>
    </w:p>
    <w:p w14:paraId="6E0A0274" w14:textId="77777777" w:rsidR="00ED3A7E" w:rsidRPr="000550CF" w:rsidRDefault="00ED3A7E" w:rsidP="00F3494E">
      <w:pPr>
        <w:widowControl w:val="0"/>
        <w:ind w:firstLine="720"/>
        <w:jc w:val="both"/>
        <w:rPr>
          <w:szCs w:val="24"/>
        </w:rPr>
      </w:pPr>
      <w:r>
        <w:t>4. The supervisory authority shall monitor the compliance of branches of financial brokerage firms established in the Republic of Lithuania with the requirements of Articles 29, 30, 31, 33 and 34 of this Law, Articles 14 to 26 of Regulation (EU) No 600/2014 and other legal acts adopted on their basis. For that purpose, the supervisory authority shall have the right to carry out inspections of the branch with a view to establishing the compliance with the requirements and demand the correction of the identified infringements.</w:t>
      </w:r>
    </w:p>
    <w:p w14:paraId="110D0F62" w14:textId="77777777" w:rsidR="00ED3A7E" w:rsidRPr="000550CF" w:rsidRDefault="00ED3A7E" w:rsidP="00F3494E">
      <w:pPr>
        <w:widowControl w:val="0"/>
        <w:ind w:firstLine="720"/>
        <w:jc w:val="both"/>
        <w:rPr>
          <w:szCs w:val="24"/>
        </w:rPr>
      </w:pPr>
      <w:r>
        <w:t>5. The supervisory authority may also carry out inspections and check the compliance of financial brokerage firm branches established Republic of Lithuania with the requirements other than those referred to in paragraph 4 of this Article, this Law and legal acts adopted on its basis, where, in the opinion of the supervisory authority, this is relevant for the stability and soundness of the financial system of Lithuania. Prior to carrying out such inspections, the supervisory authority shall consult supervisory authorities of the European Union Member States to whose jurisdiction the financial brokerage firms that have established the branches of financial brokerage firms in the Republic of Lithuania, and after carrying out the communicate to them the received information and conclusions that are relevant for the assessment of risks of the  financial brokerage firm licensed in another Member State or for the stability and soundness of the financial system of Lithuania.</w:t>
      </w:r>
    </w:p>
    <w:p w14:paraId="3D13E42A" w14:textId="77777777" w:rsidR="00ED3A7E" w:rsidRPr="000550CF" w:rsidRDefault="00ED3A7E" w:rsidP="00F3494E">
      <w:pPr>
        <w:widowControl w:val="0"/>
        <w:ind w:firstLine="720"/>
        <w:jc w:val="both"/>
        <w:rPr>
          <w:szCs w:val="24"/>
        </w:rPr>
      </w:pPr>
      <w:r>
        <w:t>6. The supervisory authority of financial brokerage firms licensed in another Member State that have established a branch in the Republic of Lithuania, having first notified in writing the supervisory authority, may carry out inspections of the firm’s branch established in the Republic of Lithuania.</w:t>
      </w:r>
    </w:p>
    <w:p w14:paraId="3F24F6A0" w14:textId="77777777" w:rsidR="00ED3A7E" w:rsidRPr="000550CF" w:rsidRDefault="00ED3A7E" w:rsidP="00F3494E">
      <w:pPr>
        <w:widowControl w:val="0"/>
        <w:ind w:firstLine="720"/>
        <w:jc w:val="both"/>
        <w:rPr>
          <w:szCs w:val="24"/>
          <w:lang w:eastAsia="lt-LT"/>
        </w:rPr>
      </w:pPr>
    </w:p>
    <w:p w14:paraId="08162A06" w14:textId="77777777" w:rsidR="00ED3A7E" w:rsidRPr="000550CF" w:rsidRDefault="00ED3A7E" w:rsidP="00C14E8A">
      <w:pPr>
        <w:suppressAutoHyphens/>
        <w:ind w:left="2160" w:hanging="1451"/>
        <w:jc w:val="both"/>
        <w:textAlignment w:val="baseline"/>
        <w:rPr>
          <w:szCs w:val="24"/>
        </w:rPr>
      </w:pPr>
      <w:r>
        <w:rPr>
          <w:b/>
          <w:szCs w:val="24"/>
        </w:rPr>
        <w:t>Article 109. Precautionary measures to be taken by the supervisor authority with respect to financial brokerage firms licensed in another Member State</w:t>
      </w:r>
    </w:p>
    <w:p w14:paraId="5556F01C" w14:textId="77777777" w:rsidR="00ED3A7E" w:rsidRPr="000550CF" w:rsidRDefault="00ED3A7E" w:rsidP="00F3494E">
      <w:pPr>
        <w:widowControl w:val="0"/>
        <w:ind w:firstLine="720"/>
        <w:jc w:val="both"/>
        <w:rPr>
          <w:szCs w:val="24"/>
        </w:rPr>
      </w:pPr>
      <w:r>
        <w:t>1. Where the supervisory authority has clear grounds for believing that a financial brokerage firm which is licensed in another Member State and provides investment services in the Republic of Lithuania fails to comply with the requirements provided for in this Law, it shall notify those findings to the supervisory authority of the financial brokerage firm.</w:t>
      </w:r>
    </w:p>
    <w:p w14:paraId="03464A67" w14:textId="77777777" w:rsidR="00ED3A7E" w:rsidRPr="000550CF" w:rsidRDefault="00ED3A7E" w:rsidP="00F3494E">
      <w:pPr>
        <w:widowControl w:val="0"/>
        <w:ind w:firstLine="720"/>
        <w:jc w:val="both"/>
        <w:rPr>
          <w:szCs w:val="24"/>
        </w:rPr>
      </w:pPr>
      <w:r>
        <w:t>2. The notifications referred to in paragraph 1 of this Article shall be provided where:</w:t>
      </w:r>
    </w:p>
    <w:p w14:paraId="3AA0F7EF" w14:textId="77777777" w:rsidR="00ED3A7E" w:rsidRPr="000550CF" w:rsidRDefault="00ED3A7E" w:rsidP="00F3494E">
      <w:pPr>
        <w:widowControl w:val="0"/>
        <w:ind w:firstLine="720"/>
        <w:jc w:val="both"/>
        <w:rPr>
          <w:szCs w:val="24"/>
        </w:rPr>
      </w:pPr>
      <w:r>
        <w:t>1) investment services are provided in the Republic of Lithuania without having established a branch;</w:t>
      </w:r>
    </w:p>
    <w:p w14:paraId="4C544D3D" w14:textId="77777777" w:rsidR="00ED3A7E" w:rsidRPr="000550CF" w:rsidRDefault="00ED3A7E" w:rsidP="00F3494E">
      <w:pPr>
        <w:widowControl w:val="0"/>
        <w:ind w:firstLine="720"/>
        <w:jc w:val="both"/>
        <w:rPr>
          <w:szCs w:val="24"/>
        </w:rPr>
      </w:pPr>
      <w:r>
        <w:t>2) investment services are provided in the Republic of Lithuania having established a branch and the financial brokerage firm having established a branch is suspected of the infringement of the requirements established in this Law the supervision over compliance with which is not assigned to the competence of the supervisory authority.</w:t>
      </w:r>
    </w:p>
    <w:p w14:paraId="5923FD97" w14:textId="77777777" w:rsidR="00ED3A7E" w:rsidRPr="000550CF" w:rsidRDefault="00ED3A7E" w:rsidP="00F3494E">
      <w:pPr>
        <w:widowControl w:val="0"/>
        <w:ind w:firstLine="720"/>
        <w:jc w:val="both"/>
        <w:rPr>
          <w:szCs w:val="24"/>
        </w:rPr>
      </w:pPr>
      <w:r>
        <w:t>3. Where despite the sanctions imposed by the supervisory authority of the financial brokerage firm or because the measures imposed are inadequate, the financial brokerage firm persists in infringing the requirements established in this Law, and in prejudice to the interests of the investors of the Republic of Lithuania or poses threat to an orderly functioning of the markets in financial instruments, the supervisory authority after informing the supervisory authority of the financial brokerage firm shall be entitled to take all the appropriate measures needed in order to protect investors and the proper functioning of the markets. The supervisory authority shall be entitled to take measures preventing the offending financial brokerage firm from initiating any transactions in financial instruments in the Republic of Lithuania. The supervisory authority shall without delay notify the European Commission and ESMA on the measures taken in this respect. In addition, the supervisory authority may refer the matter to ESMA, which may act in accordance with the powers conferred on it under Regulation (EU) No 1095/2010.</w:t>
      </w:r>
    </w:p>
    <w:p w14:paraId="54C4814A" w14:textId="77777777" w:rsidR="00ED3A7E" w:rsidRPr="000550CF" w:rsidRDefault="00ED3A7E" w:rsidP="00F3494E">
      <w:pPr>
        <w:widowControl w:val="0"/>
        <w:ind w:firstLine="720"/>
        <w:jc w:val="both"/>
        <w:rPr>
          <w:szCs w:val="24"/>
        </w:rPr>
      </w:pPr>
      <w:r>
        <w:lastRenderedPageBreak/>
        <w:t>4. Where the supervisory authority determines that a financial brokerage firm licensed in another Member State acting through its branch in the Republic of Lithuania infringes the requirements of this Law the supervision over compliance with which is assigned to the competence of the supervisory authority, it shall require the financial brokerage firm to put an end to the infringing actions. Where the financial brokerage firm continues to infringe the requirements of the relevant regulations, the supervisory authority shall have a right to take all appropriate measures to bring the irregularities to an end. The supervisory authority shall notify the financial brokerage firm on the actions taken.</w:t>
      </w:r>
    </w:p>
    <w:p w14:paraId="11A0E241" w14:textId="77777777" w:rsidR="00ED3A7E" w:rsidRPr="000550CF" w:rsidRDefault="00ED3A7E" w:rsidP="00F3494E">
      <w:pPr>
        <w:widowControl w:val="0"/>
        <w:ind w:firstLine="720"/>
        <w:jc w:val="both"/>
        <w:rPr>
          <w:szCs w:val="24"/>
        </w:rPr>
      </w:pPr>
      <w:r>
        <w:t>5. Where despite the sanctions imposed by the supervisory authority the financial brokerage firm persists in infringing the requirements of legal acts of the Republic of Lithuania, the supervisory authority shall have the right, after informing the supervisory authority of the financial brokerage firm, to take all appropriate measures needed in order to protect investors and the proper functioning of the markets. The European Commission and ESMA shall be informed of such measures by the supervisory authority without undue delay. In addition, the supervisory authority may refer the matter to ESMA, which may act in accordance with the powers conferred on it under Regulation (EU) No 1095/2010.</w:t>
      </w:r>
    </w:p>
    <w:p w14:paraId="6414A071" w14:textId="77777777" w:rsidR="00ED3A7E" w:rsidRPr="000550CF" w:rsidRDefault="00ED3A7E" w:rsidP="00F3494E">
      <w:pPr>
        <w:widowControl w:val="0"/>
        <w:ind w:firstLine="720"/>
        <w:jc w:val="both"/>
        <w:rPr>
          <w:szCs w:val="24"/>
        </w:rPr>
      </w:pPr>
      <w:r>
        <w:t>6. Where the supervisory authority has grounds for believing that the requirements established in this Law are being infringed by a market operator or a financial brokerage firm operating a regulated market or an MTF or an OTF established in another Member State infringes the requirements established in this Law, the supervisory authority shall promptly inform about that the supervisory authority of the market operator or the financial brokerage firm operating the regulated market or the MTF or OTF. Where despite the measures applied by the supervisory authority of the home Member State or because the measures applied prove inadequate, the market operator or the financial brokerage firm operating the regulated market or the MTF or OTF persist in infringing persists acting in a manner that is clearly prejudicial to the interests of investors of the Republic of Lithuania or the orderly functioning of markets in financial instruments, the supervisory authority, after informing the supervisory authority of the home Member State, may take all the appropriate measures needed in order to protect investors and the proper functioning of the markets. The supervisory authority may prevent from making arrangements with a view to facilitating the entities established in the Republic of Lithuania from becoming members or participants of the regulated market, MTF or OTF or facilitating trading therein. The supervisory authority shall without delay notify the European Commission and ESMA on the measures taken in this respect. In addition, the supervisory authority may refer the matter to ESMA, which may act in accordance with the powers conferred on it under Regulation (EU) No 1095/2010.</w:t>
      </w:r>
    </w:p>
    <w:p w14:paraId="065BFE2C" w14:textId="77777777" w:rsidR="00ED3A7E" w:rsidRPr="000550CF" w:rsidRDefault="00ED3A7E" w:rsidP="00F3494E">
      <w:pPr>
        <w:widowControl w:val="0"/>
        <w:ind w:firstLine="720"/>
        <w:jc w:val="both"/>
        <w:rPr>
          <w:szCs w:val="24"/>
        </w:rPr>
      </w:pPr>
      <w:r>
        <w:t>7. Any measures which may be adopted by the supervisory authority in the cases referred to in this Article shall be properly justified and reasoned and the measures applied shall be communicated to the financial brokerage investment firm or to the market operator concerned.</w:t>
      </w:r>
    </w:p>
    <w:p w14:paraId="12329FC6" w14:textId="77777777" w:rsidR="00ED3A7E" w:rsidRPr="000550CF" w:rsidRDefault="00ED3A7E" w:rsidP="00F3494E">
      <w:pPr>
        <w:widowControl w:val="0"/>
        <w:ind w:firstLine="720"/>
        <w:jc w:val="both"/>
        <w:rPr>
          <w:szCs w:val="24"/>
          <w:lang w:eastAsia="lt-LT"/>
        </w:rPr>
      </w:pPr>
    </w:p>
    <w:p w14:paraId="3B2834D7" w14:textId="77777777" w:rsidR="00ED3A7E" w:rsidRPr="000550CF" w:rsidRDefault="00ED3A7E" w:rsidP="00855EE4">
      <w:pPr>
        <w:suppressAutoHyphens/>
        <w:ind w:left="2410" w:hanging="1701"/>
        <w:jc w:val="both"/>
        <w:textAlignment w:val="baseline"/>
        <w:rPr>
          <w:b/>
          <w:szCs w:val="24"/>
        </w:rPr>
      </w:pPr>
      <w:r>
        <w:rPr>
          <w:b/>
          <w:szCs w:val="24"/>
        </w:rPr>
        <w:t xml:space="preserve">Article 110. Supervision of activities of financial brokerage firms of the </w:t>
      </w:r>
    </w:p>
    <w:p w14:paraId="107FE1A4" w14:textId="77777777" w:rsidR="00ED3A7E" w:rsidRPr="000550CF" w:rsidRDefault="00ED3A7E" w:rsidP="00855EE4">
      <w:pPr>
        <w:widowControl w:val="0"/>
        <w:ind w:left="2410" w:hanging="1690"/>
        <w:jc w:val="both"/>
        <w:rPr>
          <w:szCs w:val="24"/>
        </w:rPr>
      </w:pPr>
      <w:r>
        <w:rPr>
          <w:b/>
          <w:szCs w:val="24"/>
        </w:rPr>
        <w:t>Republic of Lithuania in third countries</w:t>
      </w:r>
    </w:p>
    <w:p w14:paraId="150019A3" w14:textId="77777777" w:rsidR="00ED3A7E" w:rsidRPr="000550CF" w:rsidRDefault="00ED3A7E" w:rsidP="00F3494E">
      <w:pPr>
        <w:widowControl w:val="0"/>
        <w:ind w:firstLine="720"/>
        <w:jc w:val="both"/>
        <w:rPr>
          <w:szCs w:val="24"/>
        </w:rPr>
      </w:pPr>
      <w:r>
        <w:t>1. The supervisory authority shall supervise the compliance with the prudential requirements by financial brokerage firms of the Republic of Lithuania providing investment services in a third country. Where the supervisory authority of a third country notifies of any infringements committed by a financial brokerage firm, the supervisory authority shall impose sanctions and notify about that the supervisory authority of the third country.</w:t>
      </w:r>
    </w:p>
    <w:p w14:paraId="3FE43983" w14:textId="77777777" w:rsidR="00ED3A7E" w:rsidRPr="000550CF" w:rsidRDefault="00ED3A7E" w:rsidP="00F3494E">
      <w:pPr>
        <w:widowControl w:val="0"/>
        <w:ind w:firstLine="720"/>
        <w:jc w:val="both"/>
        <w:rPr>
          <w:szCs w:val="24"/>
        </w:rPr>
      </w:pPr>
      <w:r>
        <w:t>2. The supervisory authority shall have the right to request the supervisory authority of a third country to carry out an inspection of the financial brokerage firm’s branch or initiate an inspection itself after having first notified about that the supervisory authority of the third country.</w:t>
      </w:r>
    </w:p>
    <w:p w14:paraId="317F3261" w14:textId="77777777" w:rsidR="00ED3A7E" w:rsidRPr="000550CF" w:rsidRDefault="00ED3A7E" w:rsidP="00F3494E">
      <w:pPr>
        <w:ind w:firstLine="720"/>
        <w:jc w:val="both"/>
      </w:pPr>
      <w:r>
        <w:t>3. Having withdrawn the licence of a financial brokerage firm providing investment services in a third country, the supervisory authority shall promptly notify about that the supervisory authority of the third country.</w:t>
      </w:r>
    </w:p>
    <w:p w14:paraId="77BC7A44" w14:textId="77777777" w:rsidR="00ED3A7E" w:rsidRPr="000550CF" w:rsidRDefault="00ED3A7E" w:rsidP="00F3494E">
      <w:pPr>
        <w:widowControl w:val="0"/>
        <w:ind w:firstLine="720"/>
        <w:jc w:val="both"/>
        <w:rPr>
          <w:szCs w:val="24"/>
          <w:lang w:eastAsia="lt-LT"/>
        </w:rPr>
      </w:pPr>
    </w:p>
    <w:p w14:paraId="14AB8A67" w14:textId="77777777" w:rsidR="00ED3A7E" w:rsidRPr="000550CF" w:rsidRDefault="00ED3A7E" w:rsidP="00F3494E">
      <w:pPr>
        <w:widowControl w:val="0"/>
        <w:jc w:val="center"/>
        <w:rPr>
          <w:szCs w:val="24"/>
        </w:rPr>
      </w:pPr>
      <w:r>
        <w:rPr>
          <w:b/>
          <w:szCs w:val="24"/>
        </w:rPr>
        <w:lastRenderedPageBreak/>
        <w:t>SECTION FOUR</w:t>
      </w:r>
    </w:p>
    <w:p w14:paraId="13E94319" w14:textId="77777777" w:rsidR="00ED3A7E" w:rsidRPr="000550CF" w:rsidRDefault="00ED3A7E" w:rsidP="00F3494E">
      <w:pPr>
        <w:widowControl w:val="0"/>
        <w:jc w:val="center"/>
        <w:rPr>
          <w:szCs w:val="24"/>
        </w:rPr>
      </w:pPr>
      <w:r>
        <w:rPr>
          <w:b/>
          <w:szCs w:val="24"/>
        </w:rPr>
        <w:t xml:space="preserve">LIABILITY FOR INFRINGEMENTS OF THIS LAW </w:t>
      </w:r>
    </w:p>
    <w:p w14:paraId="76BFD9F7" w14:textId="77777777" w:rsidR="00ED3A7E" w:rsidRPr="000550CF" w:rsidRDefault="00ED3A7E" w:rsidP="00F3494E">
      <w:pPr>
        <w:widowControl w:val="0"/>
        <w:ind w:firstLine="720"/>
        <w:jc w:val="both"/>
        <w:rPr>
          <w:szCs w:val="24"/>
          <w:lang w:eastAsia="lt-LT"/>
        </w:rPr>
      </w:pPr>
    </w:p>
    <w:p w14:paraId="3919C84D" w14:textId="77777777" w:rsidR="00ED3A7E" w:rsidRPr="000550CF" w:rsidRDefault="00ED3A7E" w:rsidP="00F3494E">
      <w:pPr>
        <w:widowControl w:val="0"/>
        <w:ind w:firstLine="720"/>
        <w:jc w:val="both"/>
        <w:rPr>
          <w:szCs w:val="24"/>
        </w:rPr>
      </w:pPr>
      <w:r>
        <w:rPr>
          <w:b/>
          <w:szCs w:val="24"/>
        </w:rPr>
        <w:t xml:space="preserve">Article 111. Sanctions applied by the supervisory </w:t>
      </w:r>
      <w:proofErr w:type="gramStart"/>
      <w:r>
        <w:rPr>
          <w:b/>
          <w:szCs w:val="24"/>
        </w:rPr>
        <w:t>authority</w:t>
      </w:r>
      <w:proofErr w:type="gramEnd"/>
    </w:p>
    <w:p w14:paraId="2D25F748" w14:textId="77777777" w:rsidR="00ED3A7E" w:rsidRPr="000550CF" w:rsidRDefault="00ED3A7E" w:rsidP="00F3494E">
      <w:pPr>
        <w:widowControl w:val="0"/>
        <w:ind w:firstLine="720"/>
        <w:jc w:val="both"/>
        <w:rPr>
          <w:szCs w:val="24"/>
        </w:rPr>
      </w:pPr>
      <w:r>
        <w:t>1. The supervisory authority shall apply the following sanctions:</w:t>
      </w:r>
    </w:p>
    <w:p w14:paraId="248C5FAC" w14:textId="77777777" w:rsidR="00ED3A7E" w:rsidRPr="000550CF" w:rsidRDefault="00ED3A7E" w:rsidP="00F3494E">
      <w:pPr>
        <w:widowControl w:val="0"/>
        <w:ind w:firstLine="720"/>
        <w:jc w:val="both"/>
        <w:rPr>
          <w:szCs w:val="24"/>
        </w:rPr>
      </w:pPr>
      <w:r>
        <w:t xml:space="preserve">1) </w:t>
      </w:r>
      <w:r>
        <w:rPr>
          <w:color w:val="000000"/>
          <w:szCs w:val="24"/>
        </w:rPr>
        <w:t xml:space="preserve">publish the infringement of this Law </w:t>
      </w:r>
      <w:r>
        <w:t xml:space="preserve">and other legal acts implementing it and the person who committed the </w:t>
      </w:r>
      <w:proofErr w:type="gramStart"/>
      <w:r>
        <w:rPr>
          <w:color w:val="000000"/>
          <w:szCs w:val="24"/>
        </w:rPr>
        <w:t>infringement</w:t>
      </w:r>
      <w:r>
        <w:t>;</w:t>
      </w:r>
      <w:proofErr w:type="gramEnd"/>
    </w:p>
    <w:p w14:paraId="63998B3E" w14:textId="4951C3F0" w:rsidR="0024375F" w:rsidRPr="0024375F" w:rsidRDefault="00ED3A7E" w:rsidP="0024375F">
      <w:pPr>
        <w:spacing w:line="360" w:lineRule="atLeast"/>
        <w:ind w:firstLine="720"/>
        <w:jc w:val="both"/>
        <w:rPr>
          <w:color w:val="000000"/>
          <w:szCs w:val="24"/>
        </w:rPr>
      </w:pPr>
      <w:r>
        <w:t xml:space="preserve">2) issue a warning regarding the violation of this Law and other legal acts the supervision of compliance with which is assigned to the supervisory authority, and instruct to terminate the violation within the specified </w:t>
      </w:r>
      <w:proofErr w:type="gramStart"/>
      <w:r>
        <w:t>period;</w:t>
      </w:r>
      <w:proofErr w:type="gramEnd"/>
    </w:p>
    <w:p w14:paraId="147FB5A6" w14:textId="77777777" w:rsidR="0024375F" w:rsidRDefault="0024375F" w:rsidP="0024375F">
      <w:pPr>
        <w:rPr>
          <w:color w:val="000000"/>
          <w:sz w:val="27"/>
          <w:szCs w:val="27"/>
        </w:rPr>
      </w:pPr>
      <w:r>
        <w:rPr>
          <w:i/>
          <w:iCs/>
          <w:color w:val="000000"/>
          <w:sz w:val="20"/>
        </w:rPr>
        <w:t>Amendments to the paragraph of the Article:</w:t>
      </w:r>
    </w:p>
    <w:p w14:paraId="026858E8" w14:textId="77777777" w:rsidR="0024375F" w:rsidRDefault="0024375F" w:rsidP="0024375F">
      <w:pPr>
        <w:jc w:val="both"/>
        <w:rPr>
          <w:color w:val="000000"/>
          <w:sz w:val="27"/>
          <w:szCs w:val="27"/>
        </w:rPr>
      </w:pPr>
      <w:r>
        <w:rPr>
          <w:i/>
          <w:iCs/>
          <w:color w:val="000000"/>
          <w:sz w:val="20"/>
        </w:rPr>
        <w:t xml:space="preserve">No </w:t>
      </w:r>
      <w:hyperlink r:id="rId188" w:tgtFrame="_parent" w:history="1">
        <w:r>
          <w:rPr>
            <w:rStyle w:val="Hyperlink"/>
            <w:i/>
            <w:iCs/>
            <w:sz w:val="20"/>
          </w:rPr>
          <w:t>XIII-2358</w:t>
        </w:r>
      </w:hyperlink>
      <w:r>
        <w:rPr>
          <w:i/>
          <w:iCs/>
          <w:color w:val="000000"/>
          <w:sz w:val="20"/>
        </w:rPr>
        <w:t>, 16/07/2019, published in the RLA, 19/07/2019, ID code 2019-11980</w:t>
      </w:r>
    </w:p>
    <w:p w14:paraId="383F0D25" w14:textId="78276736" w:rsidR="00ED3A7E" w:rsidRPr="000550CF" w:rsidRDefault="00ED3A7E" w:rsidP="00F3494E">
      <w:pPr>
        <w:widowControl w:val="0"/>
        <w:ind w:firstLine="720"/>
        <w:jc w:val="both"/>
        <w:rPr>
          <w:szCs w:val="24"/>
          <w:lang w:eastAsia="lt-LT"/>
        </w:rPr>
      </w:pPr>
    </w:p>
    <w:p w14:paraId="65E81F1A" w14:textId="77777777" w:rsidR="00ED3A7E" w:rsidRPr="000550CF" w:rsidRDefault="00ED3A7E" w:rsidP="00F3494E">
      <w:pPr>
        <w:widowControl w:val="0"/>
        <w:ind w:firstLine="720"/>
        <w:jc w:val="both"/>
        <w:rPr>
          <w:szCs w:val="24"/>
        </w:rPr>
      </w:pPr>
      <w:r>
        <w:t xml:space="preserve">3) </w:t>
      </w:r>
      <w:r>
        <w:rPr>
          <w:color w:val="000000"/>
          <w:szCs w:val="24"/>
        </w:rPr>
        <w:t xml:space="preserve">impose the fines fixed in this </w:t>
      </w:r>
      <w:proofErr w:type="gramStart"/>
      <w:r>
        <w:rPr>
          <w:color w:val="000000"/>
          <w:szCs w:val="24"/>
        </w:rPr>
        <w:t>Law</w:t>
      </w:r>
      <w:r>
        <w:t>;</w:t>
      </w:r>
      <w:proofErr w:type="gramEnd"/>
    </w:p>
    <w:p w14:paraId="14FE2069" w14:textId="77777777" w:rsidR="00ED3A7E" w:rsidRPr="000550CF" w:rsidRDefault="00ED3A7E" w:rsidP="00F3494E">
      <w:pPr>
        <w:widowControl w:val="0"/>
        <w:ind w:firstLine="720"/>
        <w:jc w:val="both"/>
        <w:rPr>
          <w:szCs w:val="24"/>
        </w:rPr>
      </w:pPr>
      <w:r>
        <w:t xml:space="preserve">4) appoint a temporary representative for supervision of </w:t>
      </w:r>
      <w:proofErr w:type="gramStart"/>
      <w:r>
        <w:t>activities;</w:t>
      </w:r>
      <w:proofErr w:type="gramEnd"/>
    </w:p>
    <w:p w14:paraId="742E0833" w14:textId="77777777" w:rsidR="00ED3A7E" w:rsidRPr="000550CF" w:rsidRDefault="00ED3A7E" w:rsidP="00F3494E">
      <w:pPr>
        <w:widowControl w:val="0"/>
        <w:ind w:firstLine="720"/>
        <w:jc w:val="both"/>
        <w:rPr>
          <w:szCs w:val="24"/>
        </w:rPr>
      </w:pPr>
      <w:r>
        <w:t xml:space="preserve">5) request the financial brokerage firm to remove the </w:t>
      </w:r>
      <w:proofErr w:type="gramStart"/>
      <w:r>
        <w:t>manager;</w:t>
      </w:r>
      <w:proofErr w:type="gramEnd"/>
    </w:p>
    <w:p w14:paraId="24FD853D" w14:textId="77777777" w:rsidR="00ED3A7E" w:rsidRPr="000550CF" w:rsidRDefault="00ED3A7E" w:rsidP="00F3494E">
      <w:pPr>
        <w:ind w:firstLine="720"/>
        <w:jc w:val="both"/>
      </w:pPr>
      <w:r>
        <w:t xml:space="preserve">6) fully or partially suspend the license for the provision of one, several or all investment services as long as the grounds for the licence suspension </w:t>
      </w:r>
      <w:proofErr w:type="gramStart"/>
      <w:r>
        <w:t>exist;</w:t>
      </w:r>
      <w:proofErr w:type="gramEnd"/>
    </w:p>
    <w:p w14:paraId="2CED409D" w14:textId="77777777" w:rsidR="00ED3A7E" w:rsidRPr="000550CF" w:rsidRDefault="00ED3A7E" w:rsidP="00F3494E">
      <w:pPr>
        <w:widowControl w:val="0"/>
        <w:ind w:firstLine="720"/>
        <w:jc w:val="both"/>
        <w:rPr>
          <w:szCs w:val="24"/>
        </w:rPr>
      </w:pPr>
      <w:r>
        <w:t xml:space="preserve">7) withdraw the licence for the provision of one, several or all investment </w:t>
      </w:r>
      <w:proofErr w:type="gramStart"/>
      <w:r>
        <w:t>services;</w:t>
      </w:r>
      <w:proofErr w:type="gramEnd"/>
    </w:p>
    <w:p w14:paraId="24D49D81" w14:textId="77777777" w:rsidR="00ED3A7E" w:rsidRPr="000550CF" w:rsidRDefault="00ED3A7E" w:rsidP="00F3494E">
      <w:pPr>
        <w:widowControl w:val="0"/>
        <w:ind w:firstLine="720"/>
        <w:jc w:val="both"/>
        <w:rPr>
          <w:szCs w:val="24"/>
        </w:rPr>
      </w:pPr>
      <w:r>
        <w:t xml:space="preserve">8) appoint a temporary administrator for the financial brokerage firm which is subject to the requirement specified in Article 14(2) of this </w:t>
      </w:r>
      <w:proofErr w:type="gramStart"/>
      <w:r>
        <w:t>Law;</w:t>
      </w:r>
      <w:proofErr w:type="gramEnd"/>
    </w:p>
    <w:p w14:paraId="0BAB28DF" w14:textId="77777777" w:rsidR="00ED3A7E" w:rsidRPr="000550CF" w:rsidRDefault="00ED3A7E" w:rsidP="00F3494E">
      <w:pPr>
        <w:widowControl w:val="0"/>
        <w:ind w:firstLine="720"/>
        <w:jc w:val="both"/>
        <w:rPr>
          <w:szCs w:val="24"/>
        </w:rPr>
      </w:pPr>
      <w:r>
        <w:t xml:space="preserve">9) withdraw the licence issued to a central </w:t>
      </w:r>
      <w:proofErr w:type="gramStart"/>
      <w:r>
        <w:t>depositary;</w:t>
      </w:r>
      <w:proofErr w:type="gramEnd"/>
    </w:p>
    <w:p w14:paraId="404B9FAB" w14:textId="77777777" w:rsidR="00ED3A7E" w:rsidRPr="000550CF" w:rsidRDefault="00ED3A7E" w:rsidP="00F3494E">
      <w:pPr>
        <w:widowControl w:val="0"/>
        <w:ind w:firstLine="720"/>
        <w:jc w:val="both"/>
        <w:rPr>
          <w:szCs w:val="24"/>
        </w:rPr>
      </w:pPr>
      <w:r>
        <w:t xml:space="preserve">10) temporarily prohibit a member of a management body of </w:t>
      </w:r>
      <w:r>
        <w:rPr>
          <w:color w:val="000000"/>
          <w:szCs w:val="24"/>
        </w:rPr>
        <w:t>a</w:t>
      </w:r>
      <w:r>
        <w:t xml:space="preserve"> central depositary, a member of the supervisory board of a financial brokerage firm, a member of a management body of a financial brokerage firm, a manager of a financial brokerage firm, a manager of a branch of a financial brokerage firm of another Member State or another responsible person, a responsible person of a benchmark administrator or of a supervised data reporting services provider to perform the management functions. Where the member of the management body of the</w:t>
      </w:r>
      <w:r>
        <w:rPr>
          <w:color w:val="000000"/>
          <w:szCs w:val="24"/>
        </w:rPr>
        <w:t xml:space="preserve"> c</w:t>
      </w:r>
      <w:r>
        <w:t>entral depositary, the member of the supervisory board of the financial brokerage firm, the member of the management body of the financial brokerage firm, the manager of the financial brokerage firm, the manager of the branch of the financial brokerage firm of another Member State or another responsible person, the responsible person of the benchmark administrator or of the supervised data reporting services provider submits the documents demonstrating that the circumstances due to which they were temporarily prohibited from performing the management functions have ceased (or where this is established after the inspection carried out by the supervisory authority), by decision of the supervisory authority the temporary prohibition shall be lifted immediately, no later than within five business days of the date on which the supervisory authority establishes that the grounds have ceased;</w:t>
      </w:r>
    </w:p>
    <w:p w14:paraId="303946DA" w14:textId="77777777" w:rsidR="00ED3A7E" w:rsidRPr="000550CF" w:rsidRDefault="00ED3A7E" w:rsidP="00F3494E">
      <w:pPr>
        <w:ind w:firstLine="720"/>
        <w:jc w:val="both"/>
      </w:pPr>
      <w:r>
        <w:t>11) where serious infringements are committed repeatedly within one year after the date of enforcement of the decision to apply the sanction, prohibit any member of a central depositary,</w:t>
      </w:r>
      <w:r>
        <w:rPr>
          <w:color w:val="000000"/>
          <w:szCs w:val="24"/>
        </w:rPr>
        <w:t xml:space="preserve"> </w:t>
      </w:r>
      <w:r>
        <w:t>of the supervisory board of a financial brokerage firm, of a management body of a financial brokerage firm, a manager of a financial brokerage firm</w:t>
      </w:r>
      <w:r>
        <w:rPr>
          <w:color w:val="000000"/>
          <w:szCs w:val="24"/>
        </w:rPr>
        <w:t>, a</w:t>
      </w:r>
      <w:r>
        <w:t xml:space="preserve"> manager of a branch of a financial brokerage firm of another Member State </w:t>
      </w:r>
      <w:r>
        <w:rPr>
          <w:color w:val="000000"/>
          <w:szCs w:val="24"/>
        </w:rPr>
        <w:t>or any other natural person who is held responsible, from</w:t>
      </w:r>
      <w:r>
        <w:t xml:space="preserve"> performing the management functions;</w:t>
      </w:r>
    </w:p>
    <w:p w14:paraId="205FE9F8" w14:textId="77777777" w:rsidR="00ED3A7E" w:rsidRPr="000550CF" w:rsidRDefault="00ED3A7E" w:rsidP="00F3494E">
      <w:pPr>
        <w:widowControl w:val="0"/>
        <w:ind w:firstLine="720"/>
        <w:jc w:val="both"/>
        <w:rPr>
          <w:szCs w:val="24"/>
        </w:rPr>
      </w:pPr>
      <w:r>
        <w:t xml:space="preserve">12) request to stop the </w:t>
      </w:r>
      <w:r>
        <w:rPr>
          <w:color w:val="000000"/>
          <w:szCs w:val="24"/>
        </w:rPr>
        <w:t>infringement</w:t>
      </w:r>
      <w:r>
        <w:t xml:space="preserve"> of the legal act within the fixed time limit and ensure that it does not occur </w:t>
      </w:r>
      <w:proofErr w:type="gramStart"/>
      <w:r>
        <w:t>again;</w:t>
      </w:r>
      <w:proofErr w:type="gramEnd"/>
    </w:p>
    <w:p w14:paraId="1A9FA198" w14:textId="77777777" w:rsidR="00ED3A7E" w:rsidRPr="000550CF" w:rsidRDefault="00ED3A7E" w:rsidP="00F3494E">
      <w:pPr>
        <w:widowControl w:val="0"/>
        <w:ind w:firstLine="720"/>
        <w:jc w:val="both"/>
        <w:rPr>
          <w:szCs w:val="24"/>
        </w:rPr>
      </w:pPr>
      <w:r>
        <w:t xml:space="preserve">13) temporarily prohibit the manager of a market operator or of a financial brokerage firm </w:t>
      </w:r>
      <w:r>
        <w:rPr>
          <w:color w:val="000000"/>
          <w:szCs w:val="24"/>
        </w:rPr>
        <w:t>or any other natural person who is held responsible</w:t>
      </w:r>
      <w:r>
        <w:t xml:space="preserve"> for the infringement of this Law, Regulation (EU) No 596/2014 or Regulation (EU) No 600/2014, to hold the position of the manager  of the market operator or of the financial brokerage firm;</w:t>
      </w:r>
    </w:p>
    <w:p w14:paraId="7906F72B" w14:textId="77777777" w:rsidR="00ED3A7E" w:rsidRPr="000550CF" w:rsidRDefault="00ED3A7E" w:rsidP="00F3494E">
      <w:pPr>
        <w:ind w:firstLine="720"/>
        <w:jc w:val="both"/>
      </w:pPr>
      <w:r>
        <w:t xml:space="preserve">14) where this Law, Regulation (EU) No 600/2014 or Articles 14 and 15 of Regulation (EU) No 596/2014 are infringed repeatedly within one year after the date of entry into force of the decision </w:t>
      </w:r>
      <w:r>
        <w:lastRenderedPageBreak/>
        <w:t xml:space="preserve">to impose the sanction, prohibit the manager of the market operator or of the financial brokerage firm or </w:t>
      </w:r>
      <w:r>
        <w:rPr>
          <w:color w:val="000000"/>
          <w:szCs w:val="24"/>
        </w:rPr>
        <w:t>any other natural person who is held responsible</w:t>
      </w:r>
      <w:r>
        <w:t xml:space="preserve"> for the infringement;</w:t>
      </w:r>
    </w:p>
    <w:p w14:paraId="1B451A3E" w14:textId="77777777" w:rsidR="00ED3A7E" w:rsidRPr="000550CF" w:rsidRDefault="00ED3A7E" w:rsidP="00F3494E">
      <w:pPr>
        <w:ind w:firstLine="720"/>
        <w:jc w:val="both"/>
      </w:pPr>
      <w:r>
        <w:t xml:space="preserve">15) prohibit the person who holds the manager’s position in a financial brokerage firm or </w:t>
      </w:r>
      <w:r>
        <w:rPr>
          <w:color w:val="000000"/>
          <w:szCs w:val="24"/>
        </w:rPr>
        <w:t>any other natural person, who is held responsible</w:t>
      </w:r>
      <w:r>
        <w:t xml:space="preserve"> for the infringement of Regulation (EU) No 596/2014, from dealing on own account for not more than three months;</w:t>
      </w:r>
    </w:p>
    <w:p w14:paraId="450C8C79" w14:textId="77777777" w:rsidR="00ED3A7E" w:rsidRPr="000550CF" w:rsidRDefault="00ED3A7E" w:rsidP="00F3494E">
      <w:pPr>
        <w:ind w:firstLine="720"/>
        <w:jc w:val="both"/>
      </w:pPr>
      <w:r>
        <w:t xml:space="preserve">16) in the case of infringement of Regulation (EU) No 2015/2365, temporarily prohibit the manager or any other responsible person who infringed Regulation (EU) No 2015/2365 from performing the management functions. Upon submission of the documents demonstrating that the circumstances due to which the performance of the management functions was temporarily prohibited have ceased, by decision of the supervisory authority the temporary prohibition shall be lifted immediately, no later than within five business days of the date on which the supervisory authority establishes that the grounds have ceased; </w:t>
      </w:r>
    </w:p>
    <w:p w14:paraId="0D75D088" w14:textId="77777777" w:rsidR="00ED3A7E" w:rsidRPr="000550CF" w:rsidRDefault="00ED3A7E" w:rsidP="00F3494E">
      <w:pPr>
        <w:ind w:firstLine="720"/>
        <w:jc w:val="both"/>
      </w:pPr>
      <w:r>
        <w:t xml:space="preserve">17) temporarily </w:t>
      </w:r>
      <w:r>
        <w:rPr>
          <w:color w:val="000000"/>
          <w:szCs w:val="24"/>
        </w:rPr>
        <w:t xml:space="preserve">suspend (restrict) the voting right of a </w:t>
      </w:r>
      <w:r>
        <w:t xml:space="preserve">financial brokerage firm’s </w:t>
      </w:r>
      <w:r>
        <w:rPr>
          <w:color w:val="000000"/>
          <w:szCs w:val="24"/>
        </w:rPr>
        <w:t>shareholder</w:t>
      </w:r>
      <w:r>
        <w:t>;</w:t>
      </w:r>
    </w:p>
    <w:p w14:paraId="7BCDAB53" w14:textId="01B6B447" w:rsidR="00ED3A7E" w:rsidRDefault="00ED3A7E" w:rsidP="00F3494E">
      <w:pPr>
        <w:ind w:firstLine="720"/>
        <w:jc w:val="both"/>
      </w:pPr>
      <w:r>
        <w:t>18) temporarily prohibit a financial brokerage firm from being a member or participant in a regulated marker or an MTF, or a client of an OTF.</w:t>
      </w:r>
    </w:p>
    <w:p w14:paraId="4B17341E" w14:textId="77777777" w:rsidR="0024375F" w:rsidRDefault="0024375F" w:rsidP="0024375F">
      <w:pPr>
        <w:spacing w:line="360" w:lineRule="atLeast"/>
        <w:ind w:firstLine="720"/>
        <w:jc w:val="both"/>
        <w:rPr>
          <w:color w:val="000000"/>
        </w:rPr>
      </w:pPr>
      <w:r>
        <w:rPr>
          <w:color w:val="000000"/>
        </w:rPr>
        <w:t>19) as a result of violation of Regulation (EU) 2020/1503, temporarily prohibit a member of the management body of a crowdfunding service provider or another natural person who has violated this Regulation and who is considered liable for the violation from performing managerial functions in crowdfunding service provider companies;</w:t>
      </w:r>
    </w:p>
    <w:p w14:paraId="54373133" w14:textId="77777777" w:rsidR="0024375F" w:rsidRDefault="0024375F" w:rsidP="0024375F">
      <w:pPr>
        <w:rPr>
          <w:color w:val="000000"/>
        </w:rPr>
      </w:pPr>
      <w:r>
        <w:rPr>
          <w:i/>
          <w:iCs/>
          <w:color w:val="000000"/>
          <w:sz w:val="20"/>
        </w:rPr>
        <w:t>Supplemented with the sub-paragraph to the Article:</w:t>
      </w:r>
    </w:p>
    <w:p w14:paraId="68B2131B" w14:textId="45CD33BF" w:rsidR="0024375F" w:rsidRDefault="0024375F" w:rsidP="0024375F">
      <w:pPr>
        <w:jc w:val="both"/>
        <w:rPr>
          <w:color w:val="000000"/>
        </w:rPr>
      </w:pPr>
      <w:r>
        <w:rPr>
          <w:i/>
          <w:iCs/>
          <w:color w:val="000000"/>
          <w:sz w:val="20"/>
        </w:rPr>
        <w:t xml:space="preserve">No </w:t>
      </w:r>
      <w:hyperlink r:id="rId189" w:tgtFrame="_parent" w:history="1">
        <w:r>
          <w:rPr>
            <w:rStyle w:val="Hyperlink"/>
            <w:i/>
            <w:iCs/>
            <w:sz w:val="20"/>
          </w:rPr>
          <w:t>XIV-821</w:t>
        </w:r>
      </w:hyperlink>
      <w:r>
        <w:rPr>
          <w:i/>
          <w:iCs/>
          <w:color w:val="000000"/>
          <w:sz w:val="20"/>
        </w:rPr>
        <w:t>, 23/12/2021, published in the RLA, 30/12/2021, ID code 2021-27710</w:t>
      </w:r>
    </w:p>
    <w:p w14:paraId="1293D412" w14:textId="77777777" w:rsidR="0024375F" w:rsidRDefault="0024375F" w:rsidP="0024375F">
      <w:pPr>
        <w:spacing w:line="360" w:lineRule="atLeast"/>
        <w:ind w:firstLine="720"/>
        <w:jc w:val="both"/>
        <w:rPr>
          <w:color w:val="000000"/>
        </w:rPr>
      </w:pPr>
      <w:bookmarkStart w:id="325" w:name="part_08b9604ba2bb42719373862a159782d2"/>
      <w:bookmarkEnd w:id="325"/>
      <w:r>
        <w:rPr>
          <w:color w:val="000000"/>
        </w:rPr>
        <w:t>20) appoint a temporary administrator for the central counterparty, in accordance with the conditions set out in Regulation (EU) 2021/23.</w:t>
      </w:r>
    </w:p>
    <w:p w14:paraId="4C3B612C" w14:textId="77777777" w:rsidR="0024375F" w:rsidRDefault="0024375F" w:rsidP="0024375F">
      <w:pPr>
        <w:rPr>
          <w:color w:val="000000"/>
        </w:rPr>
      </w:pPr>
      <w:r>
        <w:rPr>
          <w:i/>
          <w:iCs/>
          <w:color w:val="000000"/>
          <w:sz w:val="20"/>
        </w:rPr>
        <w:t>Supplemented with the sub-paragraph to the Article:</w:t>
      </w:r>
    </w:p>
    <w:p w14:paraId="1D0BBC63" w14:textId="77777777" w:rsidR="0024375F" w:rsidRDefault="0024375F" w:rsidP="0024375F">
      <w:pPr>
        <w:jc w:val="both"/>
        <w:rPr>
          <w:color w:val="000000"/>
        </w:rPr>
      </w:pPr>
      <w:r>
        <w:rPr>
          <w:i/>
          <w:iCs/>
          <w:color w:val="000000"/>
          <w:sz w:val="20"/>
        </w:rPr>
        <w:t xml:space="preserve">No </w:t>
      </w:r>
      <w:hyperlink r:id="rId190" w:tgtFrame="_parent" w:history="1">
        <w:r>
          <w:rPr>
            <w:rStyle w:val="Hyperlink"/>
            <w:i/>
            <w:iCs/>
            <w:sz w:val="20"/>
          </w:rPr>
          <w:t>XIV-1455</w:t>
        </w:r>
      </w:hyperlink>
      <w:r>
        <w:rPr>
          <w:i/>
          <w:iCs/>
          <w:color w:val="000000"/>
          <w:sz w:val="20"/>
        </w:rPr>
        <w:t>, 27/10/2022, published in the RLA, 07/11/2022, ID code 2022-22566</w:t>
      </w:r>
    </w:p>
    <w:p w14:paraId="592EAF0E" w14:textId="77777777" w:rsidR="0024375F" w:rsidRPr="000550CF" w:rsidRDefault="0024375F" w:rsidP="00F3494E">
      <w:pPr>
        <w:ind w:firstLine="720"/>
        <w:jc w:val="both"/>
        <w:rPr>
          <w:lang w:eastAsia="lt-LT"/>
        </w:rPr>
      </w:pPr>
    </w:p>
    <w:p w14:paraId="1C3278A7" w14:textId="77777777" w:rsidR="00ED3A7E" w:rsidRPr="000550CF" w:rsidRDefault="00ED3A7E" w:rsidP="00F3494E">
      <w:pPr>
        <w:ind w:firstLine="720"/>
        <w:jc w:val="both"/>
      </w:pPr>
      <w:r>
        <w:t xml:space="preserve">2. A serious infringement for the purposes of point 11 of paragraph 1 of this Article shall be the actions of a member of a management body of </w:t>
      </w:r>
      <w:r>
        <w:rPr>
          <w:color w:val="000000"/>
          <w:szCs w:val="24"/>
        </w:rPr>
        <w:t>a</w:t>
      </w:r>
      <w:r>
        <w:t xml:space="preserve"> central depositary, a member of the supervisory board of a financial brokerage firm, a member of a management body of a financial brokerage firm, a manager of a financial brokerage firm, a manager of a branch of a financial brokerage firm of another Member State or other natural person who is held responsible for the infringement which infringe the provisions of this Law, Regulation (EU) No 600/2014, Regulation (EU) No 575/2013, Regulation (EU) No 909/2014, Regulation (EU) No 596/2014, Regulation (EU) No 2015/2365, Regulation (EU) No 2016/1011 or of legal acts implementing them and as a result of which the person responsible for the infringement has avoided, in his own or others’ interests, significant material damage or gained significant material benefits, or has caused large material damage to third parties, or posed a threat to stability and reliability of the financial market. Material damage or material benefit shall be considered to be significant when its value exceeds the sum total of base amounts of 250 fines and penalties.</w:t>
      </w:r>
    </w:p>
    <w:p w14:paraId="574B6EEA" w14:textId="77777777" w:rsidR="00ED3A7E" w:rsidRPr="000550CF" w:rsidRDefault="00ED3A7E" w:rsidP="00F3494E">
      <w:pPr>
        <w:ind w:firstLine="720"/>
        <w:jc w:val="both"/>
      </w:pPr>
      <w:r>
        <w:t>3. The supervisory authority shall provide ESMA annually with aggregated information regarding all sanctions applied in accordance with paragraph 1 of this Article.</w:t>
      </w:r>
    </w:p>
    <w:p w14:paraId="03EAF575" w14:textId="77777777" w:rsidR="00ED3A7E" w:rsidRPr="000550CF" w:rsidRDefault="00ED3A7E" w:rsidP="00F3494E">
      <w:pPr>
        <w:ind w:firstLine="720"/>
        <w:jc w:val="both"/>
      </w:pPr>
      <w:r>
        <w:t>4. The supervisory authority having published the information on the applied sanction shall concurrently inform about that ESMA. The supervisory authority shall inform ESMA on sanctions applied but not published in accordance with Article 43</w:t>
      </w:r>
      <w:r>
        <w:rPr>
          <w:bCs/>
          <w:vertAlign w:val="superscript"/>
        </w:rPr>
        <w:t>3</w:t>
      </w:r>
      <w:r>
        <w:t xml:space="preserve"> of the Law on the Bank of Lithuania, including any appeal in relation thereto and the outcome thereof. </w:t>
      </w:r>
    </w:p>
    <w:p w14:paraId="63DF80FA" w14:textId="3216EA07" w:rsidR="0024375F" w:rsidRPr="0024375F" w:rsidRDefault="00ED3A7E" w:rsidP="0024375F">
      <w:pPr>
        <w:spacing w:line="360" w:lineRule="atLeast"/>
        <w:ind w:firstLine="720"/>
        <w:jc w:val="both"/>
        <w:rPr>
          <w:color w:val="000000"/>
          <w:szCs w:val="24"/>
        </w:rPr>
      </w:pPr>
      <w:r>
        <w:t xml:space="preserve">5.  </w:t>
      </w:r>
      <w:r>
        <w:rPr>
          <w:color w:val="000000"/>
          <w:szCs w:val="24"/>
        </w:rPr>
        <w:t xml:space="preserve">The supervisory authority shall communicate to the European Banking Authority the information about all sanctions provided for in this Law and applied upon identification of violations of the requirements set out in Regulation (EU) No 575/2013, Regulation (EU) 2019/2033 and/or legal acts regulating the activities of financial brokerage firms and credit institutions, as well as information </w:t>
      </w:r>
      <w:r>
        <w:rPr>
          <w:color w:val="000000"/>
          <w:szCs w:val="24"/>
        </w:rPr>
        <w:lastRenderedPageBreak/>
        <w:t>about the complaints submitted regarding the imposed sanctions and the results of examination thereof.</w:t>
      </w:r>
    </w:p>
    <w:p w14:paraId="1063DBE7" w14:textId="77777777" w:rsidR="0024375F" w:rsidRDefault="0024375F" w:rsidP="0024375F">
      <w:pPr>
        <w:rPr>
          <w:color w:val="000000"/>
          <w:sz w:val="27"/>
          <w:szCs w:val="27"/>
        </w:rPr>
      </w:pPr>
      <w:r>
        <w:rPr>
          <w:i/>
          <w:iCs/>
          <w:color w:val="000000"/>
          <w:sz w:val="20"/>
        </w:rPr>
        <w:t>Amendments to the paragraph of the Article:</w:t>
      </w:r>
    </w:p>
    <w:p w14:paraId="7D993229" w14:textId="00896F58" w:rsidR="0024375F" w:rsidRDefault="0024375F" w:rsidP="0024375F">
      <w:pPr>
        <w:jc w:val="both"/>
        <w:rPr>
          <w:color w:val="000000"/>
          <w:sz w:val="27"/>
          <w:szCs w:val="27"/>
        </w:rPr>
      </w:pPr>
      <w:r>
        <w:rPr>
          <w:i/>
          <w:iCs/>
          <w:color w:val="000000"/>
          <w:sz w:val="20"/>
        </w:rPr>
        <w:t xml:space="preserve">No </w:t>
      </w:r>
      <w:hyperlink r:id="rId191" w:tgtFrame="_parent" w:history="1">
        <w:r>
          <w:rPr>
            <w:rStyle w:val="Hyperlink"/>
            <w:i/>
            <w:iCs/>
            <w:sz w:val="20"/>
          </w:rPr>
          <w:t>XIV-821</w:t>
        </w:r>
      </w:hyperlink>
      <w:r>
        <w:rPr>
          <w:i/>
          <w:iCs/>
          <w:color w:val="000000"/>
          <w:sz w:val="20"/>
        </w:rPr>
        <w:t>, 23/12/2021, published in the RLA, 30/12/2021, ID code 2021-27710</w:t>
      </w:r>
    </w:p>
    <w:p w14:paraId="67D732F0" w14:textId="79265550" w:rsidR="00ED3A7E" w:rsidRPr="000550CF" w:rsidRDefault="00ED3A7E" w:rsidP="00F3494E">
      <w:pPr>
        <w:ind w:firstLine="720"/>
        <w:jc w:val="both"/>
        <w:rPr>
          <w:lang w:eastAsia="lt-LT"/>
        </w:rPr>
      </w:pPr>
    </w:p>
    <w:p w14:paraId="3E1858B7" w14:textId="77777777" w:rsidR="0024375F" w:rsidRPr="0024375F" w:rsidRDefault="0024375F" w:rsidP="0024375F">
      <w:pPr>
        <w:spacing w:line="360" w:lineRule="atLeast"/>
        <w:ind w:left="2410" w:hanging="1690"/>
        <w:jc w:val="both"/>
        <w:rPr>
          <w:color w:val="000000"/>
          <w:szCs w:val="24"/>
        </w:rPr>
      </w:pPr>
      <w:r>
        <w:rPr>
          <w:b/>
          <w:bCs/>
          <w:color w:val="000000"/>
          <w:szCs w:val="24"/>
        </w:rPr>
        <w:t>Article 111</w:t>
      </w:r>
      <w:r>
        <w:rPr>
          <w:b/>
          <w:bCs/>
          <w:color w:val="000000"/>
          <w:szCs w:val="24"/>
          <w:vertAlign w:val="superscript"/>
        </w:rPr>
        <w:t>1</w:t>
      </w:r>
      <w:r>
        <w:rPr>
          <w:b/>
          <w:bCs/>
          <w:color w:val="000000"/>
          <w:szCs w:val="24"/>
        </w:rPr>
        <w:t xml:space="preserve">. Responsibility for the information provided in the key investment information </w:t>
      </w:r>
      <w:proofErr w:type="gramStart"/>
      <w:r>
        <w:rPr>
          <w:b/>
          <w:bCs/>
          <w:color w:val="000000"/>
          <w:szCs w:val="24"/>
        </w:rPr>
        <w:t>document</w:t>
      </w:r>
      <w:proofErr w:type="gramEnd"/>
    </w:p>
    <w:p w14:paraId="471033FB" w14:textId="77777777" w:rsidR="0024375F" w:rsidRPr="00BE49BD" w:rsidRDefault="0024375F" w:rsidP="0024375F">
      <w:pPr>
        <w:spacing w:line="360" w:lineRule="atLeast"/>
        <w:ind w:firstLine="720"/>
        <w:jc w:val="both"/>
        <w:rPr>
          <w:color w:val="000000"/>
          <w:szCs w:val="24"/>
        </w:rPr>
      </w:pPr>
      <w:bookmarkStart w:id="326" w:name="part_85c0710846044812948d55b80100b77b"/>
      <w:bookmarkEnd w:id="326"/>
      <w:r>
        <w:rPr>
          <w:color w:val="000000"/>
          <w:szCs w:val="24"/>
        </w:rPr>
        <w:t xml:space="preserve">1. </w:t>
      </w:r>
      <w:r>
        <w:rPr>
          <w:color w:val="000000"/>
        </w:rPr>
        <w:t>The persons referred to in Article 23(9) or Article 24(4) of Regulation (EU) 2020/1503 shall be responsible for the correctness and completeness of the information provided in the key investment information document drawn up in accordance with the requirements of the Regulation.</w:t>
      </w:r>
    </w:p>
    <w:p w14:paraId="53A6F34F" w14:textId="77777777" w:rsidR="0024375F" w:rsidRPr="00BE49BD" w:rsidRDefault="0024375F" w:rsidP="0024375F">
      <w:pPr>
        <w:spacing w:line="360" w:lineRule="atLeast"/>
        <w:ind w:firstLine="720"/>
        <w:jc w:val="both"/>
        <w:rPr>
          <w:color w:val="000000"/>
        </w:rPr>
      </w:pPr>
      <w:bookmarkStart w:id="327" w:name="part_33cb2015093f4fb6b190470a4aa839e0"/>
      <w:bookmarkEnd w:id="327"/>
      <w:r>
        <w:rPr>
          <w:color w:val="000000"/>
        </w:rPr>
        <w:t>2. An investor who has suffered damage due to deficiencies in the key investment information document, as determined in Article 23(10) or Article 24(%) of Regulation (EU) 2020/1503, shall have the right, in accordance with the procedure established by the Civil Code of the Republic of Lithuania, to claim damages from the persons specified in paragraph 1 of the Article.</w:t>
      </w:r>
    </w:p>
    <w:p w14:paraId="46D0F058" w14:textId="77777777" w:rsidR="0024375F" w:rsidRDefault="0024375F" w:rsidP="0024375F">
      <w:pPr>
        <w:rPr>
          <w:color w:val="000000"/>
          <w:sz w:val="27"/>
          <w:szCs w:val="27"/>
        </w:rPr>
      </w:pPr>
      <w:r>
        <w:rPr>
          <w:i/>
          <w:iCs/>
          <w:color w:val="000000"/>
          <w:sz w:val="20"/>
        </w:rPr>
        <w:t>Supplemented with an Article:</w:t>
      </w:r>
    </w:p>
    <w:p w14:paraId="58A14738" w14:textId="77777777" w:rsidR="0024375F" w:rsidRDefault="0024375F" w:rsidP="0024375F">
      <w:pPr>
        <w:jc w:val="both"/>
        <w:rPr>
          <w:color w:val="000000"/>
          <w:sz w:val="27"/>
          <w:szCs w:val="27"/>
        </w:rPr>
      </w:pPr>
      <w:r>
        <w:rPr>
          <w:i/>
          <w:iCs/>
          <w:color w:val="000000"/>
          <w:sz w:val="20"/>
        </w:rPr>
        <w:t xml:space="preserve">No </w:t>
      </w:r>
      <w:hyperlink r:id="rId192" w:tgtFrame="_parent" w:history="1">
        <w:r>
          <w:rPr>
            <w:rStyle w:val="Hyperlink"/>
            <w:i/>
            <w:iCs/>
            <w:sz w:val="20"/>
          </w:rPr>
          <w:t>XIV-821</w:t>
        </w:r>
      </w:hyperlink>
      <w:r>
        <w:rPr>
          <w:i/>
          <w:iCs/>
          <w:color w:val="000000"/>
          <w:sz w:val="20"/>
        </w:rPr>
        <w:t>, 23/12/2021, published in the RLA, 30/12/2021, ID code 2021-27710</w:t>
      </w:r>
    </w:p>
    <w:p w14:paraId="45CA0C2F" w14:textId="77777777" w:rsidR="00ED3A7E" w:rsidRPr="000550CF" w:rsidRDefault="00ED3A7E" w:rsidP="00F3494E">
      <w:pPr>
        <w:ind w:firstLine="720"/>
        <w:jc w:val="both"/>
        <w:rPr>
          <w:lang w:eastAsia="lt-LT"/>
        </w:rPr>
      </w:pPr>
    </w:p>
    <w:p w14:paraId="73424F99" w14:textId="77777777" w:rsidR="00ED3A7E" w:rsidRPr="000550CF" w:rsidRDefault="00ED3A7E" w:rsidP="00F3494E">
      <w:pPr>
        <w:widowControl w:val="0"/>
        <w:ind w:firstLine="720"/>
        <w:jc w:val="both"/>
        <w:rPr>
          <w:szCs w:val="24"/>
        </w:rPr>
      </w:pPr>
      <w:r>
        <w:rPr>
          <w:b/>
          <w:szCs w:val="24"/>
        </w:rPr>
        <w:t>Article 112. Grounds for application of sanctions</w:t>
      </w:r>
    </w:p>
    <w:p w14:paraId="51F48955" w14:textId="77777777" w:rsidR="00ED3A7E" w:rsidRPr="000550CF" w:rsidRDefault="00ED3A7E" w:rsidP="00F3494E">
      <w:pPr>
        <w:widowControl w:val="0"/>
        <w:ind w:firstLine="720"/>
        <w:jc w:val="both"/>
        <w:rPr>
          <w:szCs w:val="24"/>
        </w:rPr>
      </w:pPr>
      <w:r>
        <w:t>1. Sanctions provided for by this Law shall be applied where at least one of the following grounds exists:</w:t>
      </w:r>
    </w:p>
    <w:p w14:paraId="2D455952" w14:textId="77777777" w:rsidR="00ED3A7E" w:rsidRPr="000550CF" w:rsidRDefault="00ED3A7E" w:rsidP="00F3494E">
      <w:pPr>
        <w:widowControl w:val="0"/>
        <w:ind w:firstLine="720"/>
        <w:jc w:val="both"/>
        <w:rPr>
          <w:szCs w:val="24"/>
        </w:rPr>
      </w:pPr>
      <w:r>
        <w:t>1) investment services are provided</w:t>
      </w:r>
      <w:r>
        <w:rPr>
          <w:color w:val="000000"/>
          <w:szCs w:val="24"/>
        </w:rPr>
        <w:t xml:space="preserve"> without holding a respective authorisation granted in accordance with the procedure set forth by this Law or</w:t>
      </w:r>
      <w:r>
        <w:t xml:space="preserve"> where such authorisation is restricted under this Law, or other acts or activities prohibited by this Law are carried out;</w:t>
      </w:r>
    </w:p>
    <w:p w14:paraId="588077A7" w14:textId="77777777" w:rsidR="00ED3A7E" w:rsidRPr="000550CF" w:rsidRDefault="00ED3A7E" w:rsidP="00F3494E">
      <w:pPr>
        <w:widowControl w:val="0"/>
        <w:ind w:firstLine="720"/>
        <w:jc w:val="both"/>
        <w:rPr>
          <w:szCs w:val="24"/>
        </w:rPr>
      </w:pPr>
      <w:r>
        <w:t xml:space="preserve">2) a market operator’s activities are carried out without </w:t>
      </w:r>
      <w:r>
        <w:rPr>
          <w:color w:val="000000"/>
          <w:szCs w:val="24"/>
        </w:rPr>
        <w:t>holding a respective authorisation granted in accordance with the procedure set forth by this Law or</w:t>
      </w:r>
      <w:r>
        <w:t xml:space="preserve"> where such authorisation is restricted under this Law;</w:t>
      </w:r>
    </w:p>
    <w:p w14:paraId="537B2BD7" w14:textId="77777777" w:rsidR="00ED3A7E" w:rsidRPr="000550CF" w:rsidRDefault="00ED3A7E" w:rsidP="00F3494E">
      <w:pPr>
        <w:widowControl w:val="0"/>
        <w:ind w:firstLine="720"/>
        <w:jc w:val="both"/>
        <w:rPr>
          <w:szCs w:val="24"/>
        </w:rPr>
      </w:pPr>
      <w:r>
        <w:t xml:space="preserve">3) an MTF or an OTF is operated, a transaction data reporting services provider’s services are provided </w:t>
      </w:r>
      <w:r>
        <w:rPr>
          <w:color w:val="000000"/>
          <w:szCs w:val="24"/>
        </w:rPr>
        <w:t>without holding a respective authorisation granted in accordance with the procedure set forth by this Law or</w:t>
      </w:r>
      <w:r>
        <w:t xml:space="preserve"> where such authorisation is restricted under this Law;</w:t>
      </w:r>
    </w:p>
    <w:p w14:paraId="374DBFB5" w14:textId="77777777" w:rsidR="00ED3A7E" w:rsidRPr="000550CF" w:rsidRDefault="00ED3A7E" w:rsidP="00F3494E">
      <w:pPr>
        <w:widowControl w:val="0"/>
        <w:ind w:firstLine="720"/>
        <w:jc w:val="both"/>
        <w:rPr>
          <w:szCs w:val="24"/>
        </w:rPr>
      </w:pPr>
      <w:r>
        <w:t xml:space="preserve">4) other acts or activities are carried out </w:t>
      </w:r>
      <w:r>
        <w:rPr>
          <w:color w:val="000000"/>
          <w:szCs w:val="24"/>
        </w:rPr>
        <w:t>without holding a respective authorisation granted in accordance with the procedure set forth by this Law or</w:t>
      </w:r>
      <w:r>
        <w:t xml:space="preserve"> where such authorisation is restricted under this Law;</w:t>
      </w:r>
    </w:p>
    <w:p w14:paraId="3CC04C1C" w14:textId="77777777" w:rsidR="00ED3A7E" w:rsidRPr="000550CF" w:rsidRDefault="00ED3A7E" w:rsidP="00F3494E">
      <w:pPr>
        <w:widowControl w:val="0"/>
        <w:ind w:firstLine="720"/>
        <w:jc w:val="both"/>
        <w:rPr>
          <w:szCs w:val="24"/>
        </w:rPr>
      </w:pPr>
      <w:r>
        <w:t>5) a respective licence or an authorisations established by this Law are obtained on the basis of false information provided to the supervisory authority or by other unlawful means;</w:t>
      </w:r>
    </w:p>
    <w:p w14:paraId="3834A158" w14:textId="77777777" w:rsidR="00ED3A7E" w:rsidRPr="000550CF" w:rsidRDefault="00ED3A7E" w:rsidP="00F3494E">
      <w:pPr>
        <w:widowControl w:val="0"/>
        <w:ind w:firstLine="720"/>
        <w:jc w:val="both"/>
        <w:rPr>
          <w:szCs w:val="24"/>
        </w:rPr>
      </w:pPr>
      <w:r>
        <w:t>6) the mandatory instructions given by the supervisory authority under this Law are not fulfilled in accordance with the established procedure or are fulfilled improperly;</w:t>
      </w:r>
    </w:p>
    <w:p w14:paraId="561E7845" w14:textId="77777777" w:rsidR="00ED3A7E" w:rsidRPr="000550CF" w:rsidRDefault="00ED3A7E" w:rsidP="00F3494E">
      <w:pPr>
        <w:widowControl w:val="0"/>
        <w:ind w:firstLine="720"/>
        <w:jc w:val="both"/>
        <w:rPr>
          <w:szCs w:val="24"/>
        </w:rPr>
      </w:pPr>
      <w:r>
        <w:t>7) the information established by this Law or other legal acts the supervision over compliance with which is attributed to the competence of the supervisory authority or required by the supervisory authority is not provided within the fixed time limits, or the information provided is incomplete, false or inaccurate;</w:t>
      </w:r>
    </w:p>
    <w:p w14:paraId="69F8DDF5" w14:textId="77777777" w:rsidR="00ED3A7E" w:rsidRPr="000550CF" w:rsidRDefault="00ED3A7E" w:rsidP="00F3494E">
      <w:pPr>
        <w:widowControl w:val="0"/>
        <w:ind w:firstLine="720"/>
        <w:jc w:val="both"/>
        <w:rPr>
          <w:szCs w:val="24"/>
        </w:rPr>
      </w:pPr>
      <w:r>
        <w:t>8) one or more persons appointed to or holding the positions of managers of a financial brokerage firm, a financial advisor firm, a market operator, a transaction data reporting services provider or a central depositary do not meet the requirements for impeccable reputation established by laws regulating activities of markets in financial instruments and the qualification and experience requirements;</w:t>
      </w:r>
    </w:p>
    <w:p w14:paraId="0B67F99E" w14:textId="77777777" w:rsidR="00ED3A7E" w:rsidRPr="000550CF" w:rsidRDefault="00ED3A7E" w:rsidP="00F3494E">
      <w:pPr>
        <w:widowControl w:val="0"/>
        <w:ind w:firstLine="720"/>
        <w:jc w:val="both"/>
        <w:rPr>
          <w:szCs w:val="24"/>
        </w:rPr>
      </w:pPr>
      <w:r>
        <w:t>9) the requirements on the basis of which the license was issued are no longer met;</w:t>
      </w:r>
    </w:p>
    <w:p w14:paraId="2EDFCE4F" w14:textId="77777777" w:rsidR="00ED3A7E" w:rsidRPr="000550CF" w:rsidRDefault="00ED3A7E" w:rsidP="00F3494E">
      <w:pPr>
        <w:widowControl w:val="0"/>
        <w:ind w:firstLine="720"/>
        <w:jc w:val="both"/>
        <w:rPr>
          <w:szCs w:val="24"/>
        </w:rPr>
      </w:pPr>
      <w:r>
        <w:t>10) a financial brokerage firm is incapable of fulfilling the obligations or the available information suggests that it will not be able to fulfil them in future;</w:t>
      </w:r>
    </w:p>
    <w:p w14:paraId="5AFA711C" w14:textId="77777777" w:rsidR="00ED3A7E" w:rsidRPr="000550CF" w:rsidRDefault="00ED3A7E" w:rsidP="00F3494E">
      <w:pPr>
        <w:widowControl w:val="0"/>
        <w:ind w:firstLine="720"/>
        <w:jc w:val="both"/>
        <w:rPr>
          <w:szCs w:val="24"/>
        </w:rPr>
      </w:pPr>
      <w:r>
        <w:t>11) the requirements established by Regulation (EU) No 600/2014 are infringed;</w:t>
      </w:r>
    </w:p>
    <w:p w14:paraId="54D212CA" w14:textId="77777777" w:rsidR="00ED3A7E" w:rsidRPr="000550CF" w:rsidRDefault="00ED3A7E" w:rsidP="00F3494E">
      <w:pPr>
        <w:widowControl w:val="0"/>
        <w:ind w:firstLine="720"/>
        <w:jc w:val="both"/>
        <w:rPr>
          <w:szCs w:val="24"/>
        </w:rPr>
      </w:pPr>
      <w:r>
        <w:t>12) the requirements established by Regulation (EU) No 2016/1011 are infringed;</w:t>
      </w:r>
    </w:p>
    <w:p w14:paraId="1A27C480" w14:textId="77777777" w:rsidR="00ED3A7E" w:rsidRPr="000550CF" w:rsidRDefault="00ED3A7E" w:rsidP="00F3494E">
      <w:pPr>
        <w:widowControl w:val="0"/>
        <w:ind w:firstLine="720"/>
        <w:jc w:val="both"/>
        <w:rPr>
          <w:szCs w:val="24"/>
        </w:rPr>
      </w:pPr>
      <w:r>
        <w:lastRenderedPageBreak/>
        <w:t>13) the requirements established by Regulation (EU) No 2015/2365 are infringed;</w:t>
      </w:r>
    </w:p>
    <w:p w14:paraId="02AA124F" w14:textId="77777777" w:rsidR="00ED3A7E" w:rsidRPr="000550CF" w:rsidRDefault="00ED3A7E" w:rsidP="00F3494E">
      <w:pPr>
        <w:widowControl w:val="0"/>
        <w:ind w:firstLine="720"/>
        <w:jc w:val="both"/>
        <w:rPr>
          <w:szCs w:val="24"/>
        </w:rPr>
      </w:pPr>
      <w:r>
        <w:t>14) the requirements established by Regulation (EU) No 596/2014 are infringed;</w:t>
      </w:r>
    </w:p>
    <w:p w14:paraId="518D0FD4" w14:textId="77777777" w:rsidR="00ED3A7E" w:rsidRPr="000550CF" w:rsidRDefault="00ED3A7E" w:rsidP="00F3494E">
      <w:pPr>
        <w:widowControl w:val="0"/>
        <w:ind w:firstLine="720"/>
        <w:jc w:val="both"/>
        <w:rPr>
          <w:szCs w:val="24"/>
        </w:rPr>
      </w:pPr>
      <w:r>
        <w:t>15) the requirements established by Regulation (EU) No 909/2014 are infringed;</w:t>
      </w:r>
    </w:p>
    <w:p w14:paraId="2BA51B86" w14:textId="77777777" w:rsidR="00ED3A7E" w:rsidRPr="000550CF" w:rsidRDefault="00ED3A7E" w:rsidP="00F3494E">
      <w:pPr>
        <w:widowControl w:val="0"/>
        <w:ind w:firstLine="720"/>
        <w:jc w:val="both"/>
        <w:rPr>
          <w:szCs w:val="24"/>
        </w:rPr>
      </w:pPr>
      <w:r>
        <w:t>16) the requirements established by Regulation (EU) No 575/2013 are infringed;</w:t>
      </w:r>
    </w:p>
    <w:p w14:paraId="781DB68C" w14:textId="77777777" w:rsidR="00ED3A7E" w:rsidRPr="000550CF" w:rsidRDefault="00ED3A7E" w:rsidP="00F3494E">
      <w:pPr>
        <w:widowControl w:val="0"/>
        <w:ind w:firstLine="720"/>
        <w:jc w:val="both"/>
        <w:rPr>
          <w:szCs w:val="24"/>
        </w:rPr>
      </w:pPr>
      <w:r>
        <w:t>17) the requirements established by Regulation (EC) No 1060/2009 are infringed;</w:t>
      </w:r>
    </w:p>
    <w:p w14:paraId="26F11504" w14:textId="77777777" w:rsidR="00ED3A7E" w:rsidRPr="000550CF" w:rsidRDefault="00ED3A7E" w:rsidP="00F3494E">
      <w:pPr>
        <w:widowControl w:val="0"/>
        <w:ind w:firstLine="720"/>
        <w:jc w:val="both"/>
        <w:rPr>
          <w:szCs w:val="24"/>
        </w:rPr>
      </w:pPr>
      <w:r>
        <w:t>18) the requirements established by Regulation (EU) No 236/2012 are infringed;</w:t>
      </w:r>
    </w:p>
    <w:p w14:paraId="09C0138C" w14:textId="77777777" w:rsidR="00ED3A7E" w:rsidRPr="000550CF" w:rsidRDefault="00ED3A7E" w:rsidP="00F3494E">
      <w:pPr>
        <w:widowControl w:val="0"/>
        <w:ind w:firstLine="720"/>
        <w:jc w:val="both"/>
        <w:rPr>
          <w:szCs w:val="24"/>
        </w:rPr>
      </w:pPr>
      <w:r>
        <w:t>19) the requirements established by Regulation (EU) No 648/2012 are infringed;</w:t>
      </w:r>
    </w:p>
    <w:p w14:paraId="28BA9437" w14:textId="6A76B59F" w:rsidR="00ED3A7E" w:rsidRDefault="00ED3A7E" w:rsidP="00F3494E">
      <w:pPr>
        <w:widowControl w:val="0"/>
        <w:ind w:firstLine="720"/>
        <w:jc w:val="both"/>
        <w:rPr>
          <w:szCs w:val="24"/>
        </w:rPr>
      </w:pPr>
      <w:r>
        <w:t>20) the requirements established by Regulation (EU) No 1286/2014 are infringed;</w:t>
      </w:r>
    </w:p>
    <w:p w14:paraId="6D356B25" w14:textId="77777777" w:rsidR="0024375F" w:rsidRDefault="0024375F" w:rsidP="0024375F">
      <w:pPr>
        <w:spacing w:line="360" w:lineRule="atLeast"/>
        <w:ind w:firstLine="720"/>
        <w:jc w:val="both"/>
        <w:rPr>
          <w:color w:val="000000"/>
        </w:rPr>
      </w:pPr>
      <w:r>
        <w:rPr>
          <w:color w:val="000000"/>
        </w:rPr>
        <w:t>20</w:t>
      </w:r>
      <w:r>
        <w:rPr>
          <w:color w:val="000000"/>
          <w:vertAlign w:val="superscript"/>
        </w:rPr>
        <w:t>1</w:t>
      </w:r>
      <w:r>
        <w:rPr>
          <w:color w:val="000000"/>
        </w:rPr>
        <w:t>) the requirements established by Regulation (EU) 2019/2033 are infringed;</w:t>
      </w:r>
    </w:p>
    <w:p w14:paraId="355C6327" w14:textId="77777777" w:rsidR="0024375F" w:rsidRDefault="0024375F" w:rsidP="0024375F">
      <w:pPr>
        <w:rPr>
          <w:color w:val="000000"/>
        </w:rPr>
      </w:pPr>
      <w:r>
        <w:rPr>
          <w:i/>
          <w:iCs/>
          <w:color w:val="000000"/>
          <w:sz w:val="20"/>
        </w:rPr>
        <w:t>Supplemented with the sub-paragraph to the Article:</w:t>
      </w:r>
    </w:p>
    <w:p w14:paraId="2CBC9C3B" w14:textId="26C59DE2" w:rsidR="0024375F" w:rsidRDefault="0024375F" w:rsidP="0024375F">
      <w:pPr>
        <w:jc w:val="both"/>
        <w:rPr>
          <w:color w:val="000000"/>
        </w:rPr>
      </w:pPr>
      <w:r>
        <w:rPr>
          <w:i/>
          <w:iCs/>
          <w:color w:val="000000"/>
          <w:sz w:val="20"/>
        </w:rPr>
        <w:t xml:space="preserve">No </w:t>
      </w:r>
      <w:hyperlink r:id="rId193" w:tgtFrame="_parent" w:history="1">
        <w:r>
          <w:rPr>
            <w:rStyle w:val="Hyperlink"/>
            <w:i/>
            <w:iCs/>
            <w:sz w:val="20"/>
          </w:rPr>
          <w:t>XIV-821</w:t>
        </w:r>
      </w:hyperlink>
      <w:r>
        <w:rPr>
          <w:i/>
          <w:iCs/>
          <w:color w:val="000000"/>
          <w:sz w:val="20"/>
        </w:rPr>
        <w:t>, 23/12/2021, published in the RLA, 30/12/2021, ID code 2021-27710</w:t>
      </w:r>
    </w:p>
    <w:p w14:paraId="5AC24E6F" w14:textId="77777777" w:rsidR="0024375F" w:rsidRDefault="0024375F" w:rsidP="0024375F">
      <w:pPr>
        <w:spacing w:line="360" w:lineRule="atLeast"/>
        <w:ind w:firstLine="720"/>
        <w:jc w:val="both"/>
        <w:rPr>
          <w:color w:val="000000"/>
        </w:rPr>
      </w:pPr>
      <w:bookmarkStart w:id="328" w:name="part_a6159e712b854d1590b8d7c292d0d4d1"/>
      <w:bookmarkEnd w:id="328"/>
      <w:r>
        <w:rPr>
          <w:color w:val="000000"/>
        </w:rPr>
        <w:t>20</w:t>
      </w:r>
      <w:r>
        <w:rPr>
          <w:color w:val="000000"/>
          <w:vertAlign w:val="superscript"/>
        </w:rPr>
        <w:t>2</w:t>
      </w:r>
      <w:r>
        <w:rPr>
          <w:color w:val="000000"/>
        </w:rPr>
        <w:t>) the requirements established by Regulation (EU) 2019/2088 are infringed;</w:t>
      </w:r>
    </w:p>
    <w:p w14:paraId="6B47F1B5" w14:textId="77777777" w:rsidR="0024375F" w:rsidRDefault="0024375F" w:rsidP="0024375F">
      <w:pPr>
        <w:rPr>
          <w:color w:val="000000"/>
        </w:rPr>
      </w:pPr>
      <w:r>
        <w:rPr>
          <w:i/>
          <w:iCs/>
          <w:color w:val="000000"/>
          <w:sz w:val="20"/>
        </w:rPr>
        <w:t>Supplemented with the sub-paragraph to the Article:</w:t>
      </w:r>
    </w:p>
    <w:p w14:paraId="1083B5E6" w14:textId="5F7C5C3A" w:rsidR="0024375F" w:rsidRDefault="0024375F" w:rsidP="0024375F">
      <w:pPr>
        <w:jc w:val="both"/>
        <w:rPr>
          <w:color w:val="000000"/>
        </w:rPr>
      </w:pPr>
      <w:r>
        <w:rPr>
          <w:i/>
          <w:iCs/>
          <w:color w:val="000000"/>
          <w:sz w:val="20"/>
        </w:rPr>
        <w:t xml:space="preserve">No </w:t>
      </w:r>
      <w:hyperlink r:id="rId194" w:tgtFrame="_parent" w:history="1">
        <w:r>
          <w:rPr>
            <w:rStyle w:val="Hyperlink"/>
            <w:i/>
            <w:iCs/>
            <w:sz w:val="20"/>
          </w:rPr>
          <w:t>XIV-821</w:t>
        </w:r>
      </w:hyperlink>
      <w:r>
        <w:rPr>
          <w:i/>
          <w:iCs/>
          <w:color w:val="000000"/>
          <w:sz w:val="20"/>
        </w:rPr>
        <w:t>, 23/12/2021, published in the RLA, 30/12/2021, ID code 2021-27710</w:t>
      </w:r>
    </w:p>
    <w:p w14:paraId="27E5EBA8" w14:textId="77777777" w:rsidR="0024375F" w:rsidRDefault="0024375F" w:rsidP="0024375F">
      <w:pPr>
        <w:spacing w:line="360" w:lineRule="atLeast"/>
        <w:ind w:firstLine="720"/>
        <w:jc w:val="both"/>
        <w:rPr>
          <w:color w:val="000000"/>
        </w:rPr>
      </w:pPr>
      <w:bookmarkStart w:id="329" w:name="part_d70b3fd8616a452db3efe11cbc40eba7"/>
      <w:bookmarkEnd w:id="329"/>
      <w:r>
        <w:rPr>
          <w:color w:val="000000"/>
        </w:rPr>
        <w:t>20</w:t>
      </w:r>
      <w:r>
        <w:rPr>
          <w:color w:val="000000"/>
          <w:vertAlign w:val="superscript"/>
        </w:rPr>
        <w:t>3</w:t>
      </w:r>
      <w:r>
        <w:rPr>
          <w:color w:val="000000"/>
        </w:rPr>
        <w:t>) the requirements established by Regulation (EU) 2020/1503 are infringed;</w:t>
      </w:r>
    </w:p>
    <w:p w14:paraId="3A8E613A" w14:textId="77777777" w:rsidR="0024375F" w:rsidRDefault="0024375F" w:rsidP="0024375F">
      <w:pPr>
        <w:rPr>
          <w:color w:val="000000"/>
        </w:rPr>
      </w:pPr>
      <w:r>
        <w:rPr>
          <w:i/>
          <w:iCs/>
          <w:color w:val="000000"/>
          <w:sz w:val="20"/>
        </w:rPr>
        <w:t>Supplemented with the sub-paragraph to the Article:</w:t>
      </w:r>
    </w:p>
    <w:p w14:paraId="182B86BF" w14:textId="133141BF" w:rsidR="0024375F" w:rsidRDefault="0024375F" w:rsidP="0024375F">
      <w:pPr>
        <w:jc w:val="both"/>
        <w:rPr>
          <w:color w:val="000000"/>
        </w:rPr>
      </w:pPr>
      <w:r>
        <w:rPr>
          <w:i/>
          <w:iCs/>
          <w:color w:val="000000"/>
          <w:sz w:val="20"/>
        </w:rPr>
        <w:t xml:space="preserve">No </w:t>
      </w:r>
      <w:hyperlink r:id="rId195" w:tgtFrame="_parent" w:history="1">
        <w:r>
          <w:rPr>
            <w:rStyle w:val="Hyperlink"/>
            <w:i/>
            <w:iCs/>
            <w:sz w:val="20"/>
          </w:rPr>
          <w:t>XIV-821</w:t>
        </w:r>
      </w:hyperlink>
      <w:r>
        <w:rPr>
          <w:i/>
          <w:iCs/>
          <w:color w:val="000000"/>
          <w:sz w:val="20"/>
        </w:rPr>
        <w:t>, 23/12/2021, published in the RLA, 30/12/2021, ID code 2021-27710</w:t>
      </w:r>
    </w:p>
    <w:p w14:paraId="6722756B" w14:textId="77777777" w:rsidR="0024375F" w:rsidRPr="000550CF" w:rsidRDefault="0024375F" w:rsidP="00F3494E">
      <w:pPr>
        <w:widowControl w:val="0"/>
        <w:ind w:firstLine="720"/>
        <w:jc w:val="both"/>
        <w:rPr>
          <w:szCs w:val="24"/>
          <w:lang w:eastAsia="lt-LT"/>
        </w:rPr>
      </w:pPr>
    </w:p>
    <w:p w14:paraId="18D4B7DB" w14:textId="77777777" w:rsidR="00ED3A7E" w:rsidRPr="000550CF" w:rsidRDefault="00ED3A7E" w:rsidP="00F3494E">
      <w:pPr>
        <w:widowControl w:val="0"/>
        <w:ind w:firstLine="720"/>
        <w:jc w:val="both"/>
        <w:rPr>
          <w:szCs w:val="24"/>
        </w:rPr>
      </w:pPr>
      <w:r>
        <w:t xml:space="preserve">21) a qualifying holding of the capital and/or of the voting rights of a financial brokerage firm or of a regulated market is acquired, increased, disposed or reduced without notifying the supervisory authority under Article 11 of this Law or despite the opposition of the supervisory authority to the proposed acquisition or increase, as well as where the acquirer does not meet the requirements established by this Law or there are grounds for believing that it may pose a threat to reliable and transparent management of the financial brokerage firm or of the regulated market; </w:t>
      </w:r>
    </w:p>
    <w:p w14:paraId="339E170A" w14:textId="77777777" w:rsidR="00ED3A7E" w:rsidRPr="000550CF" w:rsidRDefault="00ED3A7E" w:rsidP="00F3494E">
      <w:pPr>
        <w:widowControl w:val="0"/>
        <w:ind w:firstLine="720"/>
        <w:jc w:val="both"/>
        <w:rPr>
          <w:szCs w:val="24"/>
        </w:rPr>
      </w:pPr>
      <w:r>
        <w:t xml:space="preserve">22) inspections carried out by the supervisory </w:t>
      </w:r>
      <w:proofErr w:type="gramStart"/>
      <w:r>
        <w:t>authority</w:t>
      </w:r>
      <w:proofErr w:type="gramEnd"/>
      <w:r>
        <w:t xml:space="preserve"> or its authorised persons are hindered;</w:t>
      </w:r>
    </w:p>
    <w:p w14:paraId="52E6A33D" w14:textId="77777777" w:rsidR="00ED3A7E" w:rsidRPr="000550CF" w:rsidRDefault="00ED3A7E" w:rsidP="00F3494E">
      <w:pPr>
        <w:widowControl w:val="0"/>
        <w:ind w:firstLine="720"/>
        <w:jc w:val="both"/>
        <w:rPr>
          <w:szCs w:val="24"/>
        </w:rPr>
      </w:pPr>
      <w:r>
        <w:t xml:space="preserve">23) governance requirements established by this Law and other legal acts the supervision over compliance with which is attributed to the competence of the supervisory authority are not fulfilled or are fulfilled </w:t>
      </w:r>
      <w:proofErr w:type="gramStart"/>
      <w:r>
        <w:t>improperly;</w:t>
      </w:r>
      <w:proofErr w:type="gramEnd"/>
    </w:p>
    <w:p w14:paraId="7511355F" w14:textId="77777777" w:rsidR="00ED3A7E" w:rsidRPr="000550CF" w:rsidRDefault="00ED3A7E" w:rsidP="00F3494E">
      <w:pPr>
        <w:widowControl w:val="0"/>
        <w:ind w:firstLine="720"/>
        <w:jc w:val="both"/>
        <w:rPr>
          <w:szCs w:val="24"/>
        </w:rPr>
      </w:pPr>
      <w:r>
        <w:t xml:space="preserve">24) the Law on the Insurance of Deposits and Liabilities to Investors is </w:t>
      </w:r>
      <w:proofErr w:type="gramStart"/>
      <w:r>
        <w:t>infringed;</w:t>
      </w:r>
      <w:proofErr w:type="gramEnd"/>
    </w:p>
    <w:p w14:paraId="30397207" w14:textId="77777777" w:rsidR="00ED3A7E" w:rsidRPr="000550CF" w:rsidRDefault="00ED3A7E" w:rsidP="00F3494E">
      <w:pPr>
        <w:widowControl w:val="0"/>
        <w:ind w:firstLine="720"/>
        <w:jc w:val="both"/>
        <w:rPr>
          <w:szCs w:val="24"/>
        </w:rPr>
      </w:pPr>
      <w:r>
        <w:t xml:space="preserve">25) the notification referred to in Article 11(21) of this Law is not </w:t>
      </w:r>
      <w:proofErr w:type="gramStart"/>
      <w:r>
        <w:t>provided;</w:t>
      </w:r>
      <w:proofErr w:type="gramEnd"/>
    </w:p>
    <w:p w14:paraId="3A261B34" w14:textId="5DBEE9D7" w:rsidR="0024375F" w:rsidRPr="0024375F" w:rsidRDefault="00ED3A7E" w:rsidP="0024375F">
      <w:pPr>
        <w:spacing w:line="360" w:lineRule="atLeast"/>
        <w:ind w:firstLine="720"/>
        <w:jc w:val="both"/>
        <w:rPr>
          <w:color w:val="000000"/>
          <w:szCs w:val="24"/>
        </w:rPr>
      </w:pPr>
      <w:r>
        <w:t xml:space="preserve">26) a financial brokerage firm makes payments to the holders of instruments included in the firm’s own funds, where Articles 28, 52 or 63 of Regulation (EU) No 575/2013 prohibit making such payments to holders of instruments included in own </w:t>
      </w:r>
      <w:proofErr w:type="gramStart"/>
      <w:r>
        <w:t>funds;</w:t>
      </w:r>
      <w:proofErr w:type="gramEnd"/>
    </w:p>
    <w:p w14:paraId="62EE77A0" w14:textId="77777777" w:rsidR="0024375F" w:rsidRDefault="0024375F" w:rsidP="0024375F">
      <w:pPr>
        <w:rPr>
          <w:color w:val="000000"/>
          <w:sz w:val="27"/>
          <w:szCs w:val="27"/>
        </w:rPr>
      </w:pPr>
      <w:r>
        <w:rPr>
          <w:i/>
          <w:iCs/>
          <w:color w:val="000000"/>
          <w:sz w:val="20"/>
        </w:rPr>
        <w:t>Supplemented with the sub-paragraph to the Article:</w:t>
      </w:r>
    </w:p>
    <w:p w14:paraId="717017E1" w14:textId="77777777" w:rsidR="0024375F" w:rsidRDefault="0024375F" w:rsidP="0024375F">
      <w:pPr>
        <w:jc w:val="both"/>
        <w:rPr>
          <w:color w:val="000000"/>
          <w:sz w:val="27"/>
          <w:szCs w:val="27"/>
        </w:rPr>
      </w:pPr>
      <w:r>
        <w:rPr>
          <w:i/>
          <w:iCs/>
          <w:color w:val="000000"/>
          <w:sz w:val="20"/>
        </w:rPr>
        <w:t xml:space="preserve">No </w:t>
      </w:r>
      <w:hyperlink r:id="rId196" w:tgtFrame="_parent" w:history="1">
        <w:r>
          <w:rPr>
            <w:rStyle w:val="Hyperlink"/>
            <w:i/>
            <w:iCs/>
            <w:sz w:val="20"/>
          </w:rPr>
          <w:t>XIV-821</w:t>
        </w:r>
      </w:hyperlink>
      <w:r>
        <w:rPr>
          <w:i/>
          <w:iCs/>
          <w:color w:val="000000"/>
          <w:sz w:val="20"/>
        </w:rPr>
        <w:t>, 23/12/2021, published in the RLA, 30/12/2021, ID code 2021-27710</w:t>
      </w:r>
    </w:p>
    <w:p w14:paraId="0B7B4AAE" w14:textId="77777777" w:rsidR="0024375F" w:rsidRDefault="0024375F" w:rsidP="0024375F">
      <w:pPr>
        <w:spacing w:line="360" w:lineRule="atLeast"/>
        <w:ind w:firstLine="720"/>
        <w:jc w:val="both"/>
        <w:rPr>
          <w:color w:val="000000"/>
        </w:rPr>
      </w:pPr>
      <w:r>
        <w:rPr>
          <w:color w:val="000000"/>
        </w:rPr>
        <w:t xml:space="preserve">27) the requirements established by Articles 5, 6 or 7 of Regulation (EU) 2020/852 are </w:t>
      </w:r>
      <w:proofErr w:type="gramStart"/>
      <w:r>
        <w:rPr>
          <w:color w:val="000000"/>
        </w:rPr>
        <w:t>infringed;</w:t>
      </w:r>
      <w:proofErr w:type="gramEnd"/>
    </w:p>
    <w:p w14:paraId="13ECBAD3" w14:textId="77777777" w:rsidR="0024375F" w:rsidRDefault="0024375F" w:rsidP="0024375F">
      <w:pPr>
        <w:rPr>
          <w:color w:val="000000"/>
        </w:rPr>
      </w:pPr>
      <w:r>
        <w:rPr>
          <w:i/>
          <w:iCs/>
          <w:color w:val="000000"/>
          <w:sz w:val="20"/>
        </w:rPr>
        <w:t>Supplemented with the sub-paragraph to the Article:</w:t>
      </w:r>
    </w:p>
    <w:p w14:paraId="3D0F089A" w14:textId="41413DD1" w:rsidR="0024375F" w:rsidRDefault="0024375F" w:rsidP="0024375F">
      <w:pPr>
        <w:jc w:val="both"/>
        <w:rPr>
          <w:color w:val="000000"/>
        </w:rPr>
      </w:pPr>
      <w:r>
        <w:rPr>
          <w:i/>
          <w:iCs/>
          <w:color w:val="000000"/>
          <w:sz w:val="20"/>
        </w:rPr>
        <w:t xml:space="preserve">No </w:t>
      </w:r>
      <w:hyperlink r:id="rId197" w:tgtFrame="_parent" w:history="1">
        <w:r>
          <w:rPr>
            <w:rStyle w:val="Hyperlink"/>
            <w:i/>
            <w:iCs/>
            <w:sz w:val="20"/>
          </w:rPr>
          <w:t>XIV-821</w:t>
        </w:r>
      </w:hyperlink>
      <w:r>
        <w:rPr>
          <w:i/>
          <w:iCs/>
          <w:color w:val="000000"/>
          <w:sz w:val="20"/>
        </w:rPr>
        <w:t>, 23/12/2021, published in the RLA, 30/12/2021, ID code 2021-27710</w:t>
      </w:r>
    </w:p>
    <w:p w14:paraId="04C9D830" w14:textId="77777777" w:rsidR="0024375F" w:rsidRDefault="0024375F" w:rsidP="0024375F">
      <w:pPr>
        <w:spacing w:line="360" w:lineRule="atLeast"/>
        <w:ind w:firstLine="720"/>
        <w:jc w:val="both"/>
        <w:rPr>
          <w:color w:val="000000"/>
        </w:rPr>
      </w:pPr>
      <w:bookmarkStart w:id="330" w:name="part_c13a1e63025c4401b6c8bcb693934546"/>
      <w:bookmarkEnd w:id="330"/>
      <w:r>
        <w:rPr>
          <w:color w:val="000000"/>
        </w:rPr>
        <w:t>28) other violations of this Law or other legal acts the supervision of compliance with which is assigned to the competence of the supervisory authority are committed.</w:t>
      </w:r>
    </w:p>
    <w:p w14:paraId="4E774D8D" w14:textId="77777777" w:rsidR="0024375F" w:rsidRDefault="0024375F" w:rsidP="0024375F">
      <w:pPr>
        <w:rPr>
          <w:color w:val="000000"/>
        </w:rPr>
      </w:pPr>
      <w:r>
        <w:rPr>
          <w:i/>
          <w:iCs/>
          <w:color w:val="000000"/>
          <w:sz w:val="20"/>
        </w:rPr>
        <w:t>Amendments to the numbering of the sub-paragraph of the Article:</w:t>
      </w:r>
    </w:p>
    <w:p w14:paraId="51E70931" w14:textId="77777777" w:rsidR="0024375F" w:rsidRDefault="0024375F" w:rsidP="0024375F">
      <w:pPr>
        <w:jc w:val="both"/>
        <w:rPr>
          <w:color w:val="000000"/>
        </w:rPr>
      </w:pPr>
      <w:r>
        <w:rPr>
          <w:i/>
          <w:iCs/>
          <w:color w:val="000000"/>
          <w:sz w:val="20"/>
        </w:rPr>
        <w:t xml:space="preserve">No </w:t>
      </w:r>
      <w:hyperlink r:id="rId198" w:tgtFrame="_parent" w:history="1">
        <w:r>
          <w:rPr>
            <w:rStyle w:val="Hyperlink"/>
            <w:i/>
            <w:iCs/>
            <w:sz w:val="20"/>
          </w:rPr>
          <w:t>XIV-821</w:t>
        </w:r>
      </w:hyperlink>
      <w:r>
        <w:rPr>
          <w:i/>
          <w:iCs/>
          <w:color w:val="000000"/>
          <w:sz w:val="20"/>
        </w:rPr>
        <w:t>, 23/12/2021, published in the RLA, 30/12/2021, ID code 2021-27710</w:t>
      </w:r>
    </w:p>
    <w:p w14:paraId="26D83B67" w14:textId="7450FC02" w:rsidR="00ED3A7E" w:rsidRPr="000550CF" w:rsidRDefault="00ED3A7E" w:rsidP="00F3494E">
      <w:pPr>
        <w:widowControl w:val="0"/>
        <w:ind w:firstLine="720"/>
        <w:jc w:val="both"/>
        <w:rPr>
          <w:szCs w:val="24"/>
          <w:lang w:eastAsia="lt-LT"/>
        </w:rPr>
      </w:pPr>
    </w:p>
    <w:p w14:paraId="506BB57C" w14:textId="77777777" w:rsidR="00ED3A7E" w:rsidRPr="000550CF" w:rsidRDefault="00ED3A7E" w:rsidP="00F3494E">
      <w:pPr>
        <w:widowControl w:val="0"/>
        <w:ind w:firstLine="720"/>
        <w:jc w:val="both"/>
        <w:rPr>
          <w:szCs w:val="24"/>
        </w:rPr>
      </w:pPr>
      <w:r>
        <w:t>2. The procedure for the application of sanctions is set forth in the Law on the Bank of Lithuania.</w:t>
      </w:r>
    </w:p>
    <w:p w14:paraId="4F1E326F" w14:textId="77777777" w:rsidR="00ED3A7E" w:rsidRPr="000550CF" w:rsidRDefault="00ED3A7E" w:rsidP="00F3494E">
      <w:pPr>
        <w:widowControl w:val="0"/>
        <w:ind w:firstLine="720"/>
        <w:jc w:val="both"/>
        <w:rPr>
          <w:szCs w:val="24"/>
          <w:lang w:eastAsia="lt-LT"/>
        </w:rPr>
      </w:pPr>
    </w:p>
    <w:p w14:paraId="5481A4BD" w14:textId="77777777" w:rsidR="00ED3A7E" w:rsidRPr="000550CF" w:rsidRDefault="00ED3A7E" w:rsidP="00F3494E">
      <w:pPr>
        <w:widowControl w:val="0"/>
        <w:ind w:firstLine="720"/>
        <w:jc w:val="both"/>
        <w:rPr>
          <w:szCs w:val="24"/>
        </w:rPr>
      </w:pPr>
      <w:r>
        <w:rPr>
          <w:b/>
          <w:szCs w:val="24"/>
        </w:rPr>
        <w:t>Article 113. Procedure for application of sanctions</w:t>
      </w:r>
    </w:p>
    <w:p w14:paraId="0C99CD64" w14:textId="77777777" w:rsidR="00ED3A7E" w:rsidRPr="000550CF" w:rsidRDefault="00ED3A7E" w:rsidP="00F3494E">
      <w:pPr>
        <w:widowControl w:val="0"/>
        <w:ind w:firstLine="720"/>
        <w:jc w:val="both"/>
        <w:rPr>
          <w:szCs w:val="24"/>
        </w:rPr>
      </w:pPr>
      <w:r>
        <w:t xml:space="preserve">1. When taking a decision on the imposition of sanctions, selecting a particular sanction (sanctions) and its amount the supervisory authority shall </w:t>
      </w:r>
      <w:proofErr w:type="gramStart"/>
      <w:r>
        <w:t>take into account</w:t>
      </w:r>
      <w:proofErr w:type="gramEnd"/>
      <w:r>
        <w:t xml:space="preserve"> Article 43</w:t>
      </w:r>
      <w:r>
        <w:rPr>
          <w:szCs w:val="24"/>
          <w:vertAlign w:val="superscript"/>
        </w:rPr>
        <w:t>3</w:t>
      </w:r>
      <w:r>
        <w:t xml:space="preserve">(7) of the Law on the Bank of Lithuania and the relevance of the benchmark for the financial stability and real </w:t>
      </w:r>
      <w:r>
        <w:lastRenderedPageBreak/>
        <w:t>economy.</w:t>
      </w:r>
    </w:p>
    <w:p w14:paraId="036929EF" w14:textId="77777777" w:rsidR="00ED3A7E" w:rsidRPr="000550CF" w:rsidRDefault="00ED3A7E" w:rsidP="00F3494E">
      <w:pPr>
        <w:widowControl w:val="0"/>
        <w:ind w:firstLine="720"/>
        <w:jc w:val="both"/>
        <w:rPr>
          <w:szCs w:val="24"/>
        </w:rPr>
      </w:pPr>
      <w:r>
        <w:rPr>
          <w:bCs/>
          <w:color w:val="000000"/>
          <w:szCs w:val="24"/>
        </w:rPr>
        <w:t xml:space="preserve">2. </w:t>
      </w:r>
      <w:r>
        <w:t xml:space="preserve">The decision of the supervisory authority to apply a sanction may be taken where not more than five years have elapsed from </w:t>
      </w:r>
      <w:r>
        <w:rPr>
          <w:color w:val="000000"/>
        </w:rPr>
        <w:t>the day of committing the infringement (in the case of a continuing infringement – from the last day of the infringement). Where the supervisory authority opens the investigation into the potential infringement of a legal act regulating financial market and notifies in writing the person suspected of committing the infringement of the legal act, from the day of servicing of such notification the period of limitation specified in this paragraph shall be terminated; however, in such case, the decision of the supervisory authority to apply the sanction may not be taken where more than ten years have elapsed from the day of committing the infringement (in the case of a continuing infringement – from the last day of the infringement)</w:t>
      </w:r>
      <w:r>
        <w:rPr>
          <w:bCs/>
          <w:color w:val="000000"/>
          <w:szCs w:val="24"/>
        </w:rPr>
        <w:t>.</w:t>
      </w:r>
    </w:p>
    <w:p w14:paraId="747A5691" w14:textId="77777777" w:rsidR="00ED3A7E" w:rsidRPr="000550CF" w:rsidRDefault="00ED3A7E" w:rsidP="00F3494E">
      <w:pPr>
        <w:widowControl w:val="0"/>
        <w:ind w:firstLine="720"/>
        <w:jc w:val="both"/>
        <w:rPr>
          <w:szCs w:val="24"/>
          <w:lang w:eastAsia="lt-LT"/>
        </w:rPr>
      </w:pPr>
    </w:p>
    <w:p w14:paraId="1457E0FB" w14:textId="77777777" w:rsidR="00ED3A7E" w:rsidRPr="000550CF" w:rsidRDefault="00ED3A7E" w:rsidP="00F3494E">
      <w:pPr>
        <w:widowControl w:val="0"/>
        <w:ind w:firstLine="720"/>
        <w:jc w:val="both"/>
        <w:rPr>
          <w:szCs w:val="24"/>
        </w:rPr>
      </w:pPr>
      <w:r>
        <w:rPr>
          <w:b/>
          <w:szCs w:val="24"/>
        </w:rPr>
        <w:t>Article 114. Fines</w:t>
      </w:r>
    </w:p>
    <w:p w14:paraId="0A5EAAAB" w14:textId="77777777" w:rsidR="00ED3A7E" w:rsidRPr="000550CF" w:rsidRDefault="00ED3A7E" w:rsidP="00F3494E">
      <w:pPr>
        <w:widowControl w:val="0"/>
        <w:ind w:firstLine="720"/>
        <w:jc w:val="both"/>
        <w:rPr>
          <w:szCs w:val="24"/>
        </w:rPr>
      </w:pPr>
      <w:r>
        <w:t xml:space="preserve">1. The supervisory authority shall impose the fines for the infringements referred to in Article 112(1), excluding points </w:t>
      </w:r>
      <w:proofErr w:type="gramStart"/>
      <w:r>
        <w:t>12 to 15,</w:t>
      </w:r>
      <w:proofErr w:type="gramEnd"/>
      <w:r>
        <w:t xml:space="preserve"> of this Law:</w:t>
      </w:r>
    </w:p>
    <w:p w14:paraId="6CC61F69" w14:textId="77777777" w:rsidR="00ED3A7E" w:rsidRPr="000550CF" w:rsidRDefault="00ED3A7E" w:rsidP="00F3494E">
      <w:pPr>
        <w:widowControl w:val="0"/>
        <w:ind w:firstLine="720"/>
        <w:jc w:val="both"/>
        <w:rPr>
          <w:szCs w:val="24"/>
        </w:rPr>
      </w:pPr>
      <w:r>
        <w:t xml:space="preserve">1) on natural persons – up to EUR 5 </w:t>
      </w:r>
      <w:proofErr w:type="gramStart"/>
      <w:r>
        <w:t>million;</w:t>
      </w:r>
      <w:proofErr w:type="gramEnd"/>
    </w:p>
    <w:p w14:paraId="276A99C9" w14:textId="2514C36D" w:rsidR="0024375F" w:rsidRDefault="00ED3A7E" w:rsidP="0024375F">
      <w:pPr>
        <w:spacing w:line="360" w:lineRule="atLeast"/>
        <w:ind w:firstLine="720"/>
        <w:jc w:val="both"/>
        <w:rPr>
          <w:color w:val="000000"/>
        </w:rPr>
      </w:pPr>
      <w:r>
        <w:t>2) for legal entities – up to EUR 5 million or up to 10% of gross annual income, whichever is higher.</w:t>
      </w:r>
    </w:p>
    <w:p w14:paraId="3F9A7848" w14:textId="77777777" w:rsidR="0024375F" w:rsidRDefault="0024375F" w:rsidP="0024375F">
      <w:pPr>
        <w:rPr>
          <w:color w:val="000000"/>
          <w:sz w:val="27"/>
          <w:szCs w:val="27"/>
        </w:rPr>
      </w:pPr>
      <w:r>
        <w:rPr>
          <w:i/>
          <w:iCs/>
          <w:color w:val="000000"/>
          <w:sz w:val="20"/>
        </w:rPr>
        <w:t>Amendments to the paragraph of the Article:</w:t>
      </w:r>
    </w:p>
    <w:p w14:paraId="240527D7" w14:textId="77777777" w:rsidR="0024375F" w:rsidRDefault="0024375F" w:rsidP="0024375F">
      <w:pPr>
        <w:jc w:val="both"/>
        <w:rPr>
          <w:color w:val="000000"/>
          <w:sz w:val="27"/>
          <w:szCs w:val="27"/>
        </w:rPr>
      </w:pPr>
      <w:r>
        <w:rPr>
          <w:i/>
          <w:iCs/>
          <w:color w:val="000000"/>
          <w:sz w:val="20"/>
        </w:rPr>
        <w:t xml:space="preserve">No </w:t>
      </w:r>
      <w:hyperlink r:id="rId199" w:tgtFrame="_parent" w:history="1">
        <w:r>
          <w:rPr>
            <w:rStyle w:val="Hyperlink"/>
            <w:i/>
            <w:iCs/>
            <w:sz w:val="20"/>
          </w:rPr>
          <w:t>XIV-821</w:t>
        </w:r>
      </w:hyperlink>
      <w:r>
        <w:rPr>
          <w:i/>
          <w:iCs/>
          <w:color w:val="000000"/>
          <w:sz w:val="20"/>
        </w:rPr>
        <w:t>, 23/12/2021, published in the RLA, 30/12/2021, ID code 2021-27710</w:t>
      </w:r>
    </w:p>
    <w:p w14:paraId="07AFEF51" w14:textId="74D63A18" w:rsidR="00ED3A7E" w:rsidRPr="000550CF" w:rsidRDefault="00ED3A7E" w:rsidP="00F3494E">
      <w:pPr>
        <w:widowControl w:val="0"/>
        <w:ind w:firstLine="720"/>
        <w:jc w:val="both"/>
        <w:rPr>
          <w:szCs w:val="24"/>
          <w:lang w:eastAsia="lt-LT"/>
        </w:rPr>
      </w:pPr>
    </w:p>
    <w:p w14:paraId="7AD69C38" w14:textId="7F8E90BB" w:rsidR="0024375F" w:rsidRPr="0024375F" w:rsidRDefault="00ED3A7E" w:rsidP="0024375F">
      <w:pPr>
        <w:spacing w:line="360" w:lineRule="atLeast"/>
        <w:ind w:firstLine="720"/>
        <w:jc w:val="both"/>
        <w:rPr>
          <w:color w:val="000000"/>
          <w:szCs w:val="24"/>
        </w:rPr>
      </w:pPr>
      <w:r>
        <w:t xml:space="preserve">2.  </w:t>
      </w:r>
      <w:r>
        <w:rPr>
          <w:color w:val="000000"/>
          <w:szCs w:val="24"/>
        </w:rPr>
        <w:t>The maximum amount of fines applied by the supervisory authority for infringements of Regulation (EU) No 2016/1011, Regulation (EU) No 2015/2365, Regulation (EU) No 596/2014, Regulation (EU) No 909/2014 and Regulation (EU) 2020/1503 shall be specified, respectively, under the provisions of Article 42 of Regulation (EU) No 2016/1011, Article 22 of Regulation (EU) No 2015/2365, Article 30 of  Regulation (EU) No 596/2014, Article 63 of Regulation (EU) No 909/2014 and Article 39 of Regulation (EU) 2020/1503.</w:t>
      </w:r>
    </w:p>
    <w:p w14:paraId="16341B0A" w14:textId="77777777" w:rsidR="0024375F" w:rsidRDefault="0024375F" w:rsidP="0024375F">
      <w:pPr>
        <w:rPr>
          <w:color w:val="000000"/>
          <w:sz w:val="27"/>
          <w:szCs w:val="27"/>
        </w:rPr>
      </w:pPr>
      <w:r>
        <w:rPr>
          <w:i/>
          <w:iCs/>
          <w:color w:val="000000"/>
          <w:sz w:val="20"/>
        </w:rPr>
        <w:t>Amendments to the paragraph of the Article:</w:t>
      </w:r>
    </w:p>
    <w:p w14:paraId="67FE0A80" w14:textId="77777777" w:rsidR="0024375F" w:rsidRDefault="0024375F" w:rsidP="0024375F">
      <w:pPr>
        <w:jc w:val="both"/>
        <w:rPr>
          <w:color w:val="000000"/>
          <w:sz w:val="27"/>
          <w:szCs w:val="27"/>
        </w:rPr>
      </w:pPr>
      <w:r>
        <w:rPr>
          <w:i/>
          <w:iCs/>
          <w:color w:val="000000"/>
          <w:sz w:val="20"/>
        </w:rPr>
        <w:t xml:space="preserve">No </w:t>
      </w:r>
      <w:hyperlink r:id="rId200" w:tgtFrame="_parent" w:history="1">
        <w:r>
          <w:rPr>
            <w:rStyle w:val="Hyperlink"/>
            <w:i/>
            <w:iCs/>
            <w:sz w:val="20"/>
          </w:rPr>
          <w:t>XIV-821</w:t>
        </w:r>
      </w:hyperlink>
      <w:r>
        <w:rPr>
          <w:i/>
          <w:iCs/>
          <w:color w:val="000000"/>
          <w:sz w:val="20"/>
        </w:rPr>
        <w:t>, 23/12/2021, published in the RLA, 30/12/2021, ID code 2021-27710</w:t>
      </w:r>
    </w:p>
    <w:p w14:paraId="037CA6C2" w14:textId="17E5AF5D" w:rsidR="00ED3A7E" w:rsidRPr="000550CF" w:rsidRDefault="00ED3A7E" w:rsidP="00F3494E">
      <w:pPr>
        <w:widowControl w:val="0"/>
        <w:ind w:firstLine="720"/>
        <w:jc w:val="both"/>
        <w:rPr>
          <w:szCs w:val="24"/>
          <w:lang w:eastAsia="lt-LT"/>
        </w:rPr>
      </w:pPr>
    </w:p>
    <w:p w14:paraId="60161A05" w14:textId="77777777" w:rsidR="00ED3A7E" w:rsidRPr="000550CF" w:rsidRDefault="00ED3A7E" w:rsidP="00F3494E">
      <w:pPr>
        <w:widowControl w:val="0"/>
        <w:ind w:firstLine="720"/>
        <w:jc w:val="both"/>
        <w:rPr>
          <w:szCs w:val="24"/>
        </w:rPr>
      </w:pPr>
      <w:r>
        <w:t xml:space="preserve">3. Total annual turnover of a legal person </w:t>
      </w:r>
      <w:proofErr w:type="gramStart"/>
      <w:r>
        <w:t>on the basis of</w:t>
      </w:r>
      <w:proofErr w:type="gramEnd"/>
      <w:r>
        <w:t xml:space="preserve"> which the amount of a fine is determined shall be established according to the data of the last available approved (signed) annual financial statements. Where a legal person or a foreign bank branch belongs to the parent undertaking or is a subsidiary undertaking, the total annual turnover on the basis of which the amount of a fine is determined shall be taken from the last available approved (signed) annual consolidated financial statements of the principal parent undertaking, or where a legal person is an association, its total annual turnover on the basis of which the amount of a fine is determined shall be the total annual turnover taken from their last available approved (signed) annual financial statements.</w:t>
      </w:r>
    </w:p>
    <w:p w14:paraId="4AF11ED6" w14:textId="77777777" w:rsidR="00ED3A7E" w:rsidRPr="000550CF" w:rsidRDefault="00ED3A7E" w:rsidP="00F3494E">
      <w:pPr>
        <w:widowControl w:val="0"/>
        <w:ind w:firstLine="720"/>
        <w:jc w:val="both"/>
        <w:rPr>
          <w:szCs w:val="24"/>
        </w:rPr>
      </w:pPr>
      <w:r>
        <w:t>4. Where the infringements listed in Article 112(1) of this Law, excluding the infringements referred to in paragraph 5 of this Article, resulted in illegally received income, other pecuniary advantage, losses avoided or damage incurred, and the amount of such income, other pecuniary advantage, losses avoided or damage incurred, if determinable, exceeded the amount of the fine referred to in paragraphs 1 or 2 of this Article, supervisory authority the supervisory authority shall have the right to impose the fine up to the double amount of the illegally received income, other pecuniary advantage, losses avoided or damage incurred.</w:t>
      </w:r>
    </w:p>
    <w:p w14:paraId="1F38DC99" w14:textId="77777777" w:rsidR="00ED3A7E" w:rsidRPr="000550CF" w:rsidRDefault="00ED3A7E" w:rsidP="00F3494E">
      <w:pPr>
        <w:widowControl w:val="0"/>
        <w:ind w:firstLine="720"/>
        <w:jc w:val="both"/>
        <w:rPr>
          <w:szCs w:val="24"/>
        </w:rPr>
      </w:pPr>
      <w:r>
        <w:t xml:space="preserve">5. Where the infringements of provisions of Regulation (EU) No 2016/1011, Regulation (EU) No 596/2014 or Regulation (EU) No 909/2014 resulted in illegally received income, other pecuniary advantage, losses avoided or damage incurred, and the amount of such income, other pecuniary advantage, losses avoided or damage incurred, if determinable, exceeded the amounts of fines specified Article 42 of Regulation (EU) No 2016/1011, Article 22 of Regulation (EU) No 2015/2365, Article 30 of  Regulation (EU) No 596/2014 and Article 63 of Regulation (EU) No 909/2014, the imposed fine shall be up to the triple amount of such illegally received income, other pecuniary </w:t>
      </w:r>
      <w:r>
        <w:lastRenderedPageBreak/>
        <w:t>advantage, losses avoided or damage incurred.</w:t>
      </w:r>
    </w:p>
    <w:p w14:paraId="63739FCA" w14:textId="77777777" w:rsidR="00ED3A7E" w:rsidRPr="000550CF" w:rsidRDefault="00ED3A7E" w:rsidP="00F3494E">
      <w:pPr>
        <w:ind w:firstLine="720"/>
        <w:jc w:val="both"/>
        <w:rPr>
          <w:szCs w:val="24"/>
        </w:rPr>
      </w:pPr>
      <w:r>
        <w:t>6. In the cases referred to in Article 112(1)(6) of this Law, the supervisory authority shall impose a fine in the amount of up to 1% of the total annual turnover per each day of the non-fulfilment or improper fulfilment of the mandatory instruction and where it is difficult or impossible to determine the total annual turnover – up to EUR 1 500.</w:t>
      </w:r>
    </w:p>
    <w:p w14:paraId="65C5E9CA" w14:textId="77777777" w:rsidR="00ED3A7E" w:rsidRPr="000550CF" w:rsidRDefault="00ED3A7E" w:rsidP="00F3494E">
      <w:pPr>
        <w:ind w:firstLine="720"/>
        <w:jc w:val="both"/>
        <w:rPr>
          <w:szCs w:val="24"/>
        </w:rPr>
      </w:pPr>
      <w:r>
        <w:t>7. Fines shall be calculated in accordance with the procedure set out in Article 43</w:t>
      </w:r>
      <w:r>
        <w:rPr>
          <w:bCs/>
          <w:szCs w:val="24"/>
          <w:vertAlign w:val="superscript"/>
        </w:rPr>
        <w:t>3</w:t>
      </w:r>
      <w:r>
        <w:t xml:space="preserve"> of the Law on the Bank of Lithuania.</w:t>
      </w:r>
    </w:p>
    <w:p w14:paraId="74A6C950" w14:textId="77777777" w:rsidR="00ED3A7E" w:rsidRPr="000550CF" w:rsidRDefault="00ED3A7E" w:rsidP="00F3494E">
      <w:pPr>
        <w:widowControl w:val="0"/>
        <w:ind w:firstLine="720"/>
        <w:jc w:val="both"/>
      </w:pPr>
    </w:p>
    <w:p w14:paraId="3D860796" w14:textId="77777777" w:rsidR="00ED3A7E" w:rsidRPr="000550CF" w:rsidRDefault="00ED3A7E" w:rsidP="00AC33E2">
      <w:pPr>
        <w:ind w:firstLine="720"/>
        <w:jc w:val="both"/>
        <w:rPr>
          <w:i/>
          <w:iCs/>
          <w:szCs w:val="24"/>
        </w:rPr>
      </w:pPr>
      <w:r>
        <w:rPr>
          <w:i/>
          <w:iCs/>
          <w:szCs w:val="24"/>
        </w:rPr>
        <w:t xml:space="preserve">I promulgate this Law passed by the Seimas of the Republic of Lithuania. </w:t>
      </w:r>
    </w:p>
    <w:p w14:paraId="59DDD357" w14:textId="77777777" w:rsidR="00ED3A7E" w:rsidRPr="000550CF" w:rsidRDefault="00ED3A7E" w:rsidP="00F3494E">
      <w:pPr>
        <w:ind w:firstLine="720"/>
        <w:jc w:val="both"/>
        <w:rPr>
          <w:i/>
          <w:iCs/>
          <w:sz w:val="22"/>
        </w:rPr>
      </w:pPr>
      <w:r>
        <w:rPr>
          <w:i/>
          <w:iCs/>
          <w:sz w:val="22"/>
        </w:rPr>
        <w:t xml:space="preserve"> </w:t>
      </w:r>
    </w:p>
    <w:p w14:paraId="2E01A63F" w14:textId="77777777" w:rsidR="00ED3A7E" w:rsidRPr="000550CF" w:rsidRDefault="00ED3A7E" w:rsidP="00F3494E">
      <w:pPr>
        <w:tabs>
          <w:tab w:val="right" w:pos="8730"/>
        </w:tabs>
        <w:rPr>
          <w:caps/>
          <w:sz w:val="22"/>
        </w:rPr>
      </w:pPr>
    </w:p>
    <w:p w14:paraId="1053791C" w14:textId="77777777" w:rsidR="00ED3A7E" w:rsidRPr="000550CF" w:rsidRDefault="00ED3A7E" w:rsidP="00F3494E">
      <w:pPr>
        <w:tabs>
          <w:tab w:val="right" w:pos="8730"/>
        </w:tabs>
        <w:rPr>
          <w:caps/>
          <w:sz w:val="22"/>
        </w:rPr>
      </w:pPr>
    </w:p>
    <w:p w14:paraId="6D59DFD1" w14:textId="77777777" w:rsidR="00ED3A7E" w:rsidRPr="000550CF" w:rsidRDefault="00ED3A7E" w:rsidP="00F3494E">
      <w:pPr>
        <w:tabs>
          <w:tab w:val="right" w:pos="8730"/>
        </w:tabs>
        <w:rPr>
          <w:caps/>
          <w:sz w:val="22"/>
        </w:rPr>
      </w:pPr>
    </w:p>
    <w:p w14:paraId="2BEC3B0E" w14:textId="77777777" w:rsidR="00ED3A7E" w:rsidRPr="000550CF" w:rsidRDefault="00ED3A7E" w:rsidP="00F3494E">
      <w:pPr>
        <w:tabs>
          <w:tab w:val="right" w:pos="8730"/>
        </w:tabs>
      </w:pPr>
      <w:r>
        <w:rPr>
          <w:caps/>
          <w:color w:val="000000"/>
          <w:szCs w:val="24"/>
        </w:rPr>
        <w:t>PRESIDENT OF THE REPUBLIC</w:t>
      </w:r>
      <w:r>
        <w:rPr>
          <w:caps/>
          <w:sz w:val="22"/>
        </w:rPr>
        <w:tab/>
      </w:r>
      <w:proofErr w:type="spellStart"/>
      <w:r>
        <w:rPr>
          <w:sz w:val="22"/>
        </w:rPr>
        <w:t>VALDAS</w:t>
      </w:r>
      <w:proofErr w:type="spellEnd"/>
      <w:r>
        <w:rPr>
          <w:sz w:val="22"/>
        </w:rPr>
        <w:t xml:space="preserve"> </w:t>
      </w:r>
      <w:proofErr w:type="spellStart"/>
      <w:r>
        <w:rPr>
          <w:sz w:val="22"/>
        </w:rPr>
        <w:t>ADAMKUS</w:t>
      </w:r>
      <w:proofErr w:type="spellEnd"/>
    </w:p>
    <w:p w14:paraId="20A251BE" w14:textId="77777777" w:rsidR="00ED3A7E" w:rsidRPr="000550CF" w:rsidRDefault="00ED3A7E" w:rsidP="00F3494E">
      <w:pPr>
        <w:widowControl w:val="0"/>
        <w:ind w:firstLine="720"/>
        <w:jc w:val="both"/>
        <w:rPr>
          <w:sz w:val="22"/>
        </w:rPr>
        <w:sectPr w:rsidR="00ED3A7E" w:rsidRPr="000550CF" w:rsidSect="007B3ADE">
          <w:headerReference w:type="even" r:id="rId201"/>
          <w:headerReference w:type="default" r:id="rId202"/>
          <w:footerReference w:type="even" r:id="rId203"/>
          <w:footerReference w:type="default" r:id="rId204"/>
          <w:headerReference w:type="first" r:id="rId205"/>
          <w:footerReference w:type="first" r:id="rId206"/>
          <w:type w:val="continuous"/>
          <w:pgSz w:w="11907" w:h="16840" w:code="9"/>
          <w:pgMar w:top="1134" w:right="567" w:bottom="1134" w:left="1701" w:header="709" w:footer="709" w:gutter="0"/>
          <w:cols w:space="1296"/>
          <w:formProt w:val="0"/>
          <w:titlePg/>
          <w:docGrid w:linePitch="326"/>
        </w:sectPr>
      </w:pPr>
    </w:p>
    <w:p w14:paraId="0E26AEB5" w14:textId="77777777" w:rsidR="00ED3A7E" w:rsidRPr="000550CF" w:rsidRDefault="00ED3A7E" w:rsidP="00F3494E"/>
    <w:p w14:paraId="7D091092" w14:textId="77777777" w:rsidR="00ED3A7E" w:rsidRPr="000550CF" w:rsidRDefault="00ED3A7E" w:rsidP="00F3494E">
      <w:pPr>
        <w:widowControl w:val="0"/>
        <w:ind w:firstLine="6480"/>
        <w:rPr>
          <w:szCs w:val="24"/>
        </w:rPr>
      </w:pPr>
      <w:r>
        <w:t xml:space="preserve">Annex to </w:t>
      </w:r>
    </w:p>
    <w:p w14:paraId="5FCDA16E" w14:textId="77777777" w:rsidR="00ED3A7E" w:rsidRPr="000550CF" w:rsidRDefault="00ED3A7E" w:rsidP="00AC33E2">
      <w:pPr>
        <w:widowControl w:val="0"/>
        <w:ind w:left="6480"/>
        <w:rPr>
          <w:szCs w:val="24"/>
        </w:rPr>
      </w:pPr>
      <w:r>
        <w:t>the Law of the Republic of Lithuania on Markets in</w:t>
      </w:r>
    </w:p>
    <w:p w14:paraId="6EB6E47B" w14:textId="77777777" w:rsidR="00ED3A7E" w:rsidRPr="000550CF" w:rsidRDefault="00ED3A7E" w:rsidP="00F3494E">
      <w:pPr>
        <w:widowControl w:val="0"/>
        <w:ind w:firstLine="720"/>
        <w:jc w:val="both"/>
        <w:rPr>
          <w:szCs w:val="24"/>
        </w:rPr>
      </w:pPr>
      <w:r>
        <w:tab/>
      </w:r>
      <w:r>
        <w:tab/>
      </w:r>
      <w:r>
        <w:tab/>
      </w:r>
      <w:r>
        <w:tab/>
      </w:r>
      <w:r>
        <w:tab/>
      </w:r>
      <w:r>
        <w:tab/>
      </w:r>
      <w:r>
        <w:tab/>
      </w:r>
      <w:r>
        <w:tab/>
        <w:t>Financial Instruments</w:t>
      </w:r>
    </w:p>
    <w:p w14:paraId="7968359F" w14:textId="77777777" w:rsidR="00ED3A7E" w:rsidRPr="000550CF" w:rsidRDefault="00ED3A7E" w:rsidP="00F3494E">
      <w:pPr>
        <w:widowControl w:val="0"/>
        <w:ind w:firstLine="720"/>
        <w:jc w:val="center"/>
        <w:rPr>
          <w:b/>
          <w:szCs w:val="24"/>
          <w:lang w:eastAsia="lt-LT"/>
        </w:rPr>
      </w:pPr>
    </w:p>
    <w:p w14:paraId="2DDE072E" w14:textId="77777777" w:rsidR="00ED3A7E" w:rsidRPr="000550CF" w:rsidRDefault="00ED3A7E" w:rsidP="00F3494E">
      <w:pPr>
        <w:widowControl w:val="0"/>
        <w:ind w:firstLine="720"/>
        <w:jc w:val="center"/>
        <w:rPr>
          <w:b/>
          <w:szCs w:val="24"/>
        </w:rPr>
      </w:pPr>
      <w:r>
        <w:rPr>
          <w:b/>
          <w:bCs/>
          <w:color w:val="000000"/>
          <w:szCs w:val="24"/>
        </w:rPr>
        <w:t>LEGAL ACTS OF THE EUROPEAN UNION IMPLEMENTED BY THIS LAW</w:t>
      </w:r>
    </w:p>
    <w:p w14:paraId="39C63146" w14:textId="77777777" w:rsidR="00ED3A7E" w:rsidRPr="000550CF" w:rsidRDefault="00ED3A7E" w:rsidP="00F3494E">
      <w:pPr>
        <w:widowControl w:val="0"/>
        <w:ind w:firstLine="720"/>
        <w:jc w:val="center"/>
        <w:rPr>
          <w:b/>
          <w:szCs w:val="24"/>
          <w:lang w:eastAsia="lt-LT"/>
        </w:rPr>
      </w:pPr>
    </w:p>
    <w:p w14:paraId="035D21CD" w14:textId="77777777" w:rsidR="00ED3A7E" w:rsidRPr="000550CF" w:rsidRDefault="00ED3A7E" w:rsidP="00F3494E">
      <w:pPr>
        <w:widowControl w:val="0"/>
        <w:ind w:firstLine="720"/>
        <w:jc w:val="both"/>
        <w:rPr>
          <w:szCs w:val="24"/>
        </w:rPr>
      </w:pPr>
      <w:r>
        <w:t>1. Directive 2001/34/EC of the European Parliament and of the Council of 28 May 2001 on the admission of securities to official stock exchange listing and on information to be published on those securities (OJ 2004, SE, Chapter 6, Volume 4, p. 24).</w:t>
      </w:r>
    </w:p>
    <w:p w14:paraId="26E66102" w14:textId="77777777" w:rsidR="00ED3A7E" w:rsidRPr="000550CF" w:rsidRDefault="00ED3A7E" w:rsidP="00F3494E">
      <w:pPr>
        <w:ind w:firstLine="720"/>
        <w:jc w:val="both"/>
      </w:pPr>
      <w:r>
        <w:t>2. Regulation (EC) No 1060/2009 of the European Parliament and of the Council of 16 September 2009 on credit rating agencies (OJ 2009 L 302, p. 1), as amended by Regulation (EU) No 462/2013 of the European Parliament and of the Council of 2013 May 21 (OJ 2013 L 146, p. 1).</w:t>
      </w:r>
    </w:p>
    <w:p w14:paraId="6F2451A8" w14:textId="77777777" w:rsidR="00ED3A7E" w:rsidRPr="000550CF" w:rsidRDefault="00ED3A7E" w:rsidP="00F3494E">
      <w:pPr>
        <w:widowControl w:val="0"/>
        <w:ind w:firstLine="720"/>
        <w:jc w:val="both"/>
        <w:rPr>
          <w:szCs w:val="24"/>
        </w:rPr>
      </w:pPr>
      <w:r>
        <w:t>3. Regulation (EU) No 236/2012 of the European Parliament and of the Council of 14 March 2012 on short selling and certain aspects of credit default swaps (OL 2012 L 86, p. 1).</w:t>
      </w:r>
    </w:p>
    <w:p w14:paraId="5F5D8241" w14:textId="77777777" w:rsidR="00ED3A7E" w:rsidRPr="000550CF" w:rsidRDefault="00ED3A7E" w:rsidP="00F3494E">
      <w:pPr>
        <w:widowControl w:val="0"/>
        <w:ind w:firstLine="720"/>
        <w:jc w:val="both"/>
        <w:rPr>
          <w:szCs w:val="24"/>
        </w:rPr>
      </w:pPr>
      <w:r>
        <w:t xml:space="preserve">4. Regulation (EU) No 648/2012 of the European Parliament and of the Council of 4 July 2012 on OTC derivatives, central </w:t>
      </w:r>
      <w:proofErr w:type="gramStart"/>
      <w:r>
        <w:t>counterparties</w:t>
      </w:r>
      <w:proofErr w:type="gramEnd"/>
      <w:r>
        <w:t xml:space="preserve"> and trade repositories (OJ 2012 L 201, p. 1).</w:t>
      </w:r>
    </w:p>
    <w:p w14:paraId="0722F588" w14:textId="723D684F" w:rsidR="0024375F" w:rsidRDefault="00ED3A7E" w:rsidP="0024375F">
      <w:pPr>
        <w:spacing w:line="360" w:lineRule="atLeast"/>
        <w:ind w:firstLine="720"/>
        <w:jc w:val="both"/>
        <w:rPr>
          <w:color w:val="000000"/>
          <w:sz w:val="27"/>
          <w:szCs w:val="27"/>
        </w:rPr>
      </w:pPr>
      <w:r>
        <w:t xml:space="preserve">5.  </w:t>
      </w:r>
      <w:r>
        <w:rPr>
          <w:color w:val="000000"/>
          <w:szCs w:val="24"/>
        </w:rPr>
        <w:t>Directive 2013/36/EU of the European Parliament and of the Council of 26 June 2013 on access to the activity of credit institutions and the prudential supervision of credit institutions and investment firms, amending Directive 2002/87/EC and repealing Directives 2006/48/EC and 2006/49/EC, as last amended by Directive (EU) 2019/2034 of the European Parliament and of the Council of 27 November 2019.</w:t>
      </w:r>
    </w:p>
    <w:p w14:paraId="6332156E" w14:textId="77777777" w:rsidR="0024375F" w:rsidRDefault="0024375F" w:rsidP="0024375F">
      <w:pPr>
        <w:rPr>
          <w:color w:val="000000"/>
          <w:sz w:val="27"/>
          <w:szCs w:val="27"/>
        </w:rPr>
      </w:pPr>
      <w:r>
        <w:rPr>
          <w:i/>
          <w:iCs/>
          <w:color w:val="000000"/>
          <w:sz w:val="20"/>
        </w:rPr>
        <w:t>Amendments to this item:</w:t>
      </w:r>
    </w:p>
    <w:p w14:paraId="136D118D" w14:textId="77777777" w:rsidR="0024375F" w:rsidRDefault="0024375F" w:rsidP="0024375F">
      <w:pPr>
        <w:jc w:val="both"/>
        <w:rPr>
          <w:color w:val="000000"/>
          <w:sz w:val="27"/>
          <w:szCs w:val="27"/>
        </w:rPr>
      </w:pPr>
      <w:r>
        <w:rPr>
          <w:i/>
          <w:iCs/>
          <w:color w:val="000000"/>
          <w:sz w:val="20"/>
        </w:rPr>
        <w:t xml:space="preserve">No </w:t>
      </w:r>
      <w:hyperlink r:id="rId207" w:tgtFrame="_parent" w:history="1">
        <w:r>
          <w:rPr>
            <w:rStyle w:val="Hyperlink"/>
            <w:i/>
            <w:iCs/>
            <w:sz w:val="20"/>
          </w:rPr>
          <w:t>XIV-767</w:t>
        </w:r>
      </w:hyperlink>
      <w:r>
        <w:rPr>
          <w:i/>
          <w:iCs/>
          <w:color w:val="000000"/>
          <w:sz w:val="20"/>
        </w:rPr>
        <w:t>, 14/12/2021, published in the RLA, 23/12/2021, ID code 2021-26896</w:t>
      </w:r>
    </w:p>
    <w:p w14:paraId="74BC57CB" w14:textId="0155CD1C" w:rsidR="0024375F" w:rsidRDefault="0024375F" w:rsidP="0024375F">
      <w:pPr>
        <w:jc w:val="both"/>
        <w:rPr>
          <w:color w:val="000000"/>
          <w:sz w:val="27"/>
          <w:szCs w:val="27"/>
        </w:rPr>
      </w:pPr>
      <w:r>
        <w:rPr>
          <w:i/>
          <w:iCs/>
          <w:color w:val="000000"/>
          <w:sz w:val="20"/>
        </w:rPr>
        <w:t xml:space="preserve">No </w:t>
      </w:r>
      <w:hyperlink r:id="rId208" w:tgtFrame="_parent" w:history="1">
        <w:r>
          <w:rPr>
            <w:rStyle w:val="Hyperlink"/>
            <w:i/>
            <w:iCs/>
            <w:sz w:val="20"/>
          </w:rPr>
          <w:t>XIV-821</w:t>
        </w:r>
      </w:hyperlink>
      <w:r>
        <w:rPr>
          <w:i/>
          <w:iCs/>
          <w:color w:val="000000"/>
          <w:sz w:val="20"/>
        </w:rPr>
        <w:t>, 23/12/2021, published in the RLA, 30/12/2021, ID code 2021-27710</w:t>
      </w:r>
    </w:p>
    <w:p w14:paraId="215AEAEE" w14:textId="78810DFD" w:rsidR="00ED3A7E" w:rsidRPr="000550CF" w:rsidRDefault="00ED3A7E" w:rsidP="00F3494E">
      <w:pPr>
        <w:widowControl w:val="0"/>
        <w:ind w:firstLine="720"/>
        <w:jc w:val="both"/>
        <w:rPr>
          <w:szCs w:val="24"/>
          <w:lang w:eastAsia="lt-LT"/>
        </w:rPr>
      </w:pPr>
    </w:p>
    <w:p w14:paraId="5B99BE06" w14:textId="2B5A81B1" w:rsidR="0024375F" w:rsidRPr="0024375F" w:rsidRDefault="00ED3A7E" w:rsidP="0024375F">
      <w:pPr>
        <w:spacing w:line="360" w:lineRule="atLeast"/>
        <w:ind w:firstLine="720"/>
        <w:jc w:val="both"/>
        <w:rPr>
          <w:color w:val="000000"/>
          <w:szCs w:val="24"/>
        </w:rPr>
      </w:pPr>
      <w:r>
        <w:t>6.</w:t>
      </w:r>
      <w:r>
        <w:rPr>
          <w:b/>
        </w:rPr>
        <w:t xml:space="preserve"> </w:t>
      </w:r>
      <w:r>
        <w:rPr>
          <w:color w:val="000000"/>
          <w:szCs w:val="24"/>
        </w:rPr>
        <w:t>Regulation (EU) No 575/2013 of the European Parliament and of the Council of 26 June 2013 on prudential requirements for credit institutions and investment firms and amending Regulation (EU) No 648/2012, as last amended by Regulation (EU) 2020/873 of the European Parliament and of the Council of 24 June 2020.</w:t>
      </w:r>
    </w:p>
    <w:p w14:paraId="341BD1DC" w14:textId="77777777" w:rsidR="0024375F" w:rsidRDefault="0024375F" w:rsidP="0024375F">
      <w:pPr>
        <w:rPr>
          <w:color w:val="000000"/>
          <w:sz w:val="27"/>
          <w:szCs w:val="27"/>
        </w:rPr>
      </w:pPr>
      <w:r>
        <w:rPr>
          <w:i/>
          <w:iCs/>
          <w:color w:val="000000"/>
          <w:sz w:val="20"/>
        </w:rPr>
        <w:t>Amendments to this item:</w:t>
      </w:r>
    </w:p>
    <w:p w14:paraId="2A4EAB0E" w14:textId="77777777" w:rsidR="0024375F" w:rsidRDefault="0024375F" w:rsidP="0024375F">
      <w:pPr>
        <w:jc w:val="both"/>
        <w:rPr>
          <w:color w:val="000000"/>
          <w:sz w:val="27"/>
          <w:szCs w:val="27"/>
        </w:rPr>
      </w:pPr>
      <w:r>
        <w:rPr>
          <w:i/>
          <w:iCs/>
          <w:color w:val="000000"/>
          <w:sz w:val="20"/>
        </w:rPr>
        <w:t xml:space="preserve">No </w:t>
      </w:r>
      <w:hyperlink r:id="rId209" w:tgtFrame="_parent" w:history="1">
        <w:r>
          <w:rPr>
            <w:rStyle w:val="Hyperlink"/>
            <w:i/>
            <w:iCs/>
            <w:sz w:val="20"/>
          </w:rPr>
          <w:t>XIV-767</w:t>
        </w:r>
      </w:hyperlink>
      <w:r>
        <w:rPr>
          <w:i/>
          <w:iCs/>
          <w:color w:val="000000"/>
          <w:sz w:val="20"/>
        </w:rPr>
        <w:t>, 14/12/2021, published in the RLA, 23/12/2021, ID code 2021-26896</w:t>
      </w:r>
    </w:p>
    <w:p w14:paraId="37F374D8" w14:textId="27051287" w:rsidR="00ED3A7E" w:rsidRPr="000550CF" w:rsidRDefault="00ED3A7E" w:rsidP="00F3494E">
      <w:pPr>
        <w:ind w:firstLine="720"/>
        <w:jc w:val="both"/>
        <w:rPr>
          <w:lang w:eastAsia="lt-LT"/>
        </w:rPr>
      </w:pPr>
    </w:p>
    <w:p w14:paraId="11D647C8" w14:textId="77777777" w:rsidR="00ED3A7E" w:rsidRPr="000550CF" w:rsidRDefault="00ED3A7E" w:rsidP="00F3494E">
      <w:pPr>
        <w:ind w:firstLine="720"/>
        <w:jc w:val="both"/>
      </w:pPr>
      <w:r>
        <w:t>7. Regulation (EU) No 575/2013 of the European Parliament and of the Council of 26 June 2013 on market abuse (market abuse regulation) and repealing Directive 2003/6/EC of the European Parliament and of the Council and Commission Directives 2003/124/EC, 2003/125/EC and 2004/72/EC (OJ 2014 L 173, p. 1), as last amended by Regulation (EU) No 2016/1033 of the European Parliament and of the Council of 23 June 2016 (OJ 2016 L 175, p. 1).</w:t>
      </w:r>
    </w:p>
    <w:p w14:paraId="0F91C3D8" w14:textId="072BBF83" w:rsidR="0024375F" w:rsidRPr="0024375F" w:rsidRDefault="00ED3A7E" w:rsidP="0024375F">
      <w:pPr>
        <w:spacing w:line="360" w:lineRule="atLeast"/>
        <w:ind w:firstLine="720"/>
        <w:jc w:val="both"/>
        <w:rPr>
          <w:color w:val="000000"/>
          <w:szCs w:val="24"/>
        </w:rPr>
      </w:pPr>
      <w:r>
        <w:t xml:space="preserve">8.  </w:t>
      </w:r>
      <w:r>
        <w:rPr>
          <w:color w:val="000000"/>
          <w:szCs w:val="24"/>
        </w:rPr>
        <w:t>Directive 2014/65/EU of the European Parliament and of the Council of 14 May 2014 on markets in financial instruments and amending Directive 2002/92/EC and Directive 2011/61/EU, as last amended by Directive (EU) 2021/338 of the European Parliament and of the Council of 16 February 2021.</w:t>
      </w:r>
    </w:p>
    <w:p w14:paraId="6612F8C1" w14:textId="77777777" w:rsidR="0024375F" w:rsidRDefault="0024375F" w:rsidP="0024375F">
      <w:pPr>
        <w:rPr>
          <w:color w:val="000000"/>
          <w:sz w:val="27"/>
          <w:szCs w:val="27"/>
        </w:rPr>
      </w:pPr>
      <w:r>
        <w:rPr>
          <w:i/>
          <w:iCs/>
          <w:color w:val="000000"/>
          <w:sz w:val="20"/>
        </w:rPr>
        <w:t>Amendments to this item:</w:t>
      </w:r>
    </w:p>
    <w:p w14:paraId="5B3F63CF" w14:textId="44327381" w:rsidR="0024375F" w:rsidRDefault="0024375F" w:rsidP="0024375F">
      <w:pPr>
        <w:jc w:val="both"/>
        <w:rPr>
          <w:color w:val="000000"/>
          <w:sz w:val="27"/>
          <w:szCs w:val="27"/>
        </w:rPr>
      </w:pPr>
      <w:r>
        <w:rPr>
          <w:i/>
          <w:iCs/>
          <w:color w:val="000000"/>
          <w:sz w:val="20"/>
        </w:rPr>
        <w:t xml:space="preserve">No </w:t>
      </w:r>
      <w:hyperlink r:id="rId210" w:tgtFrame="_parent" w:history="1">
        <w:r>
          <w:rPr>
            <w:rStyle w:val="Hyperlink"/>
            <w:i/>
            <w:iCs/>
            <w:sz w:val="20"/>
          </w:rPr>
          <w:t>XIV-821</w:t>
        </w:r>
      </w:hyperlink>
      <w:r>
        <w:rPr>
          <w:i/>
          <w:iCs/>
          <w:color w:val="000000"/>
          <w:sz w:val="20"/>
        </w:rPr>
        <w:t>, 23/12/2021, published in the RLA, 30/12/2021, ID code 2021-27710</w:t>
      </w:r>
    </w:p>
    <w:p w14:paraId="648C77CE" w14:textId="29E4F31D" w:rsidR="00ED3A7E" w:rsidRPr="000550CF" w:rsidRDefault="00ED3A7E" w:rsidP="00F3494E">
      <w:pPr>
        <w:ind w:firstLine="720"/>
        <w:jc w:val="both"/>
        <w:rPr>
          <w:lang w:eastAsia="lt-LT"/>
        </w:rPr>
      </w:pPr>
    </w:p>
    <w:p w14:paraId="7BDD03DB" w14:textId="77777777" w:rsidR="00ED3A7E" w:rsidRPr="000550CF" w:rsidRDefault="00ED3A7E" w:rsidP="00F3494E">
      <w:pPr>
        <w:ind w:firstLine="720"/>
        <w:jc w:val="both"/>
      </w:pPr>
      <w:r>
        <w:t xml:space="preserve">9. Regulation (EU) No 600/2014 of the European Parliament and of the Council of 15 May 2014 on markets in financial instruments and amending Regulation (EU) No 648/2012 (OJ 2014 </w:t>
      </w:r>
      <w:r>
        <w:lastRenderedPageBreak/>
        <w:t>L 173, p. 84), as last amended by Regulation (EU) No 2016/1033 of the European Parliament and of the Council of 23 June 2016 (OJ 2016 L 175, p. 1).</w:t>
      </w:r>
    </w:p>
    <w:p w14:paraId="4964F521" w14:textId="4DD6CED1" w:rsidR="00D010D5" w:rsidRPr="00D010D5" w:rsidRDefault="00ED3A7E" w:rsidP="00D010D5">
      <w:pPr>
        <w:spacing w:line="360" w:lineRule="atLeast"/>
        <w:ind w:firstLine="720"/>
        <w:jc w:val="both"/>
        <w:rPr>
          <w:color w:val="000000"/>
          <w:szCs w:val="24"/>
        </w:rPr>
      </w:pPr>
      <w:r>
        <w:t xml:space="preserve">10.  </w:t>
      </w:r>
      <w:r>
        <w:rPr>
          <w:color w:val="000000"/>
          <w:szCs w:val="24"/>
        </w:rPr>
        <w:t>Directive 2014/59/EU of the European Parliament and of the Council of 15 May 2014 establishing a framework for the recovery and resolution of credit institutions and investment firms and amending Council Directive 82/891/EEC, and Directives 2001/24/EC, 2002/47/EC, 2004/25/EC, 2005/56/EC, 2007/36/EC, 2011/35/EU, 2012/30/EU and 2013/36/EU, and Regulations (EU) No 1093/2010 and (EU) No 648/2012, of the European Parliament and of the Council, as last amended by Directive (EU) 2019/2034 of the European Parliament and of the Council of 27 November 2019.</w:t>
      </w:r>
    </w:p>
    <w:p w14:paraId="411CBDB1" w14:textId="77777777" w:rsidR="00D010D5" w:rsidRDefault="00D010D5" w:rsidP="00D010D5">
      <w:pPr>
        <w:rPr>
          <w:color w:val="000000"/>
          <w:sz w:val="27"/>
          <w:szCs w:val="27"/>
        </w:rPr>
      </w:pPr>
      <w:r>
        <w:rPr>
          <w:i/>
          <w:iCs/>
          <w:color w:val="000000"/>
          <w:sz w:val="20"/>
        </w:rPr>
        <w:t>Amendments to this item:</w:t>
      </w:r>
    </w:p>
    <w:p w14:paraId="06A60CD1" w14:textId="77777777" w:rsidR="00D010D5" w:rsidRDefault="00D010D5" w:rsidP="00D010D5">
      <w:pPr>
        <w:jc w:val="both"/>
        <w:rPr>
          <w:color w:val="000000"/>
          <w:sz w:val="27"/>
          <w:szCs w:val="27"/>
        </w:rPr>
      </w:pPr>
      <w:r>
        <w:rPr>
          <w:i/>
          <w:iCs/>
          <w:color w:val="000000"/>
          <w:sz w:val="20"/>
        </w:rPr>
        <w:t xml:space="preserve">No </w:t>
      </w:r>
      <w:hyperlink r:id="rId211" w:tgtFrame="_parent" w:history="1">
        <w:r>
          <w:rPr>
            <w:rStyle w:val="Hyperlink"/>
            <w:i/>
            <w:iCs/>
            <w:sz w:val="20"/>
          </w:rPr>
          <w:t>XIV-767</w:t>
        </w:r>
      </w:hyperlink>
      <w:r>
        <w:rPr>
          <w:i/>
          <w:iCs/>
          <w:color w:val="000000"/>
          <w:sz w:val="20"/>
        </w:rPr>
        <w:t>, 14/12/2021, published in the RLA, 23/12/2021, ID code 2021-26896</w:t>
      </w:r>
    </w:p>
    <w:p w14:paraId="2B46556A" w14:textId="77777777" w:rsidR="00D010D5" w:rsidRDefault="00D010D5" w:rsidP="00D010D5">
      <w:pPr>
        <w:jc w:val="both"/>
        <w:rPr>
          <w:color w:val="000000"/>
          <w:sz w:val="27"/>
          <w:szCs w:val="27"/>
        </w:rPr>
      </w:pPr>
      <w:r>
        <w:rPr>
          <w:i/>
          <w:iCs/>
          <w:color w:val="000000"/>
          <w:sz w:val="20"/>
        </w:rPr>
        <w:t xml:space="preserve">No </w:t>
      </w:r>
      <w:hyperlink r:id="rId212" w:tgtFrame="_parent" w:history="1">
        <w:r>
          <w:rPr>
            <w:rStyle w:val="Hyperlink"/>
            <w:i/>
            <w:iCs/>
            <w:sz w:val="20"/>
          </w:rPr>
          <w:t>XIV-821</w:t>
        </w:r>
      </w:hyperlink>
      <w:r>
        <w:rPr>
          <w:i/>
          <w:iCs/>
          <w:color w:val="000000"/>
          <w:sz w:val="20"/>
        </w:rPr>
        <w:t>, 23/12/2021, published in the RLA, 30/12/2021, ID code 2021-27710</w:t>
      </w:r>
    </w:p>
    <w:p w14:paraId="68E9E995" w14:textId="444792C8" w:rsidR="00ED3A7E" w:rsidRPr="000550CF" w:rsidRDefault="00ED3A7E" w:rsidP="00F3494E">
      <w:pPr>
        <w:ind w:firstLine="720"/>
        <w:jc w:val="both"/>
      </w:pPr>
    </w:p>
    <w:p w14:paraId="70B2F13C" w14:textId="77777777" w:rsidR="00ED3A7E" w:rsidRPr="000550CF" w:rsidRDefault="00ED3A7E" w:rsidP="00F3494E">
      <w:pPr>
        <w:ind w:firstLine="720"/>
        <w:jc w:val="both"/>
      </w:pPr>
      <w:r>
        <w:t>11. Regulation (EU) No 909/2014 of the European Parliament and of the Council of 23 July 2014 on improving securities settlement in the European Union and on central securities depositories and amending Directives 98/26/EC and 2014/65/EU and Regulation (EU) No 236/2012 (OL 2014 L 257, p. 1), as last amended by Regulation (EU) No 2016/1033 of the European Parliament and of the Council of 23 June 2016 (OL 2016 L 175, p. 1).</w:t>
      </w:r>
    </w:p>
    <w:p w14:paraId="1BDD9185" w14:textId="77777777" w:rsidR="00ED3A7E" w:rsidRPr="000550CF" w:rsidRDefault="00ED3A7E" w:rsidP="00F3494E">
      <w:pPr>
        <w:ind w:firstLine="720"/>
        <w:jc w:val="both"/>
      </w:pPr>
      <w:r>
        <w:t>12. Regulation (EU) No 1286/2014 of the European Parliament and of the Council of 26 November 2014 on key information documents for packaged retail and insurance-based investment products (</w:t>
      </w:r>
      <w:proofErr w:type="spellStart"/>
      <w:r>
        <w:t>PRIIPs</w:t>
      </w:r>
      <w:proofErr w:type="spellEnd"/>
      <w:r>
        <w:t>) (OJ 2014 L 352, p. 1).</w:t>
      </w:r>
    </w:p>
    <w:p w14:paraId="1E246593" w14:textId="77777777" w:rsidR="00ED3A7E" w:rsidRPr="000550CF" w:rsidRDefault="00ED3A7E" w:rsidP="00F3494E">
      <w:pPr>
        <w:ind w:firstLine="720"/>
        <w:jc w:val="both"/>
      </w:pPr>
      <w:r>
        <w:t xml:space="preserve">13. Regulation (EU) 2015/2365 of the European Parliament and of the Council of 25 November 2015 on transparency of securities financing transactions and of reuse and amending Regulation (EU) No 648/2012 (OJ 2015 L 337, p. 1). </w:t>
      </w:r>
    </w:p>
    <w:p w14:paraId="4CFACE7B" w14:textId="2149F8D7" w:rsidR="00D010D5" w:rsidRPr="00D010D5" w:rsidRDefault="00ED3A7E" w:rsidP="00D010D5">
      <w:pPr>
        <w:spacing w:line="360" w:lineRule="atLeast"/>
        <w:ind w:firstLine="720"/>
        <w:jc w:val="both"/>
        <w:rPr>
          <w:color w:val="000000"/>
          <w:szCs w:val="24"/>
        </w:rPr>
      </w:pPr>
      <w:r>
        <w:t xml:space="preserve">14.  </w:t>
      </w:r>
      <w:r>
        <w:rPr>
          <w:color w:val="000000"/>
          <w:szCs w:val="24"/>
        </w:rPr>
        <w:t>Regulation (EU) 2016/1011 of the European Parliament and of the Council of 8 June 2016 on indices used as benchmarks in financial instruments and financial contracts or to measure the performance of investment funds and amending Directives 2008/48/EC and 2014/17/EU and Regulation (EU) No 596/2014, as last amended by Regulation (EU) 2021/168 of the European Parliament and of the Council of 10 February 2021.</w:t>
      </w:r>
    </w:p>
    <w:p w14:paraId="4CD01AED" w14:textId="77777777" w:rsidR="00D010D5" w:rsidRDefault="00D010D5" w:rsidP="00D010D5">
      <w:pPr>
        <w:rPr>
          <w:color w:val="000000"/>
          <w:sz w:val="27"/>
          <w:szCs w:val="27"/>
        </w:rPr>
      </w:pPr>
      <w:r>
        <w:rPr>
          <w:i/>
          <w:iCs/>
          <w:color w:val="000000"/>
          <w:sz w:val="20"/>
        </w:rPr>
        <w:t>Amendments to this item:</w:t>
      </w:r>
    </w:p>
    <w:p w14:paraId="66A5D28F" w14:textId="77777777" w:rsidR="00D010D5" w:rsidRDefault="00D010D5" w:rsidP="00D010D5">
      <w:pPr>
        <w:jc w:val="both"/>
        <w:rPr>
          <w:color w:val="000000"/>
          <w:sz w:val="27"/>
          <w:szCs w:val="27"/>
        </w:rPr>
      </w:pPr>
      <w:r>
        <w:rPr>
          <w:i/>
          <w:iCs/>
          <w:color w:val="000000"/>
          <w:sz w:val="20"/>
        </w:rPr>
        <w:t xml:space="preserve">No </w:t>
      </w:r>
      <w:hyperlink r:id="rId213" w:tgtFrame="_parent" w:history="1">
        <w:r>
          <w:rPr>
            <w:rStyle w:val="Hyperlink"/>
            <w:i/>
            <w:iCs/>
            <w:sz w:val="20"/>
          </w:rPr>
          <w:t>XIV-821</w:t>
        </w:r>
      </w:hyperlink>
      <w:r>
        <w:rPr>
          <w:i/>
          <w:iCs/>
          <w:color w:val="000000"/>
          <w:sz w:val="20"/>
        </w:rPr>
        <w:t>, 23/12/2021, published in the RLA, 30/12/2021, ID code 2021-27710</w:t>
      </w:r>
    </w:p>
    <w:p w14:paraId="4C0CDF55" w14:textId="77777777" w:rsidR="00D010D5" w:rsidRDefault="00D010D5" w:rsidP="00D010D5">
      <w:pPr>
        <w:spacing w:line="400" w:lineRule="atLeast"/>
        <w:ind w:firstLine="720"/>
        <w:jc w:val="both"/>
        <w:rPr>
          <w:color w:val="000000"/>
        </w:rPr>
      </w:pPr>
      <w:r>
        <w:rPr>
          <w:color w:val="000000"/>
        </w:rPr>
        <w:t>15. Directive (EU) 2017/828 of the European Parliament and of the Council of 17 May 2017 amending Directive 2007/36/EC as regards the encouragement of long-term shareholder engagement. </w:t>
      </w:r>
    </w:p>
    <w:p w14:paraId="24E0A675" w14:textId="77777777" w:rsidR="00D010D5" w:rsidRPr="00BE49BD" w:rsidRDefault="00D010D5" w:rsidP="00D010D5">
      <w:pPr>
        <w:spacing w:line="400" w:lineRule="atLeast"/>
        <w:ind w:firstLine="720"/>
        <w:jc w:val="both"/>
        <w:rPr>
          <w:color w:val="000000"/>
        </w:rPr>
      </w:pPr>
      <w:bookmarkStart w:id="331" w:name="part_8a36de9ada12473885563b1339bb9359"/>
      <w:bookmarkEnd w:id="331"/>
      <w:r>
        <w:rPr>
          <w:color w:val="000000"/>
        </w:rPr>
        <w:t>16. Regulation (EU) 2017/1129 of the European Parliament and of the Council of 14 June 2017 on the prospectus to be published when securities are offered to the public or admitted to trading on a regulated market, and repealing Directive 2003/71/EC.</w:t>
      </w:r>
    </w:p>
    <w:p w14:paraId="595EA387" w14:textId="77777777" w:rsidR="00D010D5" w:rsidRPr="00BE49BD" w:rsidRDefault="00D010D5" w:rsidP="00D010D5">
      <w:pPr>
        <w:spacing w:line="360" w:lineRule="atLeast"/>
        <w:ind w:firstLine="720"/>
        <w:jc w:val="both"/>
        <w:rPr>
          <w:color w:val="000000"/>
        </w:rPr>
      </w:pPr>
      <w:bookmarkStart w:id="332" w:name="part_ae6800d0273a406c9460a3c698bc7542"/>
      <w:bookmarkEnd w:id="332"/>
      <w:r>
        <w:rPr>
          <w:color w:val="000000"/>
        </w:rPr>
        <w:t>17. Directive (EU) 2019/2034 of the European Parliament and of the Council of 27 November 2019 on the prudential supervision of investment firms and amending Directives 2002/87/EC, 2009/65/EC, 2011/61/EU, 2013/36/EU, 2014/59/EU and 2014/65/EU.</w:t>
      </w:r>
    </w:p>
    <w:p w14:paraId="1EB467C2" w14:textId="77777777" w:rsidR="00D010D5" w:rsidRDefault="00D010D5" w:rsidP="00D010D5">
      <w:pPr>
        <w:rPr>
          <w:color w:val="000000"/>
        </w:rPr>
      </w:pPr>
      <w:r>
        <w:rPr>
          <w:i/>
          <w:iCs/>
          <w:color w:val="000000"/>
          <w:sz w:val="20"/>
        </w:rPr>
        <w:t>Supplemented with the item:</w:t>
      </w:r>
    </w:p>
    <w:p w14:paraId="5359DAA5" w14:textId="17125C20" w:rsidR="00D010D5" w:rsidRDefault="00D010D5" w:rsidP="00D010D5">
      <w:pPr>
        <w:jc w:val="both"/>
        <w:rPr>
          <w:color w:val="000000"/>
        </w:rPr>
      </w:pPr>
      <w:r>
        <w:rPr>
          <w:i/>
          <w:iCs/>
          <w:color w:val="000000"/>
          <w:sz w:val="20"/>
        </w:rPr>
        <w:t xml:space="preserve">No </w:t>
      </w:r>
      <w:hyperlink r:id="rId214" w:tgtFrame="_parent" w:history="1">
        <w:r>
          <w:rPr>
            <w:rStyle w:val="Hyperlink"/>
            <w:i/>
            <w:iCs/>
            <w:sz w:val="20"/>
          </w:rPr>
          <w:t>XIV-821</w:t>
        </w:r>
      </w:hyperlink>
      <w:r>
        <w:rPr>
          <w:i/>
          <w:iCs/>
          <w:color w:val="000000"/>
          <w:sz w:val="20"/>
        </w:rPr>
        <w:t>, 23/12/2021, published in the RLA, 30/12/2021, ID code 2021-27710</w:t>
      </w:r>
    </w:p>
    <w:p w14:paraId="3925D272" w14:textId="77777777" w:rsidR="00D010D5" w:rsidRDefault="00D010D5" w:rsidP="00D010D5">
      <w:pPr>
        <w:spacing w:line="360" w:lineRule="atLeast"/>
        <w:ind w:firstLine="720"/>
        <w:jc w:val="both"/>
        <w:rPr>
          <w:color w:val="000000"/>
        </w:rPr>
      </w:pPr>
      <w:bookmarkStart w:id="333" w:name="part_e006d73c26504266a0502d2d08808f32"/>
      <w:bookmarkEnd w:id="333"/>
      <w:r>
        <w:rPr>
          <w:color w:val="000000"/>
        </w:rPr>
        <w:t>18. Regulation (EU) 2019/2033 of the European Parliament and of the Council of 27 November 2019 on the prudential requirements of investment firms and amending Regulations (EU) No 1093/2010, (EU) No 575/2013, (EU) No 600/2014 and (EU) No 806/2014.</w:t>
      </w:r>
    </w:p>
    <w:p w14:paraId="7B072578" w14:textId="77777777" w:rsidR="00D010D5" w:rsidRDefault="00D010D5" w:rsidP="00D010D5">
      <w:pPr>
        <w:rPr>
          <w:color w:val="000000"/>
        </w:rPr>
      </w:pPr>
      <w:r>
        <w:rPr>
          <w:i/>
          <w:iCs/>
          <w:color w:val="000000"/>
          <w:sz w:val="20"/>
        </w:rPr>
        <w:lastRenderedPageBreak/>
        <w:t>Supplemented with the item:</w:t>
      </w:r>
    </w:p>
    <w:p w14:paraId="07A74AED" w14:textId="57BEC013" w:rsidR="00D010D5" w:rsidRDefault="00D010D5" w:rsidP="00D010D5">
      <w:pPr>
        <w:jc w:val="both"/>
        <w:rPr>
          <w:color w:val="000000"/>
        </w:rPr>
      </w:pPr>
      <w:r>
        <w:rPr>
          <w:i/>
          <w:iCs/>
          <w:color w:val="000000"/>
          <w:sz w:val="20"/>
        </w:rPr>
        <w:t xml:space="preserve">No </w:t>
      </w:r>
      <w:hyperlink r:id="rId215" w:tgtFrame="_parent" w:history="1">
        <w:r>
          <w:rPr>
            <w:rStyle w:val="Hyperlink"/>
            <w:i/>
            <w:iCs/>
            <w:sz w:val="20"/>
          </w:rPr>
          <w:t>XIV-821</w:t>
        </w:r>
      </w:hyperlink>
      <w:r>
        <w:rPr>
          <w:i/>
          <w:iCs/>
          <w:color w:val="000000"/>
          <w:sz w:val="20"/>
        </w:rPr>
        <w:t>, 23/12/2021, published in the RLA, 30/12/2021, ID code 2021-27710</w:t>
      </w:r>
    </w:p>
    <w:p w14:paraId="37F22C15" w14:textId="77777777" w:rsidR="00D010D5" w:rsidRDefault="00D010D5" w:rsidP="00D010D5">
      <w:pPr>
        <w:spacing w:line="360" w:lineRule="atLeast"/>
        <w:ind w:firstLine="720"/>
        <w:jc w:val="both"/>
        <w:rPr>
          <w:color w:val="000000"/>
        </w:rPr>
      </w:pPr>
      <w:bookmarkStart w:id="334" w:name="part_3f4aef9a997445eea2e753df48b05007"/>
      <w:bookmarkEnd w:id="334"/>
      <w:r>
        <w:rPr>
          <w:color w:val="000000"/>
        </w:rPr>
        <w:t>19. Regulation (EU) 2019/2088 of the European Parliament and of the Council of 27 November 2019 on sustainability‐related disclosures in the financial services sector, as last amended by Regulation (EU) 2020/852 of the European Parliament and of the Council of 18 June 2020.</w:t>
      </w:r>
    </w:p>
    <w:p w14:paraId="6091EE21" w14:textId="77777777" w:rsidR="00D010D5" w:rsidRDefault="00D010D5" w:rsidP="00D010D5">
      <w:pPr>
        <w:rPr>
          <w:color w:val="000000"/>
        </w:rPr>
      </w:pPr>
      <w:r>
        <w:rPr>
          <w:i/>
          <w:iCs/>
          <w:color w:val="000000"/>
          <w:sz w:val="20"/>
        </w:rPr>
        <w:t>Supplemented with the item:</w:t>
      </w:r>
    </w:p>
    <w:p w14:paraId="38ACF58E" w14:textId="745A9447" w:rsidR="00D010D5" w:rsidRDefault="00D010D5" w:rsidP="00D010D5">
      <w:pPr>
        <w:jc w:val="both"/>
        <w:rPr>
          <w:color w:val="000000"/>
        </w:rPr>
      </w:pPr>
      <w:r>
        <w:rPr>
          <w:i/>
          <w:iCs/>
          <w:color w:val="000000"/>
          <w:sz w:val="20"/>
        </w:rPr>
        <w:t xml:space="preserve">No </w:t>
      </w:r>
      <w:hyperlink r:id="rId216" w:tgtFrame="_parent" w:history="1">
        <w:r>
          <w:rPr>
            <w:rStyle w:val="Hyperlink"/>
            <w:i/>
            <w:iCs/>
            <w:sz w:val="20"/>
          </w:rPr>
          <w:t>XIV-821</w:t>
        </w:r>
      </w:hyperlink>
      <w:r>
        <w:rPr>
          <w:i/>
          <w:iCs/>
          <w:color w:val="000000"/>
          <w:sz w:val="20"/>
        </w:rPr>
        <w:t>, 23/12/2021, published in the RLA, 30/12/2021, ID code 2021-27710</w:t>
      </w:r>
    </w:p>
    <w:p w14:paraId="5E5520DA" w14:textId="77777777" w:rsidR="00D010D5" w:rsidRDefault="00D010D5" w:rsidP="00D010D5">
      <w:pPr>
        <w:spacing w:line="360" w:lineRule="atLeast"/>
        <w:ind w:firstLine="720"/>
        <w:jc w:val="both"/>
        <w:rPr>
          <w:color w:val="000000"/>
        </w:rPr>
      </w:pPr>
      <w:bookmarkStart w:id="335" w:name="part_db9329279d31419aa845056487b83d9e"/>
      <w:bookmarkEnd w:id="335"/>
      <w:r>
        <w:rPr>
          <w:color w:val="000000"/>
        </w:rPr>
        <w:t>20. Regulation (EU) 2020/852 of the European Parliament and of the Council of 18 June 2020 on the establishment of a framework to facilitate sustainable investment, and amending Regulation (EU) 2019/2088.</w:t>
      </w:r>
    </w:p>
    <w:p w14:paraId="02DA23FD" w14:textId="77777777" w:rsidR="00D010D5" w:rsidRDefault="00D010D5" w:rsidP="00D010D5">
      <w:pPr>
        <w:rPr>
          <w:color w:val="000000"/>
        </w:rPr>
      </w:pPr>
      <w:r>
        <w:rPr>
          <w:i/>
          <w:iCs/>
          <w:color w:val="000000"/>
          <w:sz w:val="20"/>
        </w:rPr>
        <w:t>Supplemented with the item:</w:t>
      </w:r>
    </w:p>
    <w:p w14:paraId="67507B79" w14:textId="5A2FA107" w:rsidR="00D010D5" w:rsidRDefault="00D010D5" w:rsidP="00D010D5">
      <w:pPr>
        <w:jc w:val="both"/>
        <w:rPr>
          <w:color w:val="000000"/>
        </w:rPr>
      </w:pPr>
      <w:r>
        <w:rPr>
          <w:i/>
          <w:iCs/>
          <w:color w:val="000000"/>
          <w:sz w:val="20"/>
        </w:rPr>
        <w:t xml:space="preserve">No </w:t>
      </w:r>
      <w:hyperlink r:id="rId217" w:tgtFrame="_parent" w:history="1">
        <w:r>
          <w:rPr>
            <w:rStyle w:val="Hyperlink"/>
            <w:i/>
            <w:iCs/>
            <w:sz w:val="20"/>
          </w:rPr>
          <w:t>XIV-821</w:t>
        </w:r>
      </w:hyperlink>
      <w:r>
        <w:rPr>
          <w:i/>
          <w:iCs/>
          <w:color w:val="000000"/>
          <w:sz w:val="20"/>
        </w:rPr>
        <w:t>, 23/12/2021, published in the RLA, 30/12/2021, ID code 2021-27710</w:t>
      </w:r>
    </w:p>
    <w:p w14:paraId="159DB0EF" w14:textId="77777777" w:rsidR="00D010D5" w:rsidRDefault="00D010D5" w:rsidP="00D010D5">
      <w:pPr>
        <w:spacing w:line="360" w:lineRule="atLeast"/>
        <w:ind w:firstLine="720"/>
        <w:jc w:val="both"/>
        <w:rPr>
          <w:color w:val="000000"/>
        </w:rPr>
      </w:pPr>
      <w:bookmarkStart w:id="336" w:name="part_dd39ba656c47421f85335f9058e73e02"/>
      <w:bookmarkEnd w:id="336"/>
      <w:r>
        <w:rPr>
          <w:color w:val="000000"/>
        </w:rPr>
        <w:t>21. Regulation (EU) 2020/1503 of the European Parliament and of the Council of 7 October 2020 on European crowdfunding service providers for business, and amending Regulation (EU) 2017/1129 and Directive (EU) 2019/1937, as last amended by Commission Delegated Regulation (EU) 2022/1988 of 12 July 2022.</w:t>
      </w:r>
    </w:p>
    <w:p w14:paraId="5D997F2A" w14:textId="77777777" w:rsidR="00D010D5" w:rsidRDefault="00D010D5" w:rsidP="00D010D5">
      <w:pPr>
        <w:rPr>
          <w:color w:val="000000"/>
        </w:rPr>
      </w:pPr>
      <w:r>
        <w:rPr>
          <w:i/>
          <w:iCs/>
          <w:color w:val="000000"/>
          <w:sz w:val="20"/>
        </w:rPr>
        <w:t>Supplemented with the item:</w:t>
      </w:r>
    </w:p>
    <w:p w14:paraId="64B04CE4" w14:textId="77777777" w:rsidR="00D010D5" w:rsidRDefault="00D010D5" w:rsidP="00D010D5">
      <w:pPr>
        <w:jc w:val="both"/>
        <w:rPr>
          <w:color w:val="000000"/>
        </w:rPr>
      </w:pPr>
      <w:r>
        <w:rPr>
          <w:i/>
          <w:iCs/>
          <w:color w:val="000000"/>
          <w:sz w:val="20"/>
        </w:rPr>
        <w:t xml:space="preserve">No </w:t>
      </w:r>
      <w:hyperlink r:id="rId218" w:tgtFrame="_parent" w:history="1">
        <w:r>
          <w:rPr>
            <w:rStyle w:val="Hyperlink"/>
            <w:i/>
            <w:iCs/>
            <w:sz w:val="20"/>
          </w:rPr>
          <w:t>XIV-821</w:t>
        </w:r>
      </w:hyperlink>
      <w:r>
        <w:rPr>
          <w:i/>
          <w:iCs/>
          <w:color w:val="000000"/>
          <w:sz w:val="20"/>
        </w:rPr>
        <w:t>, 23/12/2021, published in the RLA, 30/12/2021, ID code 2021-27710</w:t>
      </w:r>
    </w:p>
    <w:p w14:paraId="5A82B07A" w14:textId="77777777" w:rsidR="00D010D5" w:rsidRDefault="00D010D5" w:rsidP="00D010D5">
      <w:pPr>
        <w:rPr>
          <w:color w:val="000000"/>
        </w:rPr>
      </w:pPr>
      <w:r>
        <w:rPr>
          <w:i/>
          <w:iCs/>
          <w:color w:val="000000"/>
          <w:sz w:val="20"/>
        </w:rPr>
        <w:t>Amendments to this item:</w:t>
      </w:r>
    </w:p>
    <w:p w14:paraId="71A13910" w14:textId="180CF296" w:rsidR="00D010D5" w:rsidRDefault="00D010D5" w:rsidP="00D010D5">
      <w:pPr>
        <w:jc w:val="both"/>
        <w:rPr>
          <w:color w:val="000000"/>
        </w:rPr>
      </w:pPr>
      <w:r>
        <w:rPr>
          <w:i/>
          <w:iCs/>
          <w:color w:val="000000"/>
          <w:sz w:val="20"/>
        </w:rPr>
        <w:t xml:space="preserve">No </w:t>
      </w:r>
      <w:hyperlink r:id="rId219" w:tgtFrame="_parent" w:history="1">
        <w:r>
          <w:rPr>
            <w:rStyle w:val="Hyperlink"/>
            <w:i/>
            <w:iCs/>
            <w:sz w:val="20"/>
          </w:rPr>
          <w:t>XIV-1495</w:t>
        </w:r>
      </w:hyperlink>
      <w:r>
        <w:rPr>
          <w:i/>
          <w:iCs/>
          <w:color w:val="000000"/>
          <w:sz w:val="20"/>
        </w:rPr>
        <w:t>, 08/11/2022, published in the RLA, 09/11/2022, ID code 2022-22683</w:t>
      </w:r>
    </w:p>
    <w:p w14:paraId="511711B9" w14:textId="77777777" w:rsidR="00D010D5" w:rsidRDefault="00D010D5" w:rsidP="00D010D5">
      <w:pPr>
        <w:spacing w:line="360" w:lineRule="atLeast"/>
        <w:ind w:firstLine="720"/>
        <w:jc w:val="both"/>
        <w:rPr>
          <w:color w:val="000000"/>
        </w:rPr>
      </w:pPr>
      <w:bookmarkStart w:id="337" w:name="part_e831c49f0dd441b8a3fccad14f620290"/>
      <w:bookmarkEnd w:id="337"/>
      <w:r>
        <w:rPr>
          <w:color w:val="000000"/>
        </w:rPr>
        <w:t>22. Regulation (EU) 2021/23 of the European Parliament and of the Council of 16 December 2020 on a framework for the recovery and resolution of central counterparties and amending Regulations (EU) No 1095/2010, (EU) No 648/2012, (EU) No 600/2014, (EU) No 806/2014 and (EU) 2015/2365 and Directives 2002/47/EC, 2004/25/EC, 2007/36/EC, 2014/59/EU and (EU) 2017/1132.</w:t>
      </w:r>
    </w:p>
    <w:p w14:paraId="7D0FCA3C" w14:textId="77777777" w:rsidR="00D010D5" w:rsidRDefault="00D010D5" w:rsidP="00D010D5">
      <w:pPr>
        <w:rPr>
          <w:color w:val="000000"/>
        </w:rPr>
      </w:pPr>
      <w:r>
        <w:rPr>
          <w:i/>
          <w:iCs/>
          <w:color w:val="000000"/>
          <w:sz w:val="20"/>
        </w:rPr>
        <w:t>Supplemented with the item:</w:t>
      </w:r>
    </w:p>
    <w:p w14:paraId="61CE4C71" w14:textId="77777777" w:rsidR="00D010D5" w:rsidRDefault="00D010D5" w:rsidP="00D010D5">
      <w:pPr>
        <w:jc w:val="both"/>
        <w:rPr>
          <w:color w:val="000000"/>
        </w:rPr>
      </w:pPr>
      <w:r>
        <w:rPr>
          <w:i/>
          <w:iCs/>
          <w:color w:val="000000"/>
          <w:sz w:val="20"/>
        </w:rPr>
        <w:t xml:space="preserve">No </w:t>
      </w:r>
      <w:hyperlink r:id="rId220" w:tgtFrame="_parent" w:history="1">
        <w:r>
          <w:rPr>
            <w:rStyle w:val="Hyperlink"/>
            <w:i/>
            <w:iCs/>
            <w:sz w:val="20"/>
          </w:rPr>
          <w:t>XIV-1455</w:t>
        </w:r>
      </w:hyperlink>
      <w:r>
        <w:rPr>
          <w:i/>
          <w:iCs/>
          <w:color w:val="000000"/>
          <w:sz w:val="20"/>
        </w:rPr>
        <w:t>, 27/10/2022, published in the RLA, 07/11/2022, ID code 2022-22566</w:t>
      </w:r>
    </w:p>
    <w:p w14:paraId="42577393" w14:textId="43C32229" w:rsidR="00D010D5" w:rsidRDefault="00D010D5" w:rsidP="00D010D5">
      <w:pPr>
        <w:rPr>
          <w:color w:val="000000"/>
        </w:rPr>
      </w:pPr>
    </w:p>
    <w:p w14:paraId="2FF9B727" w14:textId="77777777" w:rsidR="00D010D5" w:rsidRDefault="00D010D5" w:rsidP="00D010D5">
      <w:pPr>
        <w:rPr>
          <w:color w:val="000000"/>
          <w:sz w:val="27"/>
          <w:szCs w:val="27"/>
        </w:rPr>
      </w:pPr>
      <w:r>
        <w:rPr>
          <w:i/>
          <w:iCs/>
          <w:color w:val="000000"/>
          <w:sz w:val="20"/>
        </w:rPr>
        <w:t>Amendments to the Annex.</w:t>
      </w:r>
    </w:p>
    <w:p w14:paraId="19F42A76" w14:textId="77777777" w:rsidR="00D010D5" w:rsidRDefault="00D010D5" w:rsidP="00D010D5">
      <w:pPr>
        <w:jc w:val="both"/>
        <w:rPr>
          <w:color w:val="000000"/>
          <w:sz w:val="27"/>
          <w:szCs w:val="27"/>
        </w:rPr>
      </w:pPr>
      <w:r>
        <w:rPr>
          <w:i/>
          <w:iCs/>
          <w:color w:val="000000"/>
          <w:sz w:val="20"/>
        </w:rPr>
        <w:t xml:space="preserve">No </w:t>
      </w:r>
      <w:hyperlink r:id="rId221" w:tgtFrame="_parent" w:history="1">
        <w:r>
          <w:rPr>
            <w:rStyle w:val="Hyperlink"/>
            <w:i/>
            <w:iCs/>
            <w:sz w:val="20"/>
          </w:rPr>
          <w:t>XII-2057</w:t>
        </w:r>
      </w:hyperlink>
      <w:r>
        <w:rPr>
          <w:i/>
          <w:iCs/>
          <w:color w:val="000000"/>
          <w:sz w:val="20"/>
        </w:rPr>
        <w:t>, 24/11/2015, published in the RLA, 02/12/2015, ID code 2015-19168</w:t>
      </w:r>
    </w:p>
    <w:p w14:paraId="470DBBCC" w14:textId="77777777" w:rsidR="00D010D5" w:rsidRDefault="00D010D5" w:rsidP="00D010D5">
      <w:pPr>
        <w:jc w:val="both"/>
        <w:rPr>
          <w:color w:val="000000"/>
          <w:sz w:val="27"/>
          <w:szCs w:val="27"/>
        </w:rPr>
      </w:pPr>
      <w:r>
        <w:rPr>
          <w:i/>
          <w:iCs/>
          <w:color w:val="000000"/>
          <w:sz w:val="20"/>
        </w:rPr>
        <w:t xml:space="preserve">No </w:t>
      </w:r>
      <w:hyperlink r:id="rId222" w:tgtFrame="_parent" w:history="1">
        <w:r>
          <w:rPr>
            <w:rStyle w:val="Hyperlink"/>
            <w:i/>
            <w:iCs/>
            <w:sz w:val="20"/>
          </w:rPr>
          <w:t>XIII-2974</w:t>
        </w:r>
      </w:hyperlink>
      <w:r>
        <w:rPr>
          <w:i/>
          <w:iCs/>
          <w:color w:val="000000"/>
          <w:sz w:val="20"/>
        </w:rPr>
        <w:t>, 21/05/2020, published in the RLA, 29/05/2020, ID code 2020-11674</w:t>
      </w:r>
    </w:p>
    <w:p w14:paraId="74EA4D29" w14:textId="3002452E" w:rsidR="00D010D5" w:rsidRDefault="00D010D5" w:rsidP="00D010D5">
      <w:pPr>
        <w:rPr>
          <w:color w:val="000000"/>
          <w:sz w:val="27"/>
          <w:szCs w:val="27"/>
        </w:rPr>
      </w:pPr>
    </w:p>
    <w:p w14:paraId="5770354D" w14:textId="77777777" w:rsidR="00ED3A7E" w:rsidRPr="000550CF" w:rsidRDefault="00ED3A7E" w:rsidP="00F3494E">
      <w:pPr>
        <w:rPr>
          <w:rFonts w:eastAsia="MS Mincho"/>
          <w:b/>
          <w:bCs/>
          <w:sz w:val="20"/>
        </w:rPr>
      </w:pPr>
      <w:r>
        <w:rPr>
          <w:b/>
          <w:bCs/>
          <w:sz w:val="20"/>
        </w:rPr>
        <w:t>Amendments:</w:t>
      </w:r>
    </w:p>
    <w:p w14:paraId="06B9A172" w14:textId="77777777" w:rsidR="00ED3A7E" w:rsidRPr="000550CF" w:rsidRDefault="00ED3A7E" w:rsidP="00F3494E">
      <w:pPr>
        <w:rPr>
          <w:rFonts w:eastAsia="MS Mincho"/>
          <w:sz w:val="20"/>
        </w:rPr>
      </w:pPr>
    </w:p>
    <w:p w14:paraId="1A734571" w14:textId="77777777" w:rsidR="00ED3A7E" w:rsidRPr="000550CF" w:rsidRDefault="00ED3A7E" w:rsidP="00F3494E">
      <w:pPr>
        <w:rPr>
          <w:rFonts w:eastAsia="MS Mincho"/>
          <w:sz w:val="20"/>
        </w:rPr>
      </w:pPr>
      <w:r>
        <w:rPr>
          <w:sz w:val="20"/>
        </w:rPr>
        <w:t>1.</w:t>
      </w:r>
    </w:p>
    <w:p w14:paraId="533BCE46" w14:textId="77777777" w:rsidR="00ED3A7E" w:rsidRPr="000550CF" w:rsidRDefault="00ED3A7E" w:rsidP="00F3494E">
      <w:pPr>
        <w:rPr>
          <w:rFonts w:eastAsia="MS Mincho"/>
          <w:sz w:val="20"/>
        </w:rPr>
      </w:pPr>
      <w:r>
        <w:rPr>
          <w:sz w:val="20"/>
        </w:rPr>
        <w:t>Republic of Lithuania Seimas, Law</w:t>
      </w:r>
    </w:p>
    <w:p w14:paraId="3865458C" w14:textId="77777777" w:rsidR="00ED3A7E" w:rsidRPr="000550CF" w:rsidRDefault="00ED3A7E" w:rsidP="00F3494E">
      <w:pPr>
        <w:rPr>
          <w:rFonts w:eastAsia="MS Mincho"/>
          <w:sz w:val="20"/>
        </w:rPr>
      </w:pPr>
      <w:r>
        <w:rPr>
          <w:sz w:val="20"/>
        </w:rPr>
        <w:t xml:space="preserve">No </w:t>
      </w:r>
      <w:hyperlink r:id="rId223" w:history="1">
        <w:r>
          <w:rPr>
            <w:color w:val="0000FF"/>
            <w:sz w:val="20"/>
            <w:u w:val="single"/>
          </w:rPr>
          <w:t>X-1776</w:t>
        </w:r>
      </w:hyperlink>
      <w:r>
        <w:rPr>
          <w:sz w:val="20"/>
        </w:rPr>
        <w:t>, 06-11-2008, Official Gazette, 2008, No 131-5026 (15-11-2008)</w:t>
      </w:r>
    </w:p>
    <w:p w14:paraId="2029D7D7" w14:textId="77777777" w:rsidR="00ED3A7E" w:rsidRPr="000550CF" w:rsidRDefault="00ED3A7E" w:rsidP="00F3494E">
      <w:pPr>
        <w:rPr>
          <w:rFonts w:eastAsia="MS Mincho"/>
          <w:sz w:val="20"/>
        </w:rPr>
      </w:pPr>
      <w:r>
        <w:rPr>
          <w:sz w:val="20"/>
        </w:rPr>
        <w:t xml:space="preserve">LAW AMENDING ARTICLE 70 OF THE LAW ON MARKETS IN FINANCIAL INSTRUMENTS </w:t>
      </w:r>
    </w:p>
    <w:p w14:paraId="004A0DA1" w14:textId="77777777" w:rsidR="00ED3A7E" w:rsidRPr="000550CF" w:rsidRDefault="00ED3A7E" w:rsidP="00F3494E">
      <w:pPr>
        <w:jc w:val="both"/>
        <w:rPr>
          <w:rFonts w:eastAsia="MS Mincho"/>
          <w:sz w:val="20"/>
        </w:rPr>
      </w:pPr>
    </w:p>
    <w:p w14:paraId="33F987A5" w14:textId="77777777" w:rsidR="00ED3A7E" w:rsidRPr="000550CF" w:rsidRDefault="00ED3A7E" w:rsidP="00F3494E">
      <w:pPr>
        <w:jc w:val="both"/>
        <w:rPr>
          <w:sz w:val="20"/>
        </w:rPr>
      </w:pPr>
      <w:r>
        <w:rPr>
          <w:sz w:val="20"/>
        </w:rPr>
        <w:t>2.</w:t>
      </w:r>
    </w:p>
    <w:p w14:paraId="06D59A97" w14:textId="77777777" w:rsidR="00ED3A7E" w:rsidRPr="000550CF" w:rsidRDefault="00ED3A7E" w:rsidP="00F3494E">
      <w:pPr>
        <w:jc w:val="both"/>
        <w:rPr>
          <w:sz w:val="20"/>
        </w:rPr>
      </w:pPr>
      <w:r>
        <w:rPr>
          <w:sz w:val="20"/>
        </w:rPr>
        <w:t>Republic of Lithuania Seimas, Law</w:t>
      </w:r>
    </w:p>
    <w:p w14:paraId="4B9845F5" w14:textId="77777777" w:rsidR="00ED3A7E" w:rsidRPr="000550CF" w:rsidRDefault="00ED3A7E" w:rsidP="00F3494E">
      <w:pPr>
        <w:jc w:val="both"/>
        <w:rPr>
          <w:sz w:val="20"/>
        </w:rPr>
      </w:pPr>
      <w:r>
        <w:rPr>
          <w:sz w:val="20"/>
        </w:rPr>
        <w:t xml:space="preserve">No </w:t>
      </w:r>
      <w:hyperlink r:id="rId224" w:history="1">
        <w:r>
          <w:rPr>
            <w:color w:val="0000FF"/>
            <w:sz w:val="20"/>
            <w:u w:val="single"/>
          </w:rPr>
          <w:t>XI-199</w:t>
        </w:r>
      </w:hyperlink>
      <w:r>
        <w:rPr>
          <w:sz w:val="20"/>
        </w:rPr>
        <w:t>, 19-03-2009, Official Gazette, 2009, No 38-1438 (04-04-2009)</w:t>
      </w:r>
    </w:p>
    <w:p w14:paraId="2BC09D33" w14:textId="77777777" w:rsidR="00ED3A7E" w:rsidRPr="000550CF" w:rsidRDefault="00ED3A7E" w:rsidP="002453FA">
      <w:pPr>
        <w:rPr>
          <w:sz w:val="20"/>
        </w:rPr>
      </w:pPr>
      <w:r>
        <w:rPr>
          <w:sz w:val="20"/>
        </w:rPr>
        <w:t>LAW AMENDING AND SUPPLEMENTING ARTICLES 3, 7, 10, 14, 20, 41, 42, 43, 47, 51, 62, 64, 80, 82, 83, 85, 86, 95 AND 97 OF AND THE ANNEX TO THE LAW ON MARKETS IN FINANCIAL INSTRUMENTS AND SUPPLEMENTING THE LAW WITH ARTICLE 85(1)</w:t>
      </w:r>
    </w:p>
    <w:p w14:paraId="175B7529" w14:textId="77777777" w:rsidR="00ED3A7E" w:rsidRPr="000550CF" w:rsidRDefault="00ED3A7E" w:rsidP="002453FA">
      <w:pPr>
        <w:jc w:val="both"/>
        <w:rPr>
          <w:sz w:val="20"/>
        </w:rPr>
      </w:pPr>
      <w:r>
        <w:rPr>
          <w:sz w:val="20"/>
        </w:rPr>
        <w:t>Applications filed with the Securities Commission before the entry into force of this Law for the approval of the acquisition or increase of a qualifying holding of a financial brokerage firm or of a market operator of a regulated market shall be examined and related decisions shall be taken in accordance with the procedure established by legal acts applicable at the time of filing of the application.</w:t>
      </w:r>
    </w:p>
    <w:p w14:paraId="2AAA7240" w14:textId="77777777" w:rsidR="00ED3A7E" w:rsidRPr="000550CF" w:rsidRDefault="00ED3A7E" w:rsidP="00F3494E">
      <w:pPr>
        <w:jc w:val="both"/>
        <w:rPr>
          <w:sz w:val="20"/>
        </w:rPr>
      </w:pPr>
    </w:p>
    <w:p w14:paraId="67EDB83F" w14:textId="77777777" w:rsidR="00ED3A7E" w:rsidRPr="000550CF" w:rsidRDefault="00ED3A7E" w:rsidP="00F3494E">
      <w:pPr>
        <w:rPr>
          <w:sz w:val="20"/>
        </w:rPr>
      </w:pPr>
      <w:r>
        <w:rPr>
          <w:sz w:val="20"/>
        </w:rPr>
        <w:t>3.</w:t>
      </w:r>
    </w:p>
    <w:p w14:paraId="25C22F2A" w14:textId="77777777" w:rsidR="00ED3A7E" w:rsidRPr="000550CF" w:rsidRDefault="00ED3A7E" w:rsidP="00F3494E">
      <w:pPr>
        <w:rPr>
          <w:sz w:val="20"/>
        </w:rPr>
      </w:pPr>
      <w:r>
        <w:rPr>
          <w:sz w:val="20"/>
        </w:rPr>
        <w:t>Republic of Lithuania Seimas, Law</w:t>
      </w:r>
    </w:p>
    <w:p w14:paraId="259835C7" w14:textId="77777777" w:rsidR="00ED3A7E" w:rsidRPr="000550CF" w:rsidRDefault="00ED3A7E" w:rsidP="00F3494E">
      <w:pPr>
        <w:rPr>
          <w:sz w:val="20"/>
        </w:rPr>
      </w:pPr>
      <w:r>
        <w:rPr>
          <w:sz w:val="20"/>
        </w:rPr>
        <w:lastRenderedPageBreak/>
        <w:t xml:space="preserve">No </w:t>
      </w:r>
      <w:hyperlink r:id="rId225" w:history="1">
        <w:r>
          <w:rPr>
            <w:color w:val="0000FF"/>
            <w:sz w:val="20"/>
            <w:u w:val="single"/>
          </w:rPr>
          <w:t>XI-875</w:t>
        </w:r>
      </w:hyperlink>
      <w:r>
        <w:rPr>
          <w:sz w:val="20"/>
        </w:rPr>
        <w:t>, 03-06-2010, Official Gazette, 2010, No 71-3551 (19-06-2010)</w:t>
      </w:r>
    </w:p>
    <w:p w14:paraId="5B53CCC3" w14:textId="77777777" w:rsidR="00ED3A7E" w:rsidRPr="000550CF" w:rsidRDefault="00ED3A7E" w:rsidP="00F3494E">
      <w:pPr>
        <w:jc w:val="both"/>
        <w:rPr>
          <w:sz w:val="20"/>
        </w:rPr>
      </w:pPr>
      <w:r>
        <w:rPr>
          <w:sz w:val="20"/>
        </w:rPr>
        <w:t xml:space="preserve">LAW AMENDING AND SUPPLEMENTING ARTICLES 2, 3, 10, 22, 32, 47, 55, 62, 64, 68, 71, 72, 73, 85, 86, 87, 95 AND 96 OF THE LAW ON MARKETS IN FINANCIAL INSTRUMENTS AND SUPPLEMENTING THE LAW WITH ARTICLE 96(1) </w:t>
      </w:r>
    </w:p>
    <w:p w14:paraId="38E33AE5" w14:textId="77777777" w:rsidR="00ED3A7E" w:rsidRPr="000550CF" w:rsidRDefault="00ED3A7E" w:rsidP="00F3494E">
      <w:pPr>
        <w:rPr>
          <w:sz w:val="20"/>
        </w:rPr>
      </w:pPr>
    </w:p>
    <w:p w14:paraId="005725CF" w14:textId="77777777" w:rsidR="00ED3A7E" w:rsidRPr="000550CF" w:rsidRDefault="00ED3A7E" w:rsidP="00F3494E">
      <w:pPr>
        <w:jc w:val="both"/>
        <w:rPr>
          <w:sz w:val="20"/>
        </w:rPr>
      </w:pPr>
      <w:r>
        <w:rPr>
          <w:sz w:val="20"/>
        </w:rPr>
        <w:t>4.</w:t>
      </w:r>
    </w:p>
    <w:p w14:paraId="2A5215AC" w14:textId="77777777" w:rsidR="00ED3A7E" w:rsidRPr="000550CF" w:rsidRDefault="00ED3A7E" w:rsidP="00F3494E">
      <w:pPr>
        <w:jc w:val="both"/>
        <w:rPr>
          <w:sz w:val="20"/>
        </w:rPr>
      </w:pPr>
      <w:r>
        <w:rPr>
          <w:sz w:val="20"/>
        </w:rPr>
        <w:t>Republic of Lithuania Seimas, Law</w:t>
      </w:r>
    </w:p>
    <w:p w14:paraId="2A16260D" w14:textId="77777777" w:rsidR="00ED3A7E" w:rsidRPr="000550CF" w:rsidRDefault="00ED3A7E" w:rsidP="00F3494E">
      <w:pPr>
        <w:jc w:val="both"/>
        <w:rPr>
          <w:sz w:val="20"/>
        </w:rPr>
      </w:pPr>
      <w:r>
        <w:rPr>
          <w:sz w:val="20"/>
        </w:rPr>
        <w:t xml:space="preserve">No </w:t>
      </w:r>
      <w:hyperlink r:id="rId226" w:history="1">
        <w:r>
          <w:rPr>
            <w:color w:val="0000FF"/>
            <w:sz w:val="20"/>
            <w:u w:val="single"/>
          </w:rPr>
          <w:t>XI-1402</w:t>
        </w:r>
      </w:hyperlink>
      <w:r>
        <w:rPr>
          <w:sz w:val="20"/>
        </w:rPr>
        <w:t>, 24-05-2011, Official Gazette, 2011, No 71-3364 (11-06-2011)</w:t>
      </w:r>
    </w:p>
    <w:p w14:paraId="2EBE9C49" w14:textId="77777777" w:rsidR="00ED3A7E" w:rsidRPr="000550CF" w:rsidRDefault="00ED3A7E" w:rsidP="00F3494E">
      <w:pPr>
        <w:jc w:val="both"/>
        <w:rPr>
          <w:sz w:val="20"/>
        </w:rPr>
      </w:pPr>
      <w:r>
        <w:rPr>
          <w:sz w:val="20"/>
        </w:rPr>
        <w:t>LAW AMENDING AND SUPPLEMENTING ARTICLES 3, 4, 7, 15, 18, 20, 21, 64, 67, 68, 69, 71, 80, 85 AND 95 OF AND THE ANNEX TO THE LAW ON MARKETS IN FINANCIAL INSTRUMENTS AND SUPPLEMENTING THE LAW WITH ARTICLES  90(1) AND 93(1)</w:t>
      </w:r>
    </w:p>
    <w:p w14:paraId="617E7502" w14:textId="77777777" w:rsidR="00ED3A7E" w:rsidRPr="000550CF" w:rsidRDefault="00ED3A7E" w:rsidP="00F3494E">
      <w:pPr>
        <w:tabs>
          <w:tab w:val="left" w:pos="720"/>
        </w:tabs>
        <w:ind w:right="4"/>
        <w:jc w:val="both"/>
        <w:rPr>
          <w:sz w:val="20"/>
        </w:rPr>
      </w:pPr>
      <w:r>
        <w:rPr>
          <w:sz w:val="20"/>
        </w:rPr>
        <w:t xml:space="preserve">For the purposes of Article 4 of this Law, financial brokerage firms, a market operator and a central depositary shall prepare financial statements according to the international accounting standards for the accounting periods starting on or after 1 January </w:t>
      </w:r>
      <w:r>
        <w:rPr>
          <w:bCs/>
          <w:sz w:val="20"/>
        </w:rPr>
        <w:t xml:space="preserve">2012. </w:t>
      </w:r>
    </w:p>
    <w:p w14:paraId="4B5BBB6C" w14:textId="77777777" w:rsidR="00ED3A7E" w:rsidRPr="000550CF" w:rsidRDefault="00ED3A7E" w:rsidP="00F3494E">
      <w:pPr>
        <w:rPr>
          <w:sz w:val="20"/>
        </w:rPr>
      </w:pPr>
    </w:p>
    <w:p w14:paraId="1931F514" w14:textId="77777777" w:rsidR="00ED3A7E" w:rsidRPr="000550CF" w:rsidRDefault="00ED3A7E" w:rsidP="00F3494E">
      <w:pPr>
        <w:rPr>
          <w:sz w:val="20"/>
        </w:rPr>
      </w:pPr>
      <w:r>
        <w:rPr>
          <w:sz w:val="20"/>
        </w:rPr>
        <w:t>5.</w:t>
      </w:r>
    </w:p>
    <w:p w14:paraId="2C93C7C0" w14:textId="77777777" w:rsidR="00ED3A7E" w:rsidRPr="000550CF" w:rsidRDefault="00ED3A7E" w:rsidP="00F3494E">
      <w:pPr>
        <w:rPr>
          <w:sz w:val="20"/>
        </w:rPr>
      </w:pPr>
      <w:r>
        <w:rPr>
          <w:sz w:val="20"/>
        </w:rPr>
        <w:t>Republic of Lithuania Seimas, Law</w:t>
      </w:r>
    </w:p>
    <w:p w14:paraId="3C62CF2A" w14:textId="77777777" w:rsidR="00ED3A7E" w:rsidRPr="000550CF" w:rsidRDefault="00ED3A7E" w:rsidP="00F3494E">
      <w:pPr>
        <w:rPr>
          <w:sz w:val="20"/>
        </w:rPr>
      </w:pPr>
      <w:r>
        <w:rPr>
          <w:sz w:val="20"/>
        </w:rPr>
        <w:t xml:space="preserve">No </w:t>
      </w:r>
      <w:hyperlink r:id="rId227" w:history="1">
        <w:r>
          <w:rPr>
            <w:color w:val="0000FF"/>
            <w:sz w:val="20"/>
            <w:u w:val="single"/>
          </w:rPr>
          <w:t>XI-1672</w:t>
        </w:r>
      </w:hyperlink>
      <w:r>
        <w:rPr>
          <w:sz w:val="20"/>
        </w:rPr>
        <w:t>, 17-11-2011, Official Gazette, 2011, No 145-6818 (01-12-2011)</w:t>
      </w:r>
    </w:p>
    <w:p w14:paraId="35B263DD" w14:textId="77777777" w:rsidR="00ED3A7E" w:rsidRPr="000550CF" w:rsidRDefault="00ED3A7E" w:rsidP="00F3494E">
      <w:pPr>
        <w:rPr>
          <w:sz w:val="20"/>
        </w:rPr>
      </w:pPr>
      <w:r>
        <w:rPr>
          <w:sz w:val="20"/>
        </w:rPr>
        <w:t>LAW AMENDING THE LAW ON MARKETS IN FINANCIAL INSTRUMENTS</w:t>
      </w:r>
    </w:p>
    <w:p w14:paraId="17ADD474" w14:textId="77777777" w:rsidR="00ED3A7E" w:rsidRPr="000550CF" w:rsidRDefault="00ED3A7E" w:rsidP="00F3494E">
      <w:pPr>
        <w:rPr>
          <w:b/>
          <w:sz w:val="20"/>
        </w:rPr>
      </w:pPr>
      <w:r>
        <w:rPr>
          <w:b/>
          <w:sz w:val="20"/>
        </w:rPr>
        <w:t xml:space="preserve">Recast Law </w:t>
      </w:r>
    </w:p>
    <w:p w14:paraId="02BC1E57" w14:textId="77777777" w:rsidR="00ED3A7E" w:rsidRPr="000550CF" w:rsidRDefault="00ED3A7E" w:rsidP="00F3494E">
      <w:pPr>
        <w:rPr>
          <w:sz w:val="20"/>
        </w:rPr>
      </w:pPr>
      <w:r>
        <w:rPr>
          <w:sz w:val="20"/>
        </w:rPr>
        <w:t>This Law shall enter into force on 1 January 2012.</w:t>
      </w:r>
    </w:p>
    <w:p w14:paraId="05E4ABED" w14:textId="77777777" w:rsidR="00ED3A7E" w:rsidRPr="000550CF" w:rsidRDefault="00ED3A7E" w:rsidP="00F3494E">
      <w:pPr>
        <w:ind w:firstLine="720"/>
        <w:rPr>
          <w:b/>
          <w:sz w:val="20"/>
        </w:rPr>
      </w:pPr>
      <w:r>
        <w:rPr>
          <w:b/>
          <w:sz w:val="20"/>
        </w:rPr>
        <w:t>Amendments to this Law:</w:t>
      </w:r>
    </w:p>
    <w:p w14:paraId="30A45F0B" w14:textId="77777777" w:rsidR="00ED3A7E" w:rsidRPr="000550CF" w:rsidRDefault="00ED3A7E" w:rsidP="00F3494E">
      <w:pPr>
        <w:ind w:firstLine="720"/>
        <w:rPr>
          <w:sz w:val="20"/>
          <w:szCs w:val="21"/>
        </w:rPr>
      </w:pPr>
      <w:r>
        <w:rPr>
          <w:sz w:val="20"/>
          <w:szCs w:val="21"/>
        </w:rPr>
        <w:t>5.1.</w:t>
      </w:r>
    </w:p>
    <w:p w14:paraId="2CDEFF75" w14:textId="77777777" w:rsidR="00ED3A7E" w:rsidRPr="000550CF" w:rsidRDefault="00ED3A7E" w:rsidP="00F3494E">
      <w:pPr>
        <w:ind w:firstLine="720"/>
        <w:rPr>
          <w:sz w:val="20"/>
          <w:szCs w:val="21"/>
        </w:rPr>
      </w:pPr>
      <w:r>
        <w:rPr>
          <w:sz w:val="20"/>
          <w:szCs w:val="21"/>
        </w:rPr>
        <w:t>Republic of Lithuania Seimas, Law</w:t>
      </w:r>
    </w:p>
    <w:p w14:paraId="01FAE743" w14:textId="77777777" w:rsidR="00ED3A7E" w:rsidRPr="000550CF" w:rsidRDefault="00ED3A7E" w:rsidP="00F3494E">
      <w:pPr>
        <w:ind w:firstLine="720"/>
        <w:rPr>
          <w:sz w:val="20"/>
          <w:szCs w:val="21"/>
        </w:rPr>
      </w:pPr>
      <w:r>
        <w:rPr>
          <w:sz w:val="20"/>
          <w:szCs w:val="21"/>
        </w:rPr>
        <w:t xml:space="preserve">No </w:t>
      </w:r>
      <w:hyperlink r:id="rId228" w:history="1">
        <w:r>
          <w:rPr>
            <w:color w:val="0000FF"/>
            <w:sz w:val="20"/>
            <w:szCs w:val="21"/>
            <w:u w:val="single"/>
          </w:rPr>
          <w:t>XI-1881</w:t>
        </w:r>
      </w:hyperlink>
      <w:r>
        <w:rPr>
          <w:sz w:val="20"/>
          <w:szCs w:val="21"/>
        </w:rPr>
        <w:t>, 22-12-2011, Official Gazette, 2011, No 163-7770 (31-12-2011)</w:t>
      </w:r>
    </w:p>
    <w:p w14:paraId="1186B691" w14:textId="77777777" w:rsidR="00ED3A7E" w:rsidRPr="000550CF" w:rsidRDefault="00ED3A7E" w:rsidP="0006518C">
      <w:pPr>
        <w:jc w:val="both"/>
        <w:rPr>
          <w:sz w:val="20"/>
        </w:rPr>
      </w:pPr>
      <w:r>
        <w:rPr>
          <w:sz w:val="20"/>
        </w:rPr>
        <w:t>LAW AMENDING ARTICLE 1 LAW AMENDING THE LAW ON MARKETS IN FINANCIAL INSTRUMENTS</w:t>
      </w:r>
    </w:p>
    <w:p w14:paraId="7816A3DE" w14:textId="77777777" w:rsidR="00ED3A7E" w:rsidRPr="000550CF" w:rsidRDefault="00ED3A7E" w:rsidP="00F3494E">
      <w:pPr>
        <w:ind w:left="720"/>
        <w:jc w:val="both"/>
        <w:rPr>
          <w:sz w:val="20"/>
          <w:szCs w:val="21"/>
        </w:rPr>
      </w:pPr>
    </w:p>
    <w:p w14:paraId="179963EA" w14:textId="77777777" w:rsidR="00ED3A7E" w:rsidRPr="000550CF" w:rsidRDefault="00ED3A7E" w:rsidP="0006518C">
      <w:pPr>
        <w:rPr>
          <w:sz w:val="20"/>
        </w:rPr>
      </w:pPr>
      <w:r>
        <w:rPr>
          <w:sz w:val="20"/>
        </w:rPr>
        <w:t>This Law shall enter into force on 1 January 2012.</w:t>
      </w:r>
    </w:p>
    <w:p w14:paraId="729AC539" w14:textId="77777777" w:rsidR="00ED3A7E" w:rsidRPr="000550CF" w:rsidRDefault="00ED3A7E" w:rsidP="00F3494E">
      <w:pPr>
        <w:jc w:val="both"/>
        <w:rPr>
          <w:sz w:val="20"/>
        </w:rPr>
      </w:pPr>
      <w:r>
        <w:rPr>
          <w:sz w:val="20"/>
        </w:rPr>
        <w:t>6.</w:t>
      </w:r>
    </w:p>
    <w:p w14:paraId="368D04E8" w14:textId="77777777" w:rsidR="00ED3A7E" w:rsidRPr="000550CF" w:rsidRDefault="00ED3A7E" w:rsidP="00F3494E">
      <w:pPr>
        <w:jc w:val="both"/>
        <w:rPr>
          <w:sz w:val="20"/>
        </w:rPr>
      </w:pPr>
      <w:r>
        <w:rPr>
          <w:sz w:val="20"/>
        </w:rPr>
        <w:t>Republic of Lithuania Seimas, Law</w:t>
      </w:r>
    </w:p>
    <w:p w14:paraId="5B021305" w14:textId="77777777" w:rsidR="00ED3A7E" w:rsidRPr="000550CF" w:rsidRDefault="00ED3A7E" w:rsidP="00F3494E">
      <w:pPr>
        <w:jc w:val="both"/>
        <w:rPr>
          <w:sz w:val="20"/>
        </w:rPr>
      </w:pPr>
      <w:r>
        <w:rPr>
          <w:sz w:val="20"/>
        </w:rPr>
        <w:t xml:space="preserve">No </w:t>
      </w:r>
      <w:hyperlink r:id="rId229" w:history="1">
        <w:r>
          <w:rPr>
            <w:color w:val="0000FF"/>
            <w:sz w:val="20"/>
            <w:u w:val="single"/>
          </w:rPr>
          <w:t>XII-339</w:t>
        </w:r>
      </w:hyperlink>
      <w:r>
        <w:rPr>
          <w:sz w:val="20"/>
        </w:rPr>
        <w:t>, 28-05-2013, Official Gazette, 2013, No 62-3054 (12-06-2013)</w:t>
      </w:r>
    </w:p>
    <w:p w14:paraId="79A07F61" w14:textId="77777777" w:rsidR="00ED3A7E" w:rsidRPr="000550CF" w:rsidRDefault="00ED3A7E" w:rsidP="00F3494E">
      <w:pPr>
        <w:jc w:val="both"/>
        <w:rPr>
          <w:sz w:val="20"/>
        </w:rPr>
      </w:pPr>
      <w:r>
        <w:rPr>
          <w:sz w:val="20"/>
        </w:rPr>
        <w:t>LAW AMENDING AND SUPPLEMENTING ARTICLES 70, 71, 81 AND 93 OF AND THE ANNEX TO THE LAW ON MARKETS IN FINANCIAL INSTRUMENTS</w:t>
      </w:r>
    </w:p>
    <w:p w14:paraId="1D43A0E7" w14:textId="77777777" w:rsidR="00ED3A7E" w:rsidRPr="000550CF" w:rsidRDefault="00ED3A7E" w:rsidP="00F3494E">
      <w:pPr>
        <w:rPr>
          <w:sz w:val="20"/>
        </w:rPr>
      </w:pPr>
    </w:p>
    <w:p w14:paraId="468090B7" w14:textId="77777777" w:rsidR="00ED3A7E" w:rsidRPr="000550CF" w:rsidRDefault="00ED3A7E" w:rsidP="00F3494E">
      <w:pPr>
        <w:jc w:val="both"/>
        <w:rPr>
          <w:b/>
          <w:sz w:val="20"/>
        </w:rPr>
      </w:pPr>
    </w:p>
    <w:p w14:paraId="4D3C8B4E" w14:textId="77777777" w:rsidR="00ED3A7E" w:rsidRPr="000550CF" w:rsidRDefault="00ED3A7E" w:rsidP="00F3494E">
      <w:pPr>
        <w:jc w:val="both"/>
        <w:rPr>
          <w:b/>
          <w:sz w:val="20"/>
        </w:rPr>
      </w:pPr>
    </w:p>
    <w:p w14:paraId="26B90C79" w14:textId="77777777" w:rsidR="00ED3A7E" w:rsidRPr="000550CF" w:rsidRDefault="00ED3A7E" w:rsidP="00F3494E">
      <w:pPr>
        <w:jc w:val="both"/>
        <w:rPr>
          <w:b/>
        </w:rPr>
      </w:pPr>
      <w:r>
        <w:rPr>
          <w:b/>
          <w:sz w:val="20"/>
        </w:rPr>
        <w:t>Amendments:</w:t>
      </w:r>
    </w:p>
    <w:p w14:paraId="24204F55" w14:textId="77777777" w:rsidR="00ED3A7E" w:rsidRPr="000550CF" w:rsidRDefault="00ED3A7E" w:rsidP="00F3494E">
      <w:pPr>
        <w:jc w:val="both"/>
        <w:rPr>
          <w:sz w:val="20"/>
        </w:rPr>
      </w:pPr>
    </w:p>
    <w:p w14:paraId="06902D66" w14:textId="77777777" w:rsidR="00ED3A7E" w:rsidRPr="000550CF" w:rsidRDefault="00ED3A7E" w:rsidP="00F3494E">
      <w:pPr>
        <w:jc w:val="both"/>
      </w:pPr>
      <w:r>
        <w:rPr>
          <w:sz w:val="20"/>
        </w:rPr>
        <w:t>1.</w:t>
      </w:r>
    </w:p>
    <w:p w14:paraId="642A5A66" w14:textId="77777777" w:rsidR="00ED3A7E" w:rsidRPr="000550CF" w:rsidRDefault="00ED3A7E" w:rsidP="00F3494E">
      <w:pPr>
        <w:jc w:val="both"/>
      </w:pPr>
      <w:r>
        <w:rPr>
          <w:sz w:val="20"/>
        </w:rPr>
        <w:t>Republic of Lithuania Seimas, Law</w:t>
      </w:r>
    </w:p>
    <w:p w14:paraId="47DAEBAC" w14:textId="77777777" w:rsidR="00ED3A7E" w:rsidRPr="000550CF" w:rsidRDefault="00ED3A7E" w:rsidP="00F3494E">
      <w:pPr>
        <w:jc w:val="both"/>
      </w:pPr>
      <w:r>
        <w:rPr>
          <w:sz w:val="20"/>
        </w:rPr>
        <w:t xml:space="preserve">No </w:t>
      </w:r>
      <w:hyperlink r:id="rId230" w:history="1">
        <w:r>
          <w:rPr>
            <w:iCs/>
            <w:color w:val="0000FF"/>
            <w:sz w:val="20"/>
            <w:u w:val="single"/>
          </w:rPr>
          <w:t>XII-1103</w:t>
        </w:r>
      </w:hyperlink>
      <w:r>
        <w:rPr>
          <w:iCs/>
          <w:sz w:val="20"/>
        </w:rPr>
        <w:t>, 23-09-2014, published in the RLA, 02-10-2014, ID code 2014-13435</w:t>
      </w:r>
    </w:p>
    <w:p w14:paraId="348FFF8D" w14:textId="77777777" w:rsidR="00ED3A7E" w:rsidRPr="000550CF" w:rsidRDefault="00ED3A7E" w:rsidP="00F3494E">
      <w:pPr>
        <w:jc w:val="both"/>
      </w:pPr>
      <w:r>
        <w:rPr>
          <w:sz w:val="20"/>
        </w:rPr>
        <w:t xml:space="preserve">Law amending Articles 4 and 93 of Law No X-1024 of the Republic of Lithuania on Markets in Financial Instruments </w:t>
      </w:r>
    </w:p>
    <w:p w14:paraId="134B8470" w14:textId="77777777" w:rsidR="00ED3A7E" w:rsidRPr="000550CF" w:rsidRDefault="00ED3A7E" w:rsidP="00F3494E">
      <w:pPr>
        <w:jc w:val="both"/>
        <w:rPr>
          <w:sz w:val="20"/>
        </w:rPr>
      </w:pPr>
    </w:p>
    <w:p w14:paraId="532489B7" w14:textId="77777777" w:rsidR="00ED3A7E" w:rsidRPr="000550CF" w:rsidRDefault="00ED3A7E" w:rsidP="00F3494E">
      <w:pPr>
        <w:jc w:val="both"/>
      </w:pPr>
      <w:r>
        <w:rPr>
          <w:sz w:val="20"/>
        </w:rPr>
        <w:t>2.</w:t>
      </w:r>
    </w:p>
    <w:p w14:paraId="3BC400D5" w14:textId="77777777" w:rsidR="00ED3A7E" w:rsidRPr="000550CF" w:rsidRDefault="00ED3A7E" w:rsidP="00F3494E">
      <w:pPr>
        <w:jc w:val="both"/>
      </w:pPr>
      <w:r>
        <w:rPr>
          <w:sz w:val="20"/>
        </w:rPr>
        <w:t>Republic of Lithuania Seimas, Law</w:t>
      </w:r>
    </w:p>
    <w:p w14:paraId="6960AC90" w14:textId="77777777" w:rsidR="00ED3A7E" w:rsidRPr="000550CF" w:rsidRDefault="00ED3A7E" w:rsidP="00F3494E">
      <w:pPr>
        <w:jc w:val="both"/>
      </w:pPr>
      <w:r>
        <w:rPr>
          <w:sz w:val="20"/>
        </w:rPr>
        <w:t xml:space="preserve">No </w:t>
      </w:r>
      <w:hyperlink r:id="rId231" w:history="1">
        <w:r>
          <w:rPr>
            <w:iCs/>
            <w:color w:val="0000FF"/>
            <w:sz w:val="20"/>
            <w:u w:val="single"/>
          </w:rPr>
          <w:t>XII-1470</w:t>
        </w:r>
      </w:hyperlink>
      <w:r>
        <w:rPr>
          <w:iCs/>
          <w:sz w:val="20"/>
        </w:rPr>
        <w:t>, 18-12-2014, published in the RLA, 31-12-2014, ID code 2014-21127</w:t>
      </w:r>
    </w:p>
    <w:p w14:paraId="3CC91190" w14:textId="77777777" w:rsidR="00ED3A7E" w:rsidRPr="000550CF" w:rsidRDefault="00ED3A7E" w:rsidP="00F3494E">
      <w:pPr>
        <w:jc w:val="both"/>
      </w:pPr>
      <w:r>
        <w:rPr>
          <w:sz w:val="20"/>
        </w:rPr>
        <w:t>Law amending Articles 70, 84 and 93 of and Annex to Law No X-1024 of the Republic of Lithuania on Markets in Financial Instruments</w:t>
      </w:r>
    </w:p>
    <w:p w14:paraId="08B3A7D1" w14:textId="77777777" w:rsidR="00ED3A7E" w:rsidRPr="000550CF" w:rsidRDefault="00ED3A7E" w:rsidP="00F3494E">
      <w:pPr>
        <w:jc w:val="both"/>
        <w:rPr>
          <w:sz w:val="20"/>
        </w:rPr>
      </w:pPr>
    </w:p>
    <w:p w14:paraId="6F39C2FB" w14:textId="77777777" w:rsidR="00ED3A7E" w:rsidRPr="000550CF" w:rsidRDefault="00ED3A7E" w:rsidP="00F3494E">
      <w:pPr>
        <w:jc w:val="both"/>
      </w:pPr>
      <w:r>
        <w:rPr>
          <w:sz w:val="20"/>
        </w:rPr>
        <w:t>3.</w:t>
      </w:r>
    </w:p>
    <w:p w14:paraId="15FA1105" w14:textId="77777777" w:rsidR="00ED3A7E" w:rsidRPr="000550CF" w:rsidRDefault="00ED3A7E" w:rsidP="00F3494E">
      <w:pPr>
        <w:jc w:val="both"/>
      </w:pPr>
      <w:r>
        <w:rPr>
          <w:sz w:val="20"/>
        </w:rPr>
        <w:t>Republic of Lithuania Seimas, Law</w:t>
      </w:r>
    </w:p>
    <w:p w14:paraId="356BADC8" w14:textId="77777777" w:rsidR="00ED3A7E" w:rsidRPr="000550CF" w:rsidRDefault="00ED3A7E" w:rsidP="00F3494E">
      <w:pPr>
        <w:jc w:val="both"/>
      </w:pPr>
      <w:r>
        <w:rPr>
          <w:sz w:val="20"/>
        </w:rPr>
        <w:t xml:space="preserve">No </w:t>
      </w:r>
      <w:hyperlink r:id="rId232" w:history="1">
        <w:r>
          <w:rPr>
            <w:iCs/>
            <w:color w:val="0000FF"/>
            <w:sz w:val="20"/>
            <w:u w:val="single"/>
          </w:rPr>
          <w:t>XII-1547</w:t>
        </w:r>
      </w:hyperlink>
      <w:r>
        <w:rPr>
          <w:iCs/>
          <w:sz w:val="20"/>
        </w:rPr>
        <w:t>, 19-03-2015, published in the RLA, 31-03-2015, ID code 2015-04840</w:t>
      </w:r>
    </w:p>
    <w:p w14:paraId="7EF697A3" w14:textId="77777777" w:rsidR="00ED3A7E" w:rsidRPr="000550CF" w:rsidRDefault="00ED3A7E" w:rsidP="00F3494E">
      <w:pPr>
        <w:jc w:val="both"/>
      </w:pPr>
      <w:r>
        <w:rPr>
          <w:sz w:val="20"/>
        </w:rPr>
        <w:t>Law amending Articles 2, 3, 7, 12, 13, 70, 71, 76, 81, 84, 88 and 89, the Title of Section Two of Chapter VI and the Annex to Law No X-1024 of the Republic of Lithuania on Markets in Financial Instruments and supplementing the Law with Articles 12-1, 12-2, 25-1 and 73-1</w:t>
      </w:r>
    </w:p>
    <w:p w14:paraId="55243B14" w14:textId="77777777" w:rsidR="00ED3A7E" w:rsidRPr="000550CF" w:rsidRDefault="00ED3A7E" w:rsidP="00F3494E">
      <w:pPr>
        <w:jc w:val="both"/>
        <w:rPr>
          <w:sz w:val="20"/>
        </w:rPr>
      </w:pPr>
    </w:p>
    <w:p w14:paraId="69FB59A3" w14:textId="77777777" w:rsidR="00ED3A7E" w:rsidRPr="000550CF" w:rsidRDefault="00ED3A7E" w:rsidP="00F3494E">
      <w:pPr>
        <w:jc w:val="both"/>
      </w:pPr>
      <w:r>
        <w:rPr>
          <w:sz w:val="20"/>
        </w:rPr>
        <w:t>4.</w:t>
      </w:r>
    </w:p>
    <w:p w14:paraId="6AAAA737" w14:textId="77777777" w:rsidR="00ED3A7E" w:rsidRPr="000550CF" w:rsidRDefault="00ED3A7E" w:rsidP="00F3494E">
      <w:pPr>
        <w:jc w:val="both"/>
      </w:pPr>
      <w:r>
        <w:rPr>
          <w:sz w:val="20"/>
        </w:rPr>
        <w:t>Republic of Lithuania Seimas, Law</w:t>
      </w:r>
    </w:p>
    <w:p w14:paraId="2FDDE37D" w14:textId="77777777" w:rsidR="00ED3A7E" w:rsidRPr="000550CF" w:rsidRDefault="00ED3A7E" w:rsidP="00F3494E">
      <w:pPr>
        <w:jc w:val="both"/>
      </w:pPr>
      <w:r>
        <w:rPr>
          <w:sz w:val="20"/>
        </w:rPr>
        <w:t xml:space="preserve">No </w:t>
      </w:r>
      <w:hyperlink r:id="rId233" w:history="1">
        <w:r>
          <w:rPr>
            <w:iCs/>
            <w:color w:val="0000FF"/>
            <w:sz w:val="20"/>
            <w:u w:val="single"/>
          </w:rPr>
          <w:t>XII-2057</w:t>
        </w:r>
      </w:hyperlink>
      <w:r>
        <w:rPr>
          <w:iCs/>
          <w:sz w:val="20"/>
        </w:rPr>
        <w:t>, 24-11-2015, published in the RLA, 02-12-2015, ID code 2015-19168</w:t>
      </w:r>
    </w:p>
    <w:p w14:paraId="6E6D0B93" w14:textId="77777777" w:rsidR="00ED3A7E" w:rsidRPr="000550CF" w:rsidRDefault="00ED3A7E" w:rsidP="00F3494E">
      <w:pPr>
        <w:jc w:val="both"/>
      </w:pPr>
      <w:r>
        <w:rPr>
          <w:sz w:val="20"/>
        </w:rPr>
        <w:t>Law amending Articles 2, 3, 71, 81, 83, 84 and 87 of Law No X-1024 of the Republic of Lithuania on Markets in Financial Instruments and supplementing the Law with Articles 9-1 and 85-1</w:t>
      </w:r>
    </w:p>
    <w:p w14:paraId="6861E615" w14:textId="77777777" w:rsidR="00ED3A7E" w:rsidRPr="000550CF" w:rsidRDefault="00ED3A7E" w:rsidP="00FA54D8">
      <w:pPr>
        <w:tabs>
          <w:tab w:val="left" w:pos="3470"/>
        </w:tabs>
        <w:jc w:val="both"/>
        <w:rPr>
          <w:sz w:val="20"/>
        </w:rPr>
      </w:pPr>
      <w:r>
        <w:rPr>
          <w:sz w:val="20"/>
        </w:rPr>
        <w:tab/>
      </w:r>
    </w:p>
    <w:p w14:paraId="0EC4B230" w14:textId="77777777" w:rsidR="00ED3A7E" w:rsidRPr="000550CF" w:rsidRDefault="00ED3A7E" w:rsidP="00F3494E">
      <w:pPr>
        <w:jc w:val="both"/>
      </w:pPr>
      <w:r>
        <w:rPr>
          <w:sz w:val="20"/>
        </w:rPr>
        <w:t>5.</w:t>
      </w:r>
    </w:p>
    <w:p w14:paraId="2AF486E6" w14:textId="77777777" w:rsidR="00ED3A7E" w:rsidRPr="000550CF" w:rsidRDefault="00ED3A7E" w:rsidP="00F3494E">
      <w:pPr>
        <w:jc w:val="both"/>
      </w:pPr>
      <w:r>
        <w:rPr>
          <w:sz w:val="20"/>
        </w:rPr>
        <w:lastRenderedPageBreak/>
        <w:t>Republic of Lithuania Seimas, Law</w:t>
      </w:r>
    </w:p>
    <w:p w14:paraId="01E7E686" w14:textId="77777777" w:rsidR="00ED3A7E" w:rsidRPr="000550CF" w:rsidRDefault="00ED3A7E" w:rsidP="00F3494E">
      <w:pPr>
        <w:jc w:val="both"/>
      </w:pPr>
      <w:r>
        <w:rPr>
          <w:sz w:val="20"/>
        </w:rPr>
        <w:t xml:space="preserve">No </w:t>
      </w:r>
      <w:hyperlink r:id="rId234" w:history="1">
        <w:r>
          <w:rPr>
            <w:iCs/>
            <w:color w:val="0000FF"/>
            <w:sz w:val="20"/>
            <w:u w:val="single"/>
          </w:rPr>
          <w:t>XII-2076</w:t>
        </w:r>
      </w:hyperlink>
      <w:r>
        <w:rPr>
          <w:iCs/>
          <w:sz w:val="20"/>
        </w:rPr>
        <w:t>, 26-11-2015, published in the RLA, 03-12-2015, ID code 2015-19284</w:t>
      </w:r>
    </w:p>
    <w:p w14:paraId="3883424D" w14:textId="77777777" w:rsidR="00ED3A7E" w:rsidRPr="000550CF" w:rsidRDefault="00ED3A7E" w:rsidP="00F3494E">
      <w:pPr>
        <w:jc w:val="both"/>
      </w:pPr>
      <w:r>
        <w:rPr>
          <w:sz w:val="20"/>
        </w:rPr>
        <w:t>Law amending Article 3 of Law No X-1024 of the Republic of Lithuania on Markets in Financial Instruments</w:t>
      </w:r>
    </w:p>
    <w:p w14:paraId="1E93507B" w14:textId="77777777" w:rsidR="00ED3A7E" w:rsidRPr="000550CF" w:rsidRDefault="00ED3A7E" w:rsidP="00F3494E">
      <w:pPr>
        <w:jc w:val="both"/>
        <w:rPr>
          <w:sz w:val="20"/>
        </w:rPr>
      </w:pPr>
    </w:p>
    <w:p w14:paraId="14833443" w14:textId="77777777" w:rsidR="00ED3A7E" w:rsidRPr="000550CF" w:rsidRDefault="00ED3A7E" w:rsidP="00F3494E">
      <w:pPr>
        <w:jc w:val="both"/>
      </w:pPr>
      <w:r>
        <w:rPr>
          <w:sz w:val="20"/>
        </w:rPr>
        <w:t>6.</w:t>
      </w:r>
    </w:p>
    <w:p w14:paraId="08789CF3" w14:textId="77777777" w:rsidR="00ED3A7E" w:rsidRPr="000550CF" w:rsidRDefault="00ED3A7E" w:rsidP="00F3494E">
      <w:pPr>
        <w:jc w:val="both"/>
      </w:pPr>
      <w:r>
        <w:rPr>
          <w:sz w:val="20"/>
        </w:rPr>
        <w:t>Republic of Lithuania Seimas, Law</w:t>
      </w:r>
    </w:p>
    <w:p w14:paraId="1629C902" w14:textId="77777777" w:rsidR="00ED3A7E" w:rsidRPr="000550CF" w:rsidRDefault="00ED3A7E" w:rsidP="00F3494E">
      <w:pPr>
        <w:jc w:val="both"/>
      </w:pPr>
      <w:r>
        <w:rPr>
          <w:sz w:val="20"/>
        </w:rPr>
        <w:t xml:space="preserve">No </w:t>
      </w:r>
      <w:hyperlink r:id="rId235" w:history="1">
        <w:r>
          <w:rPr>
            <w:iCs/>
            <w:color w:val="0000FF"/>
            <w:sz w:val="20"/>
            <w:u w:val="single"/>
          </w:rPr>
          <w:t>XII-2454</w:t>
        </w:r>
      </w:hyperlink>
      <w:r>
        <w:rPr>
          <w:iCs/>
          <w:sz w:val="20"/>
        </w:rPr>
        <w:t>, 16-06-2016, published in the RLA, 27-06-2016, ID code 2016-17721</w:t>
      </w:r>
    </w:p>
    <w:p w14:paraId="5C110414" w14:textId="77777777" w:rsidR="00ED3A7E" w:rsidRPr="000550CF" w:rsidRDefault="00ED3A7E" w:rsidP="00F3494E">
      <w:pPr>
        <w:jc w:val="both"/>
      </w:pPr>
      <w:r>
        <w:rPr>
          <w:sz w:val="20"/>
        </w:rPr>
        <w:t>Law amending Article 83 of Law No X-1024 of the Republic of Lithuania on Markets in Financial Instruments</w:t>
      </w:r>
    </w:p>
    <w:p w14:paraId="13D64F81" w14:textId="77777777" w:rsidR="00ED3A7E" w:rsidRPr="000550CF" w:rsidRDefault="00ED3A7E" w:rsidP="00F3494E">
      <w:pPr>
        <w:jc w:val="both"/>
        <w:rPr>
          <w:sz w:val="20"/>
        </w:rPr>
      </w:pPr>
    </w:p>
    <w:p w14:paraId="1FB4D258" w14:textId="77777777" w:rsidR="00ED3A7E" w:rsidRPr="000550CF" w:rsidRDefault="00ED3A7E" w:rsidP="00F3494E">
      <w:pPr>
        <w:jc w:val="both"/>
      </w:pPr>
      <w:r>
        <w:rPr>
          <w:sz w:val="20"/>
        </w:rPr>
        <w:t>7.</w:t>
      </w:r>
    </w:p>
    <w:p w14:paraId="76F64292" w14:textId="77777777" w:rsidR="00ED3A7E" w:rsidRPr="000550CF" w:rsidRDefault="00ED3A7E" w:rsidP="00F3494E">
      <w:pPr>
        <w:jc w:val="both"/>
      </w:pPr>
      <w:r>
        <w:rPr>
          <w:sz w:val="20"/>
        </w:rPr>
        <w:t>Republic of Lithuania Seimas, Law</w:t>
      </w:r>
    </w:p>
    <w:p w14:paraId="6064DB9D" w14:textId="77777777" w:rsidR="00ED3A7E" w:rsidRPr="000550CF" w:rsidRDefault="00ED3A7E" w:rsidP="00F3494E">
      <w:pPr>
        <w:jc w:val="both"/>
      </w:pPr>
      <w:r>
        <w:rPr>
          <w:sz w:val="20"/>
        </w:rPr>
        <w:t xml:space="preserve">No </w:t>
      </w:r>
      <w:hyperlink r:id="rId236" w:history="1">
        <w:r>
          <w:rPr>
            <w:iCs/>
            <w:color w:val="0000FF"/>
            <w:sz w:val="20"/>
            <w:u w:val="single"/>
          </w:rPr>
          <w:t>XIII-462</w:t>
        </w:r>
      </w:hyperlink>
      <w:r>
        <w:rPr>
          <w:iCs/>
          <w:sz w:val="20"/>
        </w:rPr>
        <w:t>, 20-06-2017, published in the RLA, 27-06-2017, ID code 2017-10819</w:t>
      </w:r>
    </w:p>
    <w:p w14:paraId="184A0A8D" w14:textId="77777777" w:rsidR="00ED3A7E" w:rsidRPr="000550CF" w:rsidRDefault="00ED3A7E" w:rsidP="00F3494E">
      <w:pPr>
        <w:jc w:val="both"/>
      </w:pPr>
      <w:r>
        <w:rPr>
          <w:sz w:val="20"/>
        </w:rPr>
        <w:t xml:space="preserve">Law amending Articles 2, 3, 7, 44, 67, 70, 71, 73-1, 76, 81, 83, 84, 93 and 94 or, the Annex to and repealing Chapter IV and Articles 25-1, 68 of Law No X-1024 of the Republic of Lithuania on Markets in Financial Instruments </w:t>
      </w:r>
    </w:p>
    <w:p w14:paraId="6B838801" w14:textId="77777777" w:rsidR="00ED3A7E" w:rsidRPr="000550CF" w:rsidRDefault="00ED3A7E" w:rsidP="00F3494E">
      <w:pPr>
        <w:jc w:val="both"/>
        <w:rPr>
          <w:sz w:val="20"/>
        </w:rPr>
      </w:pPr>
    </w:p>
    <w:p w14:paraId="300584D4" w14:textId="77777777" w:rsidR="00ED3A7E" w:rsidRPr="000550CF" w:rsidRDefault="00ED3A7E" w:rsidP="00F3494E">
      <w:pPr>
        <w:jc w:val="both"/>
      </w:pPr>
      <w:r>
        <w:rPr>
          <w:sz w:val="20"/>
        </w:rPr>
        <w:t>8.</w:t>
      </w:r>
    </w:p>
    <w:p w14:paraId="5EC5733C" w14:textId="77777777" w:rsidR="00ED3A7E" w:rsidRPr="000550CF" w:rsidRDefault="00ED3A7E" w:rsidP="00F3494E">
      <w:pPr>
        <w:jc w:val="both"/>
      </w:pPr>
      <w:r>
        <w:rPr>
          <w:sz w:val="20"/>
        </w:rPr>
        <w:t>Republic of Lithuania Seimas, Law</w:t>
      </w:r>
    </w:p>
    <w:p w14:paraId="57E2A3CE" w14:textId="77777777" w:rsidR="00ED3A7E" w:rsidRPr="000550CF" w:rsidRDefault="00ED3A7E" w:rsidP="00F3494E">
      <w:pPr>
        <w:jc w:val="both"/>
      </w:pPr>
      <w:r>
        <w:rPr>
          <w:sz w:val="20"/>
        </w:rPr>
        <w:t xml:space="preserve">No </w:t>
      </w:r>
      <w:hyperlink r:id="rId237" w:history="1">
        <w:r>
          <w:rPr>
            <w:iCs/>
            <w:color w:val="0000FF"/>
            <w:sz w:val="20"/>
            <w:u w:val="single"/>
          </w:rPr>
          <w:t>XIII-1234</w:t>
        </w:r>
      </w:hyperlink>
      <w:r>
        <w:rPr>
          <w:iCs/>
          <w:sz w:val="20"/>
        </w:rPr>
        <w:t>, 05-06-2018, published in the RLA, 04-06-2018, ID code 2018-09854</w:t>
      </w:r>
    </w:p>
    <w:p w14:paraId="2CB2FBF7" w14:textId="77777777" w:rsidR="00ED3A7E" w:rsidRPr="000550CF" w:rsidRDefault="00ED3A7E" w:rsidP="00F3494E">
      <w:pPr>
        <w:jc w:val="both"/>
        <w:rPr>
          <w:sz w:val="20"/>
        </w:rPr>
      </w:pPr>
      <w:r>
        <w:rPr>
          <w:sz w:val="20"/>
        </w:rPr>
        <w:t>Law amending Law No X-1024 of the Republic of Lithuania on Markets in Financial Instruments</w:t>
      </w:r>
    </w:p>
    <w:p w14:paraId="5D7B171E" w14:textId="0CA7A787" w:rsidR="00D010D5" w:rsidRDefault="00D010D5" w:rsidP="00D010D5">
      <w:pPr>
        <w:jc w:val="both"/>
        <w:rPr>
          <w:color w:val="000000"/>
          <w:sz w:val="27"/>
          <w:szCs w:val="27"/>
          <w:lang w:val="lt-LT" w:eastAsia="lt-LT"/>
        </w:rPr>
      </w:pPr>
    </w:p>
    <w:p w14:paraId="5632CE30" w14:textId="77777777" w:rsidR="00D010D5" w:rsidRDefault="00D010D5" w:rsidP="00D010D5">
      <w:pPr>
        <w:jc w:val="both"/>
        <w:rPr>
          <w:color w:val="000000"/>
          <w:sz w:val="27"/>
          <w:szCs w:val="27"/>
        </w:rPr>
      </w:pPr>
      <w:r>
        <w:rPr>
          <w:color w:val="000000"/>
          <w:sz w:val="20"/>
        </w:rPr>
        <w:t>9.</w:t>
      </w:r>
    </w:p>
    <w:p w14:paraId="761CDDAD" w14:textId="77777777" w:rsidR="00D010D5" w:rsidRDefault="00D010D5" w:rsidP="00D010D5">
      <w:pPr>
        <w:jc w:val="both"/>
        <w:rPr>
          <w:color w:val="000000"/>
          <w:sz w:val="27"/>
          <w:szCs w:val="27"/>
        </w:rPr>
      </w:pPr>
      <w:r>
        <w:rPr>
          <w:color w:val="000000"/>
          <w:sz w:val="20"/>
        </w:rPr>
        <w:t>The Republic of Lithuania Seimas, Law</w:t>
      </w:r>
    </w:p>
    <w:p w14:paraId="4C7138AC" w14:textId="77777777" w:rsidR="00D010D5" w:rsidRDefault="00D010D5" w:rsidP="00D010D5">
      <w:pPr>
        <w:jc w:val="both"/>
        <w:rPr>
          <w:color w:val="000000"/>
          <w:sz w:val="27"/>
          <w:szCs w:val="27"/>
        </w:rPr>
      </w:pPr>
      <w:r>
        <w:rPr>
          <w:color w:val="000000"/>
          <w:sz w:val="20"/>
        </w:rPr>
        <w:t xml:space="preserve">No </w:t>
      </w:r>
      <w:hyperlink r:id="rId238" w:tgtFrame="_parent" w:history="1">
        <w:r>
          <w:rPr>
            <w:rStyle w:val="Hyperlink"/>
            <w:sz w:val="20"/>
          </w:rPr>
          <w:t>XIII-1877</w:t>
        </w:r>
      </w:hyperlink>
      <w:r>
        <w:rPr>
          <w:color w:val="000000"/>
          <w:sz w:val="20"/>
        </w:rPr>
        <w:t>, 20/12/2018, published in the RLA, 08/01/2019, ID code 2019-00227</w:t>
      </w:r>
    </w:p>
    <w:p w14:paraId="2E97FE05" w14:textId="77777777" w:rsidR="00D010D5" w:rsidRDefault="00D010D5" w:rsidP="00D010D5">
      <w:pPr>
        <w:jc w:val="both"/>
        <w:rPr>
          <w:color w:val="000000"/>
          <w:sz w:val="27"/>
          <w:szCs w:val="27"/>
        </w:rPr>
      </w:pPr>
      <w:r>
        <w:rPr>
          <w:color w:val="000000"/>
          <w:sz w:val="20"/>
        </w:rPr>
        <w:t>Law amending Articles 2, 29 and 88 of the Republic of Lithuania Law No I-1024 on Markets in Financial Instruments</w:t>
      </w:r>
    </w:p>
    <w:p w14:paraId="17F8D000" w14:textId="16D2A8E2" w:rsidR="00D010D5" w:rsidRDefault="00D010D5" w:rsidP="00D010D5">
      <w:pPr>
        <w:jc w:val="both"/>
        <w:rPr>
          <w:color w:val="000000"/>
          <w:sz w:val="27"/>
          <w:szCs w:val="27"/>
        </w:rPr>
      </w:pPr>
    </w:p>
    <w:p w14:paraId="3F503CBC" w14:textId="77777777" w:rsidR="00D010D5" w:rsidRDefault="00D010D5" w:rsidP="00D010D5">
      <w:pPr>
        <w:jc w:val="both"/>
        <w:rPr>
          <w:color w:val="000000"/>
          <w:sz w:val="27"/>
          <w:szCs w:val="27"/>
        </w:rPr>
      </w:pPr>
      <w:r>
        <w:rPr>
          <w:color w:val="000000"/>
          <w:sz w:val="20"/>
        </w:rPr>
        <w:t>10.</w:t>
      </w:r>
    </w:p>
    <w:p w14:paraId="0436BCA3" w14:textId="77777777" w:rsidR="00D010D5" w:rsidRDefault="00D010D5" w:rsidP="00D010D5">
      <w:pPr>
        <w:jc w:val="both"/>
        <w:rPr>
          <w:color w:val="000000"/>
          <w:sz w:val="27"/>
          <w:szCs w:val="27"/>
        </w:rPr>
      </w:pPr>
      <w:r>
        <w:rPr>
          <w:color w:val="000000"/>
          <w:sz w:val="20"/>
        </w:rPr>
        <w:t>The Republic of Lithuania Seimas, Law</w:t>
      </w:r>
    </w:p>
    <w:p w14:paraId="42EF5F81" w14:textId="77777777" w:rsidR="00D010D5" w:rsidRDefault="00D010D5" w:rsidP="00D010D5">
      <w:pPr>
        <w:jc w:val="both"/>
        <w:rPr>
          <w:color w:val="000000"/>
          <w:sz w:val="27"/>
          <w:szCs w:val="27"/>
        </w:rPr>
      </w:pPr>
      <w:r>
        <w:rPr>
          <w:color w:val="000000"/>
          <w:sz w:val="20"/>
        </w:rPr>
        <w:t xml:space="preserve">No </w:t>
      </w:r>
      <w:hyperlink r:id="rId239" w:tgtFrame="_parent" w:history="1">
        <w:r>
          <w:rPr>
            <w:rStyle w:val="Hyperlink"/>
            <w:sz w:val="20"/>
          </w:rPr>
          <w:t>XIII-2024</w:t>
        </w:r>
      </w:hyperlink>
      <w:r>
        <w:rPr>
          <w:color w:val="000000"/>
          <w:sz w:val="20"/>
        </w:rPr>
        <w:t>, 26/03/2019, published in the RLA, 03/04/2019, ID code 2019-05398</w:t>
      </w:r>
    </w:p>
    <w:p w14:paraId="742FAABB" w14:textId="77777777" w:rsidR="00D010D5" w:rsidRDefault="00D010D5" w:rsidP="00D010D5">
      <w:pPr>
        <w:jc w:val="both"/>
        <w:rPr>
          <w:color w:val="000000"/>
          <w:sz w:val="27"/>
          <w:szCs w:val="27"/>
        </w:rPr>
      </w:pPr>
      <w:r>
        <w:rPr>
          <w:color w:val="000000"/>
          <w:sz w:val="20"/>
        </w:rPr>
        <w:t>Law amending Article 106 of and the Annex to the Republic of Lithuania Law No I-1024 on Markets in Financial Instruments</w:t>
      </w:r>
    </w:p>
    <w:p w14:paraId="63B5C417" w14:textId="2AA5B179" w:rsidR="00D010D5" w:rsidRDefault="00D010D5" w:rsidP="00D010D5">
      <w:pPr>
        <w:jc w:val="both"/>
        <w:rPr>
          <w:color w:val="000000"/>
          <w:sz w:val="27"/>
          <w:szCs w:val="27"/>
        </w:rPr>
      </w:pPr>
    </w:p>
    <w:p w14:paraId="4F307F72" w14:textId="77777777" w:rsidR="00D010D5" w:rsidRDefault="00D010D5" w:rsidP="00D010D5">
      <w:pPr>
        <w:jc w:val="both"/>
        <w:rPr>
          <w:color w:val="000000"/>
          <w:sz w:val="27"/>
          <w:szCs w:val="27"/>
        </w:rPr>
      </w:pPr>
      <w:r>
        <w:rPr>
          <w:color w:val="000000"/>
          <w:sz w:val="20"/>
        </w:rPr>
        <w:t>11.</w:t>
      </w:r>
    </w:p>
    <w:p w14:paraId="12961122" w14:textId="77777777" w:rsidR="00D010D5" w:rsidRDefault="00D010D5" w:rsidP="00D010D5">
      <w:pPr>
        <w:jc w:val="both"/>
        <w:rPr>
          <w:color w:val="000000"/>
          <w:sz w:val="27"/>
          <w:szCs w:val="27"/>
        </w:rPr>
      </w:pPr>
      <w:r>
        <w:rPr>
          <w:color w:val="000000"/>
          <w:sz w:val="20"/>
        </w:rPr>
        <w:t>The Republic of Lithuania Seimas, Law</w:t>
      </w:r>
    </w:p>
    <w:p w14:paraId="221BFB3A" w14:textId="77777777" w:rsidR="00D010D5" w:rsidRDefault="00D010D5" w:rsidP="00D010D5">
      <w:pPr>
        <w:jc w:val="both"/>
        <w:rPr>
          <w:color w:val="000000"/>
          <w:sz w:val="27"/>
          <w:szCs w:val="27"/>
        </w:rPr>
      </w:pPr>
      <w:r>
        <w:rPr>
          <w:color w:val="000000"/>
          <w:sz w:val="20"/>
        </w:rPr>
        <w:t xml:space="preserve">No </w:t>
      </w:r>
      <w:hyperlink r:id="rId240" w:tgtFrame="_parent" w:history="1">
        <w:r>
          <w:rPr>
            <w:rStyle w:val="Hyperlink"/>
            <w:sz w:val="20"/>
          </w:rPr>
          <w:t>XIII-2252</w:t>
        </w:r>
      </w:hyperlink>
      <w:r>
        <w:rPr>
          <w:color w:val="000000"/>
          <w:sz w:val="20"/>
        </w:rPr>
        <w:t>, 27/06/2019, published in the RLA, 05/07/2019, ID code 2019-11172</w:t>
      </w:r>
    </w:p>
    <w:p w14:paraId="2681AA8D" w14:textId="77777777" w:rsidR="00D010D5" w:rsidRDefault="00D010D5" w:rsidP="00D010D5">
      <w:pPr>
        <w:jc w:val="both"/>
        <w:rPr>
          <w:color w:val="000000"/>
          <w:sz w:val="27"/>
          <w:szCs w:val="27"/>
        </w:rPr>
      </w:pPr>
      <w:r>
        <w:rPr>
          <w:color w:val="000000"/>
          <w:sz w:val="20"/>
        </w:rPr>
        <w:t>Law amending Articles 2, 3, 88, 89, 90, 93, 102, the title of Section Five and the Annex of the Republic of Lithuania Law No I-1024 on Markets in Financial Instruments, and supplementing the Law with Articles 41-1, 41-2, 41-3, 41-4, 89-1</w:t>
      </w:r>
    </w:p>
    <w:p w14:paraId="5778ABD4" w14:textId="31962F36" w:rsidR="00D010D5" w:rsidRDefault="00D010D5" w:rsidP="00D010D5">
      <w:pPr>
        <w:jc w:val="both"/>
        <w:rPr>
          <w:color w:val="000000"/>
          <w:sz w:val="27"/>
          <w:szCs w:val="27"/>
        </w:rPr>
      </w:pPr>
    </w:p>
    <w:p w14:paraId="4B64BE3B" w14:textId="77777777" w:rsidR="00D010D5" w:rsidRDefault="00D010D5" w:rsidP="00D010D5">
      <w:pPr>
        <w:jc w:val="both"/>
        <w:rPr>
          <w:color w:val="000000"/>
          <w:sz w:val="27"/>
          <w:szCs w:val="27"/>
        </w:rPr>
      </w:pPr>
      <w:r>
        <w:rPr>
          <w:color w:val="000000"/>
          <w:sz w:val="20"/>
        </w:rPr>
        <w:t>12.</w:t>
      </w:r>
    </w:p>
    <w:p w14:paraId="72E2AB95" w14:textId="77777777" w:rsidR="00D010D5" w:rsidRDefault="00D010D5" w:rsidP="00D010D5">
      <w:pPr>
        <w:jc w:val="both"/>
        <w:rPr>
          <w:color w:val="000000"/>
          <w:sz w:val="27"/>
          <w:szCs w:val="27"/>
        </w:rPr>
      </w:pPr>
      <w:r>
        <w:rPr>
          <w:color w:val="000000"/>
          <w:sz w:val="20"/>
        </w:rPr>
        <w:t>The Republic of Lithuania Seimas, Law</w:t>
      </w:r>
    </w:p>
    <w:p w14:paraId="7CDD5E46" w14:textId="77777777" w:rsidR="00D010D5" w:rsidRDefault="00D010D5" w:rsidP="00D010D5">
      <w:pPr>
        <w:jc w:val="both"/>
        <w:rPr>
          <w:color w:val="000000"/>
          <w:sz w:val="27"/>
          <w:szCs w:val="27"/>
        </w:rPr>
      </w:pPr>
      <w:r>
        <w:rPr>
          <w:color w:val="000000"/>
          <w:sz w:val="20"/>
        </w:rPr>
        <w:t xml:space="preserve">No </w:t>
      </w:r>
      <w:hyperlink r:id="rId241" w:tgtFrame="_parent" w:history="1">
        <w:r>
          <w:rPr>
            <w:rStyle w:val="Hyperlink"/>
            <w:sz w:val="20"/>
          </w:rPr>
          <w:t>XIII-2358</w:t>
        </w:r>
      </w:hyperlink>
      <w:r>
        <w:rPr>
          <w:color w:val="000000"/>
          <w:sz w:val="20"/>
        </w:rPr>
        <w:t>, 16/07/2019, published in the RLA, 19/07/2019, ID code 2019-11980</w:t>
      </w:r>
    </w:p>
    <w:p w14:paraId="53769A0A" w14:textId="77777777" w:rsidR="00D010D5" w:rsidRDefault="00D010D5" w:rsidP="00D010D5">
      <w:pPr>
        <w:jc w:val="both"/>
        <w:rPr>
          <w:color w:val="000000"/>
          <w:sz w:val="27"/>
          <w:szCs w:val="27"/>
        </w:rPr>
      </w:pPr>
      <w:r>
        <w:rPr>
          <w:color w:val="000000"/>
          <w:sz w:val="20"/>
        </w:rPr>
        <w:t>Law amending Articles 3, 25, 35, 53, 56, 58, 59, 62, 82, 111 and the Annex of the Republic of Lithuania Law No I-1024 on Markets in Financial Instruments, and supplementing the Law with Article 62-1</w:t>
      </w:r>
    </w:p>
    <w:p w14:paraId="08006028" w14:textId="699DE7F2" w:rsidR="00D010D5" w:rsidRDefault="00D010D5" w:rsidP="00D010D5">
      <w:pPr>
        <w:jc w:val="both"/>
        <w:rPr>
          <w:color w:val="000000"/>
          <w:sz w:val="27"/>
          <w:szCs w:val="27"/>
        </w:rPr>
      </w:pPr>
    </w:p>
    <w:p w14:paraId="11758EF0" w14:textId="77777777" w:rsidR="00D010D5" w:rsidRDefault="00D010D5" w:rsidP="00D010D5">
      <w:pPr>
        <w:jc w:val="both"/>
        <w:rPr>
          <w:color w:val="000000"/>
          <w:sz w:val="27"/>
          <w:szCs w:val="27"/>
        </w:rPr>
      </w:pPr>
      <w:r>
        <w:rPr>
          <w:color w:val="000000"/>
          <w:sz w:val="20"/>
        </w:rPr>
        <w:t>13.</w:t>
      </w:r>
    </w:p>
    <w:p w14:paraId="65F94DB3" w14:textId="77777777" w:rsidR="00D010D5" w:rsidRDefault="00D010D5" w:rsidP="00D010D5">
      <w:pPr>
        <w:jc w:val="both"/>
        <w:rPr>
          <w:color w:val="000000"/>
          <w:sz w:val="27"/>
          <w:szCs w:val="27"/>
        </w:rPr>
      </w:pPr>
      <w:r>
        <w:rPr>
          <w:color w:val="000000"/>
          <w:sz w:val="20"/>
        </w:rPr>
        <w:t>The Republic of Lithuania Seimas, Law</w:t>
      </w:r>
    </w:p>
    <w:p w14:paraId="2826B4EE" w14:textId="77777777" w:rsidR="00D010D5" w:rsidRDefault="00D010D5" w:rsidP="00D010D5">
      <w:pPr>
        <w:jc w:val="both"/>
        <w:rPr>
          <w:color w:val="000000"/>
          <w:sz w:val="27"/>
          <w:szCs w:val="27"/>
        </w:rPr>
      </w:pPr>
      <w:r>
        <w:rPr>
          <w:color w:val="000000"/>
          <w:sz w:val="20"/>
        </w:rPr>
        <w:t xml:space="preserve">No </w:t>
      </w:r>
      <w:hyperlink r:id="rId242" w:tgtFrame="_parent" w:history="1">
        <w:r>
          <w:rPr>
            <w:rStyle w:val="Hyperlink"/>
            <w:sz w:val="20"/>
          </w:rPr>
          <w:t>XIII-2974</w:t>
        </w:r>
      </w:hyperlink>
      <w:r>
        <w:rPr>
          <w:color w:val="000000"/>
          <w:sz w:val="20"/>
        </w:rPr>
        <w:t>, 21/05/2020, published in the RLA, 29/05/2020, ID code 2020-11674</w:t>
      </w:r>
    </w:p>
    <w:p w14:paraId="6FF7CD53" w14:textId="77777777" w:rsidR="00D010D5" w:rsidRDefault="00D010D5" w:rsidP="00D010D5">
      <w:pPr>
        <w:jc w:val="both"/>
        <w:rPr>
          <w:color w:val="000000"/>
          <w:sz w:val="27"/>
          <w:szCs w:val="27"/>
        </w:rPr>
      </w:pPr>
      <w:r>
        <w:rPr>
          <w:color w:val="000000"/>
          <w:sz w:val="20"/>
        </w:rPr>
        <w:t>Law amending Articles 2, 3, 30, 62-1, 67 and the Annex of the Republic of Lithuania Law No I-1024 on Markets in Financial Instruments</w:t>
      </w:r>
    </w:p>
    <w:p w14:paraId="108CD234" w14:textId="69D80F62" w:rsidR="00D010D5" w:rsidRDefault="00D010D5" w:rsidP="00D010D5">
      <w:pPr>
        <w:jc w:val="both"/>
        <w:rPr>
          <w:color w:val="000000"/>
          <w:sz w:val="27"/>
          <w:szCs w:val="27"/>
        </w:rPr>
      </w:pPr>
    </w:p>
    <w:p w14:paraId="0568E1D9" w14:textId="77777777" w:rsidR="00D010D5" w:rsidRDefault="00D010D5" w:rsidP="00D010D5">
      <w:pPr>
        <w:jc w:val="both"/>
        <w:rPr>
          <w:color w:val="000000"/>
          <w:sz w:val="27"/>
          <w:szCs w:val="27"/>
        </w:rPr>
      </w:pPr>
      <w:r>
        <w:rPr>
          <w:color w:val="000000"/>
          <w:sz w:val="20"/>
        </w:rPr>
        <w:t>14.</w:t>
      </w:r>
    </w:p>
    <w:p w14:paraId="23ACE3DA" w14:textId="77777777" w:rsidR="00D010D5" w:rsidRDefault="00D010D5" w:rsidP="00D010D5">
      <w:pPr>
        <w:jc w:val="both"/>
        <w:rPr>
          <w:color w:val="000000"/>
          <w:sz w:val="27"/>
          <w:szCs w:val="27"/>
        </w:rPr>
      </w:pPr>
      <w:r>
        <w:rPr>
          <w:color w:val="000000"/>
          <w:sz w:val="20"/>
        </w:rPr>
        <w:t>The Republic of Lithuania Seimas, Law</w:t>
      </w:r>
    </w:p>
    <w:p w14:paraId="3AADE781" w14:textId="77777777" w:rsidR="00D010D5" w:rsidRDefault="00D010D5" w:rsidP="00D010D5">
      <w:pPr>
        <w:jc w:val="both"/>
        <w:rPr>
          <w:color w:val="000000"/>
          <w:sz w:val="27"/>
          <w:szCs w:val="27"/>
        </w:rPr>
      </w:pPr>
      <w:r>
        <w:rPr>
          <w:color w:val="000000"/>
          <w:sz w:val="20"/>
        </w:rPr>
        <w:t xml:space="preserve">No </w:t>
      </w:r>
      <w:hyperlink r:id="rId243" w:tgtFrame="_parent" w:history="1">
        <w:r>
          <w:rPr>
            <w:rStyle w:val="Hyperlink"/>
            <w:sz w:val="20"/>
          </w:rPr>
          <w:t>XIII-2964</w:t>
        </w:r>
      </w:hyperlink>
      <w:r>
        <w:rPr>
          <w:color w:val="000000"/>
          <w:sz w:val="20"/>
        </w:rPr>
        <w:t>, 21/05/2020, published in the RLA, 28/05/2020, ID code 2020-11343</w:t>
      </w:r>
    </w:p>
    <w:p w14:paraId="3C971A61" w14:textId="77777777" w:rsidR="00D010D5" w:rsidRDefault="00D010D5" w:rsidP="00D010D5">
      <w:pPr>
        <w:jc w:val="both"/>
        <w:rPr>
          <w:color w:val="000000"/>
          <w:sz w:val="27"/>
          <w:szCs w:val="27"/>
        </w:rPr>
      </w:pPr>
      <w:r>
        <w:rPr>
          <w:color w:val="000000"/>
          <w:sz w:val="20"/>
        </w:rPr>
        <w:t>Law amending Articles 6 and 79 of the Republic of Lithuania Law No I-1024 on Markets in Financial Instruments</w:t>
      </w:r>
    </w:p>
    <w:p w14:paraId="0BDBBEE7" w14:textId="20D30A4E" w:rsidR="00D010D5" w:rsidRDefault="00D010D5" w:rsidP="00D010D5">
      <w:pPr>
        <w:jc w:val="both"/>
        <w:rPr>
          <w:color w:val="000000"/>
          <w:sz w:val="27"/>
          <w:szCs w:val="27"/>
        </w:rPr>
      </w:pPr>
    </w:p>
    <w:p w14:paraId="08375839" w14:textId="77777777" w:rsidR="00D010D5" w:rsidRDefault="00D010D5" w:rsidP="00D010D5">
      <w:pPr>
        <w:jc w:val="both"/>
        <w:rPr>
          <w:color w:val="000000"/>
          <w:sz w:val="27"/>
          <w:szCs w:val="27"/>
        </w:rPr>
      </w:pPr>
      <w:r>
        <w:rPr>
          <w:color w:val="000000"/>
          <w:sz w:val="20"/>
        </w:rPr>
        <w:t>15.</w:t>
      </w:r>
    </w:p>
    <w:p w14:paraId="4E402DF1" w14:textId="77777777" w:rsidR="00D010D5" w:rsidRDefault="00D010D5" w:rsidP="00D010D5">
      <w:pPr>
        <w:jc w:val="both"/>
        <w:rPr>
          <w:color w:val="000000"/>
          <w:sz w:val="27"/>
          <w:szCs w:val="27"/>
        </w:rPr>
      </w:pPr>
      <w:r>
        <w:rPr>
          <w:color w:val="000000"/>
          <w:sz w:val="20"/>
        </w:rPr>
        <w:t>The Republic of Lithuania Seimas, Law</w:t>
      </w:r>
    </w:p>
    <w:p w14:paraId="0F2F48FA" w14:textId="77777777" w:rsidR="00D010D5" w:rsidRDefault="00D010D5" w:rsidP="00D010D5">
      <w:pPr>
        <w:jc w:val="both"/>
        <w:rPr>
          <w:color w:val="000000"/>
          <w:sz w:val="27"/>
          <w:szCs w:val="27"/>
        </w:rPr>
      </w:pPr>
      <w:r>
        <w:rPr>
          <w:color w:val="000000"/>
          <w:sz w:val="20"/>
        </w:rPr>
        <w:t xml:space="preserve">No </w:t>
      </w:r>
      <w:hyperlink r:id="rId244" w:tgtFrame="_parent" w:history="1">
        <w:r>
          <w:rPr>
            <w:rStyle w:val="Hyperlink"/>
            <w:sz w:val="20"/>
          </w:rPr>
          <w:t>XIV-767</w:t>
        </w:r>
      </w:hyperlink>
      <w:r>
        <w:rPr>
          <w:color w:val="000000"/>
          <w:sz w:val="20"/>
        </w:rPr>
        <w:t>, 14/12/2021, published in the RLA, 23/12/2021, ID code 2021-26896</w:t>
      </w:r>
    </w:p>
    <w:p w14:paraId="240F4ACE" w14:textId="77777777" w:rsidR="00D010D5" w:rsidRDefault="00D010D5" w:rsidP="00D010D5">
      <w:pPr>
        <w:jc w:val="both"/>
        <w:rPr>
          <w:color w:val="000000"/>
          <w:sz w:val="27"/>
          <w:szCs w:val="27"/>
        </w:rPr>
      </w:pPr>
      <w:r>
        <w:rPr>
          <w:color w:val="000000"/>
          <w:sz w:val="20"/>
        </w:rPr>
        <w:t>Law amending Articles 15, 102, 107 and the Annex of the Republic of Lithuania Law No I-1024 on Markets in Financial Instruments, and supplementing the Law with Articles 29-1 and 105-1</w:t>
      </w:r>
    </w:p>
    <w:p w14:paraId="79B58C36" w14:textId="5B3F14CC" w:rsidR="00D010D5" w:rsidRDefault="00D010D5" w:rsidP="00D010D5">
      <w:pPr>
        <w:jc w:val="both"/>
        <w:rPr>
          <w:color w:val="000000"/>
          <w:sz w:val="27"/>
          <w:szCs w:val="27"/>
        </w:rPr>
      </w:pPr>
    </w:p>
    <w:p w14:paraId="44D0E97B" w14:textId="77777777" w:rsidR="00D010D5" w:rsidRDefault="00D010D5" w:rsidP="00D010D5">
      <w:pPr>
        <w:jc w:val="both"/>
        <w:rPr>
          <w:color w:val="000000"/>
          <w:sz w:val="27"/>
          <w:szCs w:val="27"/>
        </w:rPr>
      </w:pPr>
      <w:r>
        <w:rPr>
          <w:color w:val="000000"/>
          <w:sz w:val="20"/>
        </w:rPr>
        <w:t>16.</w:t>
      </w:r>
    </w:p>
    <w:p w14:paraId="1D99E2E3" w14:textId="77777777" w:rsidR="00D010D5" w:rsidRDefault="00D010D5" w:rsidP="00D010D5">
      <w:pPr>
        <w:jc w:val="both"/>
        <w:rPr>
          <w:color w:val="000000"/>
          <w:sz w:val="27"/>
          <w:szCs w:val="27"/>
        </w:rPr>
      </w:pPr>
      <w:r>
        <w:rPr>
          <w:color w:val="000000"/>
          <w:sz w:val="20"/>
        </w:rPr>
        <w:t>The Republic of Lithuania Seimas, Law</w:t>
      </w:r>
    </w:p>
    <w:p w14:paraId="33A1D1B8" w14:textId="77777777" w:rsidR="00D010D5" w:rsidRDefault="00D010D5" w:rsidP="00D010D5">
      <w:pPr>
        <w:jc w:val="both"/>
        <w:rPr>
          <w:color w:val="000000"/>
          <w:sz w:val="27"/>
          <w:szCs w:val="27"/>
        </w:rPr>
      </w:pPr>
      <w:r>
        <w:rPr>
          <w:color w:val="000000"/>
          <w:sz w:val="20"/>
        </w:rPr>
        <w:t xml:space="preserve">No </w:t>
      </w:r>
      <w:hyperlink r:id="rId245" w:tgtFrame="_parent" w:history="1">
        <w:r>
          <w:rPr>
            <w:rStyle w:val="Hyperlink"/>
            <w:sz w:val="20"/>
          </w:rPr>
          <w:t>XIV-821</w:t>
        </w:r>
      </w:hyperlink>
      <w:r>
        <w:rPr>
          <w:color w:val="000000"/>
          <w:sz w:val="20"/>
        </w:rPr>
        <w:t>, 23/12/2021, published in the RLA, 30/12/2021, ID code 2021-27710</w:t>
      </w:r>
    </w:p>
    <w:p w14:paraId="61F73C9C" w14:textId="77777777" w:rsidR="00D010D5" w:rsidRDefault="00D010D5" w:rsidP="00D010D5">
      <w:pPr>
        <w:jc w:val="both"/>
        <w:rPr>
          <w:color w:val="000000"/>
          <w:sz w:val="27"/>
          <w:szCs w:val="27"/>
        </w:rPr>
      </w:pPr>
      <w:r>
        <w:rPr>
          <w:color w:val="000000"/>
          <w:sz w:val="20"/>
        </w:rPr>
        <w:t>Law amending Articles 2, 3, 6, 8, 9, 13, 14, 15, 16, 23, 29, 30, 31, 33, 35, 37, 39, 49, 50, 51, 72, 73, 76, 93, 97, 99, 102, 107, 111, 112, 114  and the Annex of the Republic of Lithuania Law No I-1024 on Markets in Financial Instruments, and supplementing the Law with Articles 14-1, 14-2, 15-1, 15-2, 15-3, 15-4, 15-5, 15-6, 44-1, 107-1, 111-1 and repealing Chapter V</w:t>
      </w:r>
    </w:p>
    <w:p w14:paraId="64DD126C" w14:textId="1E0DB45F" w:rsidR="00D010D5" w:rsidRDefault="00D010D5" w:rsidP="00D010D5">
      <w:pPr>
        <w:jc w:val="both"/>
        <w:rPr>
          <w:color w:val="000000"/>
          <w:sz w:val="27"/>
          <w:szCs w:val="27"/>
        </w:rPr>
      </w:pPr>
    </w:p>
    <w:p w14:paraId="1018ACB4" w14:textId="77777777" w:rsidR="00D010D5" w:rsidRDefault="00D010D5" w:rsidP="00D010D5">
      <w:pPr>
        <w:jc w:val="both"/>
        <w:rPr>
          <w:color w:val="000000"/>
          <w:sz w:val="27"/>
          <w:szCs w:val="27"/>
        </w:rPr>
      </w:pPr>
      <w:r>
        <w:rPr>
          <w:color w:val="000000"/>
          <w:sz w:val="20"/>
        </w:rPr>
        <w:t>17.</w:t>
      </w:r>
    </w:p>
    <w:p w14:paraId="1DA62559" w14:textId="77777777" w:rsidR="00D010D5" w:rsidRDefault="00D010D5" w:rsidP="00D010D5">
      <w:pPr>
        <w:jc w:val="both"/>
        <w:rPr>
          <w:color w:val="000000"/>
          <w:sz w:val="27"/>
          <w:szCs w:val="27"/>
        </w:rPr>
      </w:pPr>
      <w:r>
        <w:rPr>
          <w:color w:val="000000"/>
          <w:sz w:val="20"/>
        </w:rPr>
        <w:t>The Republic of Lithuania Seimas, Law</w:t>
      </w:r>
    </w:p>
    <w:p w14:paraId="09F38467" w14:textId="77777777" w:rsidR="00D010D5" w:rsidRDefault="00D010D5" w:rsidP="00D010D5">
      <w:pPr>
        <w:jc w:val="both"/>
        <w:rPr>
          <w:color w:val="000000"/>
          <w:sz w:val="27"/>
          <w:szCs w:val="27"/>
        </w:rPr>
      </w:pPr>
      <w:r>
        <w:rPr>
          <w:color w:val="000000"/>
          <w:sz w:val="20"/>
        </w:rPr>
        <w:t xml:space="preserve">No </w:t>
      </w:r>
      <w:hyperlink r:id="rId246" w:tgtFrame="_parent" w:history="1">
        <w:r>
          <w:rPr>
            <w:rStyle w:val="Hyperlink"/>
            <w:sz w:val="20"/>
          </w:rPr>
          <w:t>XIV-1455</w:t>
        </w:r>
      </w:hyperlink>
      <w:r>
        <w:rPr>
          <w:color w:val="000000"/>
          <w:sz w:val="20"/>
        </w:rPr>
        <w:t>, 27/10/2022, published in the RLA, 07/11/2022, ID code 2022-22566</w:t>
      </w:r>
    </w:p>
    <w:p w14:paraId="5E2B1851" w14:textId="77777777" w:rsidR="00D010D5" w:rsidRDefault="00D010D5" w:rsidP="00D010D5">
      <w:pPr>
        <w:jc w:val="both"/>
        <w:rPr>
          <w:color w:val="000000"/>
          <w:sz w:val="27"/>
          <w:szCs w:val="27"/>
        </w:rPr>
      </w:pPr>
      <w:r>
        <w:rPr>
          <w:color w:val="000000"/>
          <w:sz w:val="20"/>
        </w:rPr>
        <w:t>Law amending Articles 2, 3, 93, 111 and the Annex of the Republic of Lithuania Law No I-1024 on Markets in Financial Instruments, and supplementing the Law with Chapter VI-1</w:t>
      </w:r>
    </w:p>
    <w:p w14:paraId="3650BE68" w14:textId="0ECD6753" w:rsidR="00D010D5" w:rsidRDefault="00D010D5" w:rsidP="00D010D5">
      <w:pPr>
        <w:jc w:val="both"/>
        <w:rPr>
          <w:color w:val="000000"/>
          <w:sz w:val="27"/>
          <w:szCs w:val="27"/>
        </w:rPr>
      </w:pPr>
    </w:p>
    <w:p w14:paraId="52A57399" w14:textId="77777777" w:rsidR="00D010D5" w:rsidRDefault="00D010D5" w:rsidP="00D010D5">
      <w:pPr>
        <w:jc w:val="both"/>
        <w:rPr>
          <w:color w:val="000000"/>
          <w:sz w:val="27"/>
          <w:szCs w:val="27"/>
        </w:rPr>
      </w:pPr>
      <w:r>
        <w:rPr>
          <w:color w:val="000000"/>
          <w:sz w:val="20"/>
        </w:rPr>
        <w:t>18.</w:t>
      </w:r>
    </w:p>
    <w:p w14:paraId="305089ED" w14:textId="77777777" w:rsidR="00D010D5" w:rsidRDefault="00D010D5" w:rsidP="00D010D5">
      <w:pPr>
        <w:jc w:val="both"/>
        <w:rPr>
          <w:color w:val="000000"/>
          <w:sz w:val="27"/>
          <w:szCs w:val="27"/>
        </w:rPr>
      </w:pPr>
      <w:r>
        <w:rPr>
          <w:color w:val="000000"/>
          <w:sz w:val="20"/>
        </w:rPr>
        <w:t>The Republic of Lithuania Seimas, Law</w:t>
      </w:r>
    </w:p>
    <w:p w14:paraId="1CC81EAB" w14:textId="77777777" w:rsidR="00D010D5" w:rsidRDefault="00D010D5" w:rsidP="00D010D5">
      <w:pPr>
        <w:jc w:val="both"/>
        <w:rPr>
          <w:color w:val="000000"/>
          <w:sz w:val="27"/>
          <w:szCs w:val="27"/>
        </w:rPr>
      </w:pPr>
      <w:r>
        <w:rPr>
          <w:color w:val="000000"/>
          <w:sz w:val="20"/>
        </w:rPr>
        <w:t xml:space="preserve">No </w:t>
      </w:r>
      <w:hyperlink r:id="rId247" w:tgtFrame="_parent" w:history="1">
        <w:r>
          <w:rPr>
            <w:rStyle w:val="Hyperlink"/>
            <w:sz w:val="20"/>
          </w:rPr>
          <w:t>XIV-1495</w:t>
        </w:r>
      </w:hyperlink>
      <w:r>
        <w:rPr>
          <w:color w:val="000000"/>
          <w:sz w:val="20"/>
        </w:rPr>
        <w:t>, 08/11/2022, published in the RLA, 09/11/2022, ID code 2022-22683</w:t>
      </w:r>
    </w:p>
    <w:p w14:paraId="444D4A3B" w14:textId="77777777" w:rsidR="00D010D5" w:rsidRDefault="00D010D5" w:rsidP="00D010D5">
      <w:pPr>
        <w:jc w:val="both"/>
        <w:rPr>
          <w:color w:val="000000"/>
          <w:sz w:val="27"/>
          <w:szCs w:val="27"/>
        </w:rPr>
      </w:pPr>
      <w:r>
        <w:rPr>
          <w:color w:val="000000"/>
          <w:sz w:val="20"/>
        </w:rPr>
        <w:t>Law amending the Annex to the Republic of Lithuania Law No I-1024 on Markets in Financial Instruments</w:t>
      </w:r>
    </w:p>
    <w:p w14:paraId="6425978B" w14:textId="79018136" w:rsidR="00D010D5" w:rsidRDefault="00D010D5" w:rsidP="00D010D5">
      <w:pPr>
        <w:jc w:val="both"/>
        <w:rPr>
          <w:color w:val="000000"/>
          <w:sz w:val="27"/>
          <w:szCs w:val="27"/>
        </w:rPr>
      </w:pPr>
    </w:p>
    <w:p w14:paraId="76882BE5" w14:textId="77777777" w:rsidR="00D010D5" w:rsidRPr="000550CF" w:rsidRDefault="00D010D5" w:rsidP="00F3494E">
      <w:pPr>
        <w:widowControl w:val="0"/>
        <w:rPr>
          <w:snapToGrid w:val="0"/>
        </w:rPr>
      </w:pPr>
    </w:p>
    <w:sectPr w:rsidR="00D010D5" w:rsidRPr="000550CF" w:rsidSect="001E0AA2">
      <w:headerReference w:type="even" r:id="rId248"/>
      <w:headerReference w:type="default" r:id="rId249"/>
      <w:footerReference w:type="even" r:id="rId250"/>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30ABA" w14:textId="77777777" w:rsidR="00C22949" w:rsidRDefault="00C22949">
      <w:pPr>
        <w:rPr>
          <w:rFonts w:ascii="TimesLT" w:hAnsi="TimesLT"/>
          <w:lang w:val="en-US"/>
        </w:rPr>
      </w:pPr>
      <w:r>
        <w:rPr>
          <w:rFonts w:ascii="TimesLT" w:hAnsi="TimesLT"/>
          <w:lang w:val="en-US"/>
        </w:rPr>
        <w:separator/>
      </w:r>
    </w:p>
  </w:endnote>
  <w:endnote w:type="continuationSeparator" w:id="0">
    <w:p w14:paraId="4E069ACE" w14:textId="77777777" w:rsidR="00C22949" w:rsidRDefault="00C22949">
      <w:pPr>
        <w:rPr>
          <w:rFonts w:ascii="TimesLT" w:hAnsi="TimesLT"/>
          <w:lang w:val="en-US"/>
        </w:rPr>
      </w:pPr>
      <w:r>
        <w:rPr>
          <w:rFonts w:ascii="TimesLT" w:hAnsi="TimesLT"/>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FFFD8" w14:textId="77777777" w:rsidR="00ED3A7E" w:rsidRDefault="00ED3A7E">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14:paraId="6066E01A" w14:textId="77777777" w:rsidR="00ED3A7E" w:rsidRDefault="00ED3A7E">
    <w:pPr>
      <w:tabs>
        <w:tab w:val="center" w:pos="4320"/>
        <w:tab w:val="right" w:pos="8640"/>
      </w:tabs>
      <w:spacing w:line="360" w:lineRule="auto"/>
      <w:ind w:firstLine="720"/>
      <w:jc w:val="both"/>
      <w:rPr>
        <w:rFonts w:ascii="TimesLT" w:hAnsi="Times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B89E8" w14:textId="77777777" w:rsidR="00ED3A7E" w:rsidRDefault="00ED3A7E">
    <w:pPr>
      <w:tabs>
        <w:tab w:val="center" w:pos="4320"/>
        <w:tab w:val="right" w:pos="8640"/>
      </w:tabs>
      <w:spacing w:line="360" w:lineRule="auto"/>
      <w:ind w:firstLine="720"/>
      <w:jc w:val="both"/>
      <w:rPr>
        <w:rFonts w:ascii="TimesLT" w:hAnsi="Times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9ACD8" w14:textId="77777777" w:rsidR="00ED3A7E" w:rsidRDefault="00ED3A7E">
    <w:pPr>
      <w:tabs>
        <w:tab w:val="center" w:pos="4320"/>
        <w:tab w:val="right" w:pos="8640"/>
      </w:tabs>
      <w:spacing w:line="360" w:lineRule="auto"/>
      <w:ind w:firstLine="720"/>
      <w:jc w:val="both"/>
      <w:rPr>
        <w:rFonts w:ascii="TimesLT" w:hAnsi="TimesL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A8ABD" w14:textId="77777777" w:rsidR="00ED3A7E" w:rsidRDefault="00ED3A7E">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14:paraId="56E955C4" w14:textId="77777777" w:rsidR="00ED3A7E" w:rsidRDefault="00ED3A7E">
    <w:pPr>
      <w:tabs>
        <w:tab w:val="center" w:pos="4320"/>
        <w:tab w:val="right" w:pos="8640"/>
      </w:tabs>
      <w:spacing w:line="360" w:lineRule="auto"/>
      <w:ind w:firstLine="720"/>
      <w:jc w:val="both"/>
      <w:rPr>
        <w:rFonts w:ascii="TimesLT" w:hAnsi="Times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81B63" w14:textId="77777777" w:rsidR="00C22949" w:rsidRDefault="00C22949">
      <w:pPr>
        <w:rPr>
          <w:rFonts w:ascii="TimesLT" w:hAnsi="TimesLT"/>
          <w:lang w:val="en-US"/>
        </w:rPr>
      </w:pPr>
      <w:r>
        <w:rPr>
          <w:rFonts w:ascii="TimesLT" w:hAnsi="TimesLT"/>
          <w:lang w:val="en-US"/>
        </w:rPr>
        <w:separator/>
      </w:r>
    </w:p>
  </w:footnote>
  <w:footnote w:type="continuationSeparator" w:id="0">
    <w:p w14:paraId="599F6F18" w14:textId="77777777" w:rsidR="00C22949" w:rsidRDefault="00C22949">
      <w:pPr>
        <w:rPr>
          <w:rFonts w:ascii="TimesLT" w:hAnsi="TimesLT"/>
          <w:lang w:val="en-US"/>
        </w:rPr>
      </w:pPr>
      <w:r>
        <w:rPr>
          <w:rFonts w:ascii="TimesLT" w:hAnsi="TimesLT"/>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5D4CE" w14:textId="77777777" w:rsidR="00ED3A7E" w:rsidRDefault="00ED3A7E">
    <w:pPr>
      <w:framePr w:wrap="auto" w:vAnchor="text" w:hAnchor="margin" w:xAlign="center" w:y="1"/>
      <w:tabs>
        <w:tab w:val="center" w:pos="4153"/>
        <w:tab w:val="right" w:pos="8306"/>
      </w:tabs>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14:paraId="20619664" w14:textId="77777777" w:rsidR="00ED3A7E" w:rsidRDefault="00ED3A7E">
    <w:pPr>
      <w:tabs>
        <w:tab w:val="center" w:pos="4153"/>
        <w:tab w:val="right" w:pos="8306"/>
      </w:tabs>
      <w:rPr>
        <w:rFonts w:ascii="TimesLT" w:hAnsi="TimesLT"/>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30B93" w14:textId="77777777" w:rsidR="00ED3A7E" w:rsidRPr="0000280A" w:rsidRDefault="00ED3A7E">
    <w:pPr>
      <w:framePr w:wrap="auto" w:vAnchor="text" w:hAnchor="margin" w:xAlign="center" w:y="1"/>
      <w:tabs>
        <w:tab w:val="center" w:pos="4153"/>
        <w:tab w:val="right" w:pos="8306"/>
      </w:tabs>
    </w:pPr>
    <w:r w:rsidRPr="0000280A">
      <w:fldChar w:fldCharType="begin"/>
    </w:r>
    <w:r w:rsidRPr="0000280A">
      <w:instrText xml:space="preserve">PAGE  </w:instrText>
    </w:r>
    <w:r w:rsidRPr="0000280A">
      <w:fldChar w:fldCharType="separate"/>
    </w:r>
    <w:r w:rsidR="007B3ADE">
      <w:t>2</w:t>
    </w:r>
    <w:r w:rsidRPr="0000280A">
      <w:fldChar w:fldCharType="end"/>
    </w:r>
  </w:p>
  <w:p w14:paraId="5CBFFB5D" w14:textId="77777777" w:rsidR="00ED3A7E" w:rsidRDefault="00ED3A7E">
    <w:pPr>
      <w:tabs>
        <w:tab w:val="center" w:pos="4153"/>
        <w:tab w:val="right" w:pos="8306"/>
      </w:tabs>
      <w:rPr>
        <w:rFonts w:ascii="TimesLT" w:hAnsi="TimesLT"/>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FFACF" w14:textId="77777777" w:rsidR="00ED3A7E" w:rsidRDefault="00ED3A7E">
    <w:pPr>
      <w:tabs>
        <w:tab w:val="center" w:pos="4153"/>
        <w:tab w:val="right" w:pos="8306"/>
      </w:tabs>
      <w:rPr>
        <w:rFonts w:ascii="TimesLT" w:hAnsi="TimesLT"/>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5CC2B" w14:textId="77777777" w:rsidR="00ED3A7E" w:rsidRDefault="00ED3A7E">
    <w:pPr>
      <w:framePr w:wrap="auto" w:vAnchor="text" w:hAnchor="margin" w:xAlign="center" w:y="1"/>
      <w:tabs>
        <w:tab w:val="center" w:pos="4153"/>
        <w:tab w:val="right" w:pos="8306"/>
      </w:tabs>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14:paraId="482670AD" w14:textId="77777777" w:rsidR="00ED3A7E" w:rsidRDefault="00ED3A7E">
    <w:pPr>
      <w:tabs>
        <w:tab w:val="center" w:pos="4153"/>
        <w:tab w:val="right" w:pos="8306"/>
      </w:tabs>
      <w:rPr>
        <w:rFonts w:ascii="TimesLT" w:hAnsi="TimesLT"/>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CC713" w14:textId="77777777" w:rsidR="00ED3A7E" w:rsidRDefault="00ED3A7E">
    <w:pPr>
      <w:framePr w:wrap="auto" w:vAnchor="text" w:hAnchor="margin" w:xAlign="center" w:y="1"/>
      <w:tabs>
        <w:tab w:val="center" w:pos="4153"/>
        <w:tab w:val="right" w:pos="8306"/>
      </w:tabs>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separate"/>
    </w:r>
    <w:r w:rsidR="007B3ADE">
      <w:rPr>
        <w:rFonts w:ascii="TimesLT" w:hAnsi="TimesLT"/>
      </w:rPr>
      <w:t>92</w:t>
    </w:r>
    <w:r>
      <w:rPr>
        <w:rFonts w:ascii="TimesLT" w:hAnsi="TimesLT"/>
      </w:rPr>
      <w:fldChar w:fldCharType="end"/>
    </w:r>
  </w:p>
  <w:p w14:paraId="23ADF9D9" w14:textId="77777777" w:rsidR="00ED3A7E" w:rsidRDefault="00ED3A7E">
    <w:pPr>
      <w:tabs>
        <w:tab w:val="center" w:pos="4153"/>
        <w:tab w:val="right" w:pos="8306"/>
      </w:tabs>
      <w:rPr>
        <w:rFonts w:ascii="TimesLT" w:hAnsi="TimesLT"/>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DC2"/>
    <w:rsid w:val="000011AC"/>
    <w:rsid w:val="0000280A"/>
    <w:rsid w:val="00002829"/>
    <w:rsid w:val="000062A2"/>
    <w:rsid w:val="00006BF9"/>
    <w:rsid w:val="00010AB5"/>
    <w:rsid w:val="0001185E"/>
    <w:rsid w:val="000155F9"/>
    <w:rsid w:val="00016E3A"/>
    <w:rsid w:val="000209F4"/>
    <w:rsid w:val="00021007"/>
    <w:rsid w:val="00025F23"/>
    <w:rsid w:val="000371E9"/>
    <w:rsid w:val="00052CF7"/>
    <w:rsid w:val="000544E2"/>
    <w:rsid w:val="000550CF"/>
    <w:rsid w:val="0006518C"/>
    <w:rsid w:val="000654E6"/>
    <w:rsid w:val="00065B16"/>
    <w:rsid w:val="000722EB"/>
    <w:rsid w:val="0007374E"/>
    <w:rsid w:val="000765B4"/>
    <w:rsid w:val="00076A9F"/>
    <w:rsid w:val="00092196"/>
    <w:rsid w:val="0009490C"/>
    <w:rsid w:val="000A2A69"/>
    <w:rsid w:val="000A6F64"/>
    <w:rsid w:val="000B6F63"/>
    <w:rsid w:val="000C39A5"/>
    <w:rsid w:val="000C3C21"/>
    <w:rsid w:val="000C7067"/>
    <w:rsid w:val="000D5575"/>
    <w:rsid w:val="000D7838"/>
    <w:rsid w:val="000E1F69"/>
    <w:rsid w:val="000E28FE"/>
    <w:rsid w:val="000E48D9"/>
    <w:rsid w:val="000E5C6C"/>
    <w:rsid w:val="000F17DF"/>
    <w:rsid w:val="000F4462"/>
    <w:rsid w:val="001133A5"/>
    <w:rsid w:val="00113F3E"/>
    <w:rsid w:val="001166E1"/>
    <w:rsid w:val="001408AE"/>
    <w:rsid w:val="00141023"/>
    <w:rsid w:val="00143D0F"/>
    <w:rsid w:val="0015660F"/>
    <w:rsid w:val="00160C88"/>
    <w:rsid w:val="00163517"/>
    <w:rsid w:val="00163763"/>
    <w:rsid w:val="00165BCB"/>
    <w:rsid w:val="00167C46"/>
    <w:rsid w:val="001733FF"/>
    <w:rsid w:val="001756BB"/>
    <w:rsid w:val="00185567"/>
    <w:rsid w:val="00190E58"/>
    <w:rsid w:val="001B5130"/>
    <w:rsid w:val="001C276B"/>
    <w:rsid w:val="001C382E"/>
    <w:rsid w:val="001C50DA"/>
    <w:rsid w:val="001D34CB"/>
    <w:rsid w:val="001E0AA2"/>
    <w:rsid w:val="001E1B18"/>
    <w:rsid w:val="001E29C3"/>
    <w:rsid w:val="001F0F9C"/>
    <w:rsid w:val="001F12A8"/>
    <w:rsid w:val="00202F64"/>
    <w:rsid w:val="00214C61"/>
    <w:rsid w:val="00230123"/>
    <w:rsid w:val="002320DC"/>
    <w:rsid w:val="00233AFD"/>
    <w:rsid w:val="002401B9"/>
    <w:rsid w:val="002403FC"/>
    <w:rsid w:val="00240F37"/>
    <w:rsid w:val="002414EC"/>
    <w:rsid w:val="00242D48"/>
    <w:rsid w:val="00242DA1"/>
    <w:rsid w:val="0024375F"/>
    <w:rsid w:val="00243BA3"/>
    <w:rsid w:val="002453FA"/>
    <w:rsid w:val="00251A3E"/>
    <w:rsid w:val="002528C6"/>
    <w:rsid w:val="00256AF9"/>
    <w:rsid w:val="00262259"/>
    <w:rsid w:val="00262E88"/>
    <w:rsid w:val="0027522C"/>
    <w:rsid w:val="00275A9C"/>
    <w:rsid w:val="0029230C"/>
    <w:rsid w:val="00294887"/>
    <w:rsid w:val="00294B7D"/>
    <w:rsid w:val="00295BE5"/>
    <w:rsid w:val="002965E0"/>
    <w:rsid w:val="002A37BB"/>
    <w:rsid w:val="002A77C8"/>
    <w:rsid w:val="002B213C"/>
    <w:rsid w:val="002B4E8B"/>
    <w:rsid w:val="002B702F"/>
    <w:rsid w:val="002C2C48"/>
    <w:rsid w:val="002C56D8"/>
    <w:rsid w:val="002D0847"/>
    <w:rsid w:val="002D42E2"/>
    <w:rsid w:val="002D6CAC"/>
    <w:rsid w:val="002E02BA"/>
    <w:rsid w:val="002E5B5C"/>
    <w:rsid w:val="002E78B3"/>
    <w:rsid w:val="002F2088"/>
    <w:rsid w:val="002F5E81"/>
    <w:rsid w:val="003054D0"/>
    <w:rsid w:val="00307DD3"/>
    <w:rsid w:val="00321676"/>
    <w:rsid w:val="0032565E"/>
    <w:rsid w:val="00340146"/>
    <w:rsid w:val="00343F63"/>
    <w:rsid w:val="00354090"/>
    <w:rsid w:val="00361BB6"/>
    <w:rsid w:val="00363963"/>
    <w:rsid w:val="00371B85"/>
    <w:rsid w:val="0038382E"/>
    <w:rsid w:val="0038427D"/>
    <w:rsid w:val="00385325"/>
    <w:rsid w:val="00387FB1"/>
    <w:rsid w:val="00392339"/>
    <w:rsid w:val="00393FF5"/>
    <w:rsid w:val="00395B21"/>
    <w:rsid w:val="003976EC"/>
    <w:rsid w:val="003A058C"/>
    <w:rsid w:val="003A5A26"/>
    <w:rsid w:val="003B5CDD"/>
    <w:rsid w:val="003C30EF"/>
    <w:rsid w:val="003D77CD"/>
    <w:rsid w:val="003E3C06"/>
    <w:rsid w:val="00401447"/>
    <w:rsid w:val="00402A2A"/>
    <w:rsid w:val="00404DC6"/>
    <w:rsid w:val="00420201"/>
    <w:rsid w:val="004211AA"/>
    <w:rsid w:val="00421B2C"/>
    <w:rsid w:val="00443DBA"/>
    <w:rsid w:val="00453184"/>
    <w:rsid w:val="00455DC2"/>
    <w:rsid w:val="00474A81"/>
    <w:rsid w:val="004853F0"/>
    <w:rsid w:val="00491CB3"/>
    <w:rsid w:val="0049277F"/>
    <w:rsid w:val="00496D31"/>
    <w:rsid w:val="004A1761"/>
    <w:rsid w:val="004A3494"/>
    <w:rsid w:val="004A75B0"/>
    <w:rsid w:val="004B0F33"/>
    <w:rsid w:val="004B4F5A"/>
    <w:rsid w:val="004B6E6B"/>
    <w:rsid w:val="004C511C"/>
    <w:rsid w:val="004C56AB"/>
    <w:rsid w:val="004D0D72"/>
    <w:rsid w:val="004D1712"/>
    <w:rsid w:val="004D2D33"/>
    <w:rsid w:val="004D323D"/>
    <w:rsid w:val="004D5BBD"/>
    <w:rsid w:val="004F1125"/>
    <w:rsid w:val="004F4349"/>
    <w:rsid w:val="004F64E0"/>
    <w:rsid w:val="004F7884"/>
    <w:rsid w:val="00500D09"/>
    <w:rsid w:val="00502229"/>
    <w:rsid w:val="00502CF9"/>
    <w:rsid w:val="00503BA1"/>
    <w:rsid w:val="005043AE"/>
    <w:rsid w:val="00512B45"/>
    <w:rsid w:val="00527EC3"/>
    <w:rsid w:val="00530E1A"/>
    <w:rsid w:val="00532B9F"/>
    <w:rsid w:val="00542EE5"/>
    <w:rsid w:val="00551A9F"/>
    <w:rsid w:val="00553244"/>
    <w:rsid w:val="005779C9"/>
    <w:rsid w:val="00580A08"/>
    <w:rsid w:val="0058788D"/>
    <w:rsid w:val="005973D9"/>
    <w:rsid w:val="005976DE"/>
    <w:rsid w:val="005A452E"/>
    <w:rsid w:val="005A7F19"/>
    <w:rsid w:val="005B0E63"/>
    <w:rsid w:val="005C0122"/>
    <w:rsid w:val="005C24BE"/>
    <w:rsid w:val="005D3228"/>
    <w:rsid w:val="005D3789"/>
    <w:rsid w:val="005E0827"/>
    <w:rsid w:val="005E0916"/>
    <w:rsid w:val="005E35E3"/>
    <w:rsid w:val="005E4F33"/>
    <w:rsid w:val="005F013E"/>
    <w:rsid w:val="005F1DFE"/>
    <w:rsid w:val="005F50BE"/>
    <w:rsid w:val="005F53E8"/>
    <w:rsid w:val="006002AA"/>
    <w:rsid w:val="00603E20"/>
    <w:rsid w:val="00621B92"/>
    <w:rsid w:val="0063367A"/>
    <w:rsid w:val="006340B2"/>
    <w:rsid w:val="00634858"/>
    <w:rsid w:val="0063514B"/>
    <w:rsid w:val="006400C5"/>
    <w:rsid w:val="00643DCD"/>
    <w:rsid w:val="0064461E"/>
    <w:rsid w:val="00650C26"/>
    <w:rsid w:val="00656443"/>
    <w:rsid w:val="0066197A"/>
    <w:rsid w:val="00665B8E"/>
    <w:rsid w:val="00672BD4"/>
    <w:rsid w:val="00675A3B"/>
    <w:rsid w:val="00676A23"/>
    <w:rsid w:val="006801BD"/>
    <w:rsid w:val="006811B8"/>
    <w:rsid w:val="00684265"/>
    <w:rsid w:val="00684BAB"/>
    <w:rsid w:val="00691D47"/>
    <w:rsid w:val="0069230C"/>
    <w:rsid w:val="006A6128"/>
    <w:rsid w:val="006C3440"/>
    <w:rsid w:val="006C34B7"/>
    <w:rsid w:val="006D2944"/>
    <w:rsid w:val="006E4B6F"/>
    <w:rsid w:val="006F5756"/>
    <w:rsid w:val="0071479E"/>
    <w:rsid w:val="0071574D"/>
    <w:rsid w:val="007157DA"/>
    <w:rsid w:val="00716E9C"/>
    <w:rsid w:val="00720C74"/>
    <w:rsid w:val="00723247"/>
    <w:rsid w:val="007253B7"/>
    <w:rsid w:val="00725D32"/>
    <w:rsid w:val="00727BAA"/>
    <w:rsid w:val="0073254B"/>
    <w:rsid w:val="00734EC0"/>
    <w:rsid w:val="00737F3C"/>
    <w:rsid w:val="00740053"/>
    <w:rsid w:val="00745732"/>
    <w:rsid w:val="00746A86"/>
    <w:rsid w:val="0075479B"/>
    <w:rsid w:val="00761203"/>
    <w:rsid w:val="007649E9"/>
    <w:rsid w:val="00773546"/>
    <w:rsid w:val="00780C23"/>
    <w:rsid w:val="007814E9"/>
    <w:rsid w:val="007820D1"/>
    <w:rsid w:val="00784F7A"/>
    <w:rsid w:val="00794ACB"/>
    <w:rsid w:val="0079664F"/>
    <w:rsid w:val="0079729B"/>
    <w:rsid w:val="00797B29"/>
    <w:rsid w:val="007A12EE"/>
    <w:rsid w:val="007B20BD"/>
    <w:rsid w:val="007B3ADE"/>
    <w:rsid w:val="007B48DB"/>
    <w:rsid w:val="007B4FFF"/>
    <w:rsid w:val="007B58A5"/>
    <w:rsid w:val="007B68F9"/>
    <w:rsid w:val="007B70C6"/>
    <w:rsid w:val="007C0FC9"/>
    <w:rsid w:val="007C1A01"/>
    <w:rsid w:val="007C2ACB"/>
    <w:rsid w:val="007D2908"/>
    <w:rsid w:val="007D2C28"/>
    <w:rsid w:val="007E063B"/>
    <w:rsid w:val="007E27F2"/>
    <w:rsid w:val="007E66C1"/>
    <w:rsid w:val="007E6D84"/>
    <w:rsid w:val="00802C39"/>
    <w:rsid w:val="008039D7"/>
    <w:rsid w:val="00805C18"/>
    <w:rsid w:val="0080600D"/>
    <w:rsid w:val="008067F9"/>
    <w:rsid w:val="00806DA6"/>
    <w:rsid w:val="0081284E"/>
    <w:rsid w:val="008209AC"/>
    <w:rsid w:val="00822AAE"/>
    <w:rsid w:val="008251CE"/>
    <w:rsid w:val="00825F23"/>
    <w:rsid w:val="0083405A"/>
    <w:rsid w:val="00835374"/>
    <w:rsid w:val="00844137"/>
    <w:rsid w:val="0084435E"/>
    <w:rsid w:val="00851058"/>
    <w:rsid w:val="008546EC"/>
    <w:rsid w:val="00855788"/>
    <w:rsid w:val="00855EE4"/>
    <w:rsid w:val="0085672C"/>
    <w:rsid w:val="0085764D"/>
    <w:rsid w:val="00875825"/>
    <w:rsid w:val="00877F9B"/>
    <w:rsid w:val="00881A99"/>
    <w:rsid w:val="00882720"/>
    <w:rsid w:val="008872DD"/>
    <w:rsid w:val="008A1A4E"/>
    <w:rsid w:val="008A1C0A"/>
    <w:rsid w:val="008B1FB4"/>
    <w:rsid w:val="008B3B7C"/>
    <w:rsid w:val="008B51C7"/>
    <w:rsid w:val="008B5F09"/>
    <w:rsid w:val="008E1922"/>
    <w:rsid w:val="008E2E9B"/>
    <w:rsid w:val="008F4614"/>
    <w:rsid w:val="00906E0B"/>
    <w:rsid w:val="00914BF1"/>
    <w:rsid w:val="009212BB"/>
    <w:rsid w:val="009215CC"/>
    <w:rsid w:val="00921918"/>
    <w:rsid w:val="00923294"/>
    <w:rsid w:val="009269F2"/>
    <w:rsid w:val="00927F6F"/>
    <w:rsid w:val="009333CE"/>
    <w:rsid w:val="00947E5C"/>
    <w:rsid w:val="0095045A"/>
    <w:rsid w:val="009576FB"/>
    <w:rsid w:val="00957C3B"/>
    <w:rsid w:val="009601E7"/>
    <w:rsid w:val="00964804"/>
    <w:rsid w:val="009674DC"/>
    <w:rsid w:val="00980F80"/>
    <w:rsid w:val="00987313"/>
    <w:rsid w:val="00991935"/>
    <w:rsid w:val="009B3775"/>
    <w:rsid w:val="009B40BD"/>
    <w:rsid w:val="009B7FDB"/>
    <w:rsid w:val="009C1446"/>
    <w:rsid w:val="009C33BD"/>
    <w:rsid w:val="009C3C42"/>
    <w:rsid w:val="009C3E80"/>
    <w:rsid w:val="009D26DD"/>
    <w:rsid w:val="009E0DAA"/>
    <w:rsid w:val="009E0E82"/>
    <w:rsid w:val="009E14E2"/>
    <w:rsid w:val="009F1C2F"/>
    <w:rsid w:val="009F784E"/>
    <w:rsid w:val="00A0013B"/>
    <w:rsid w:val="00A22AD9"/>
    <w:rsid w:val="00A237C1"/>
    <w:rsid w:val="00A322CB"/>
    <w:rsid w:val="00A369F6"/>
    <w:rsid w:val="00A465A5"/>
    <w:rsid w:val="00A47830"/>
    <w:rsid w:val="00A54DBB"/>
    <w:rsid w:val="00A56258"/>
    <w:rsid w:val="00A604C6"/>
    <w:rsid w:val="00A70F09"/>
    <w:rsid w:val="00A866EE"/>
    <w:rsid w:val="00A92131"/>
    <w:rsid w:val="00AA62BB"/>
    <w:rsid w:val="00AA6892"/>
    <w:rsid w:val="00AB54B4"/>
    <w:rsid w:val="00AB55BC"/>
    <w:rsid w:val="00AC22FE"/>
    <w:rsid w:val="00AC33E2"/>
    <w:rsid w:val="00AC4E32"/>
    <w:rsid w:val="00AC5102"/>
    <w:rsid w:val="00AC6EDB"/>
    <w:rsid w:val="00AC7BA8"/>
    <w:rsid w:val="00AD058E"/>
    <w:rsid w:val="00AD35BB"/>
    <w:rsid w:val="00AD7728"/>
    <w:rsid w:val="00AE307D"/>
    <w:rsid w:val="00AE3F0E"/>
    <w:rsid w:val="00B024CC"/>
    <w:rsid w:val="00B02884"/>
    <w:rsid w:val="00B02D7A"/>
    <w:rsid w:val="00B04426"/>
    <w:rsid w:val="00B04F1C"/>
    <w:rsid w:val="00B224D7"/>
    <w:rsid w:val="00B264C2"/>
    <w:rsid w:val="00B40E6E"/>
    <w:rsid w:val="00B43FAD"/>
    <w:rsid w:val="00B44C7E"/>
    <w:rsid w:val="00B4533B"/>
    <w:rsid w:val="00B47D66"/>
    <w:rsid w:val="00B604B5"/>
    <w:rsid w:val="00B61888"/>
    <w:rsid w:val="00B65D7B"/>
    <w:rsid w:val="00B70785"/>
    <w:rsid w:val="00B83038"/>
    <w:rsid w:val="00B97B91"/>
    <w:rsid w:val="00BA4411"/>
    <w:rsid w:val="00BA4966"/>
    <w:rsid w:val="00BA7386"/>
    <w:rsid w:val="00BB139C"/>
    <w:rsid w:val="00BB311B"/>
    <w:rsid w:val="00BB6DD4"/>
    <w:rsid w:val="00BC0DC5"/>
    <w:rsid w:val="00BC4CC2"/>
    <w:rsid w:val="00BD21BD"/>
    <w:rsid w:val="00BD2D36"/>
    <w:rsid w:val="00BD5B05"/>
    <w:rsid w:val="00BE3701"/>
    <w:rsid w:val="00BE42C9"/>
    <w:rsid w:val="00BE49BD"/>
    <w:rsid w:val="00BF5E6D"/>
    <w:rsid w:val="00BF5EBA"/>
    <w:rsid w:val="00C02B77"/>
    <w:rsid w:val="00C03864"/>
    <w:rsid w:val="00C03CE5"/>
    <w:rsid w:val="00C04CEB"/>
    <w:rsid w:val="00C117C7"/>
    <w:rsid w:val="00C14E8A"/>
    <w:rsid w:val="00C16A4C"/>
    <w:rsid w:val="00C174C5"/>
    <w:rsid w:val="00C22949"/>
    <w:rsid w:val="00C2554C"/>
    <w:rsid w:val="00C27A11"/>
    <w:rsid w:val="00C30916"/>
    <w:rsid w:val="00C30CC6"/>
    <w:rsid w:val="00C364A0"/>
    <w:rsid w:val="00C4117A"/>
    <w:rsid w:val="00C5017C"/>
    <w:rsid w:val="00C51081"/>
    <w:rsid w:val="00C51A2B"/>
    <w:rsid w:val="00C525BF"/>
    <w:rsid w:val="00C53441"/>
    <w:rsid w:val="00C55045"/>
    <w:rsid w:val="00C67EB5"/>
    <w:rsid w:val="00C71F90"/>
    <w:rsid w:val="00C76790"/>
    <w:rsid w:val="00C823EA"/>
    <w:rsid w:val="00C852D9"/>
    <w:rsid w:val="00C85341"/>
    <w:rsid w:val="00C911AB"/>
    <w:rsid w:val="00CA497C"/>
    <w:rsid w:val="00CA51B9"/>
    <w:rsid w:val="00CA7A2C"/>
    <w:rsid w:val="00CB0116"/>
    <w:rsid w:val="00CB03BE"/>
    <w:rsid w:val="00CD392A"/>
    <w:rsid w:val="00CD4DCC"/>
    <w:rsid w:val="00CD668D"/>
    <w:rsid w:val="00CD693D"/>
    <w:rsid w:val="00CD70F3"/>
    <w:rsid w:val="00CE082A"/>
    <w:rsid w:val="00CE2D6E"/>
    <w:rsid w:val="00CF4639"/>
    <w:rsid w:val="00D010D5"/>
    <w:rsid w:val="00D07232"/>
    <w:rsid w:val="00D152BD"/>
    <w:rsid w:val="00D17EB3"/>
    <w:rsid w:val="00D26B09"/>
    <w:rsid w:val="00D311A9"/>
    <w:rsid w:val="00D34FC0"/>
    <w:rsid w:val="00D42A69"/>
    <w:rsid w:val="00D45F9C"/>
    <w:rsid w:val="00D54864"/>
    <w:rsid w:val="00D6083A"/>
    <w:rsid w:val="00D724C3"/>
    <w:rsid w:val="00D75DBA"/>
    <w:rsid w:val="00D76A9F"/>
    <w:rsid w:val="00D81075"/>
    <w:rsid w:val="00D8318F"/>
    <w:rsid w:val="00D8474F"/>
    <w:rsid w:val="00D93972"/>
    <w:rsid w:val="00D93B37"/>
    <w:rsid w:val="00D945B3"/>
    <w:rsid w:val="00DA146D"/>
    <w:rsid w:val="00DA1D42"/>
    <w:rsid w:val="00DC01DE"/>
    <w:rsid w:val="00DC110C"/>
    <w:rsid w:val="00DC1B84"/>
    <w:rsid w:val="00DC2856"/>
    <w:rsid w:val="00DC527C"/>
    <w:rsid w:val="00DC68B9"/>
    <w:rsid w:val="00DC78D6"/>
    <w:rsid w:val="00DD12B4"/>
    <w:rsid w:val="00DD1AA4"/>
    <w:rsid w:val="00DD50A8"/>
    <w:rsid w:val="00DE064A"/>
    <w:rsid w:val="00DE2D48"/>
    <w:rsid w:val="00DE33DF"/>
    <w:rsid w:val="00DE6577"/>
    <w:rsid w:val="00DE6B46"/>
    <w:rsid w:val="00E01C5B"/>
    <w:rsid w:val="00E14778"/>
    <w:rsid w:val="00E237A5"/>
    <w:rsid w:val="00E25879"/>
    <w:rsid w:val="00E3382C"/>
    <w:rsid w:val="00E35836"/>
    <w:rsid w:val="00E3603D"/>
    <w:rsid w:val="00E4070D"/>
    <w:rsid w:val="00E51650"/>
    <w:rsid w:val="00E54922"/>
    <w:rsid w:val="00E62288"/>
    <w:rsid w:val="00E642F2"/>
    <w:rsid w:val="00E7787C"/>
    <w:rsid w:val="00E820B3"/>
    <w:rsid w:val="00E9173B"/>
    <w:rsid w:val="00E97B35"/>
    <w:rsid w:val="00EA26C1"/>
    <w:rsid w:val="00EA44FB"/>
    <w:rsid w:val="00EB1C6E"/>
    <w:rsid w:val="00EC37B9"/>
    <w:rsid w:val="00EC3F08"/>
    <w:rsid w:val="00ED1C72"/>
    <w:rsid w:val="00ED3235"/>
    <w:rsid w:val="00ED36BF"/>
    <w:rsid w:val="00ED3A7E"/>
    <w:rsid w:val="00EE1DD0"/>
    <w:rsid w:val="00EE55EA"/>
    <w:rsid w:val="00EE6995"/>
    <w:rsid w:val="00EF5198"/>
    <w:rsid w:val="00EF5BCA"/>
    <w:rsid w:val="00F009A6"/>
    <w:rsid w:val="00F0341E"/>
    <w:rsid w:val="00F05218"/>
    <w:rsid w:val="00F07419"/>
    <w:rsid w:val="00F141FA"/>
    <w:rsid w:val="00F16DA5"/>
    <w:rsid w:val="00F16FF6"/>
    <w:rsid w:val="00F2667B"/>
    <w:rsid w:val="00F3262A"/>
    <w:rsid w:val="00F3494E"/>
    <w:rsid w:val="00F35A56"/>
    <w:rsid w:val="00F42848"/>
    <w:rsid w:val="00F43936"/>
    <w:rsid w:val="00F54040"/>
    <w:rsid w:val="00F73789"/>
    <w:rsid w:val="00F754BD"/>
    <w:rsid w:val="00F85049"/>
    <w:rsid w:val="00F86C28"/>
    <w:rsid w:val="00F87684"/>
    <w:rsid w:val="00F90553"/>
    <w:rsid w:val="00F91F7F"/>
    <w:rsid w:val="00F9268C"/>
    <w:rsid w:val="00F931B9"/>
    <w:rsid w:val="00FA034E"/>
    <w:rsid w:val="00FA059D"/>
    <w:rsid w:val="00FA54D8"/>
    <w:rsid w:val="00FA5B32"/>
    <w:rsid w:val="00FA5D40"/>
    <w:rsid w:val="00FB1388"/>
    <w:rsid w:val="00FC55C5"/>
    <w:rsid w:val="00FC7E7C"/>
    <w:rsid w:val="00FD051E"/>
    <w:rsid w:val="00FD4A76"/>
    <w:rsid w:val="00FD59EB"/>
    <w:rsid w:val="00FE0BC1"/>
    <w:rsid w:val="00FE4496"/>
    <w:rsid w:val="00FE507A"/>
    <w:rsid w:val="00FE6B30"/>
    <w:rsid w:val="00FE6B32"/>
    <w:rsid w:val="00FE78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547FFF"/>
  <w15:docId w15:val="{4F85FB4D-AAED-4717-BD68-BC8F0269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AA2"/>
    <w:rPr>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E0AA2"/>
    <w:rPr>
      <w:rFonts w:cs="Times New Roman"/>
      <w:color w:val="808080"/>
    </w:rPr>
  </w:style>
  <w:style w:type="paragraph" w:styleId="BalloonText">
    <w:name w:val="Balloon Text"/>
    <w:basedOn w:val="Normal"/>
    <w:link w:val="BalloonTextChar"/>
    <w:uiPriority w:val="99"/>
    <w:rsid w:val="001E0AA2"/>
    <w:rPr>
      <w:rFonts w:ascii="Tahoma" w:hAnsi="Tahoma" w:cs="Tahoma"/>
      <w:sz w:val="16"/>
      <w:szCs w:val="16"/>
    </w:rPr>
  </w:style>
  <w:style w:type="character" w:customStyle="1" w:styleId="BalloonTextChar">
    <w:name w:val="Balloon Text Char"/>
    <w:basedOn w:val="DefaultParagraphFont"/>
    <w:link w:val="BalloonText"/>
    <w:uiPriority w:val="99"/>
    <w:locked/>
    <w:rsid w:val="001E0AA2"/>
    <w:rPr>
      <w:rFonts w:ascii="Tahoma" w:hAnsi="Tahoma" w:cs="Tahoma"/>
      <w:sz w:val="16"/>
      <w:szCs w:val="16"/>
    </w:rPr>
  </w:style>
  <w:style w:type="character" w:styleId="Hyperlink">
    <w:name w:val="Hyperlink"/>
    <w:basedOn w:val="DefaultParagraphFont"/>
    <w:uiPriority w:val="99"/>
    <w:rsid w:val="001E0AA2"/>
    <w:rPr>
      <w:rFonts w:cs="Times New Roman"/>
      <w:color w:val="0000FF"/>
      <w:u w:val="single"/>
    </w:rPr>
  </w:style>
  <w:style w:type="paragraph" w:styleId="Revision">
    <w:name w:val="Revision"/>
    <w:hidden/>
    <w:uiPriority w:val="99"/>
    <w:semiHidden/>
    <w:rsid w:val="005976DE"/>
    <w:rPr>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0508">
      <w:bodyDiv w:val="1"/>
      <w:marLeft w:val="0"/>
      <w:marRight w:val="0"/>
      <w:marTop w:val="0"/>
      <w:marBottom w:val="0"/>
      <w:divBdr>
        <w:top w:val="none" w:sz="0" w:space="0" w:color="auto"/>
        <w:left w:val="none" w:sz="0" w:space="0" w:color="auto"/>
        <w:bottom w:val="none" w:sz="0" w:space="0" w:color="auto"/>
        <w:right w:val="none" w:sz="0" w:space="0" w:color="auto"/>
      </w:divBdr>
    </w:div>
    <w:div w:id="19671002">
      <w:bodyDiv w:val="1"/>
      <w:marLeft w:val="0"/>
      <w:marRight w:val="0"/>
      <w:marTop w:val="0"/>
      <w:marBottom w:val="0"/>
      <w:divBdr>
        <w:top w:val="none" w:sz="0" w:space="0" w:color="auto"/>
        <w:left w:val="none" w:sz="0" w:space="0" w:color="auto"/>
        <w:bottom w:val="none" w:sz="0" w:space="0" w:color="auto"/>
        <w:right w:val="none" w:sz="0" w:space="0" w:color="auto"/>
      </w:divBdr>
    </w:div>
    <w:div w:id="20907141">
      <w:bodyDiv w:val="1"/>
      <w:marLeft w:val="0"/>
      <w:marRight w:val="0"/>
      <w:marTop w:val="0"/>
      <w:marBottom w:val="0"/>
      <w:divBdr>
        <w:top w:val="none" w:sz="0" w:space="0" w:color="auto"/>
        <w:left w:val="none" w:sz="0" w:space="0" w:color="auto"/>
        <w:bottom w:val="none" w:sz="0" w:space="0" w:color="auto"/>
        <w:right w:val="none" w:sz="0" w:space="0" w:color="auto"/>
      </w:divBdr>
      <w:divsChild>
        <w:div w:id="1297029469">
          <w:marLeft w:val="0"/>
          <w:marRight w:val="0"/>
          <w:marTop w:val="0"/>
          <w:marBottom w:val="0"/>
          <w:divBdr>
            <w:top w:val="none" w:sz="0" w:space="0" w:color="auto"/>
            <w:left w:val="none" w:sz="0" w:space="0" w:color="auto"/>
            <w:bottom w:val="none" w:sz="0" w:space="0" w:color="auto"/>
            <w:right w:val="none" w:sz="0" w:space="0" w:color="auto"/>
          </w:divBdr>
        </w:div>
        <w:div w:id="612177078">
          <w:marLeft w:val="0"/>
          <w:marRight w:val="0"/>
          <w:marTop w:val="0"/>
          <w:marBottom w:val="0"/>
          <w:divBdr>
            <w:top w:val="none" w:sz="0" w:space="0" w:color="auto"/>
            <w:left w:val="none" w:sz="0" w:space="0" w:color="auto"/>
            <w:bottom w:val="none" w:sz="0" w:space="0" w:color="auto"/>
            <w:right w:val="none" w:sz="0" w:space="0" w:color="auto"/>
          </w:divBdr>
        </w:div>
        <w:div w:id="415441205">
          <w:marLeft w:val="0"/>
          <w:marRight w:val="0"/>
          <w:marTop w:val="0"/>
          <w:marBottom w:val="0"/>
          <w:divBdr>
            <w:top w:val="none" w:sz="0" w:space="0" w:color="auto"/>
            <w:left w:val="none" w:sz="0" w:space="0" w:color="auto"/>
            <w:bottom w:val="none" w:sz="0" w:space="0" w:color="auto"/>
            <w:right w:val="none" w:sz="0" w:space="0" w:color="auto"/>
          </w:divBdr>
        </w:div>
      </w:divsChild>
    </w:div>
    <w:div w:id="22293128">
      <w:bodyDiv w:val="1"/>
      <w:marLeft w:val="0"/>
      <w:marRight w:val="0"/>
      <w:marTop w:val="0"/>
      <w:marBottom w:val="0"/>
      <w:divBdr>
        <w:top w:val="none" w:sz="0" w:space="0" w:color="auto"/>
        <w:left w:val="none" w:sz="0" w:space="0" w:color="auto"/>
        <w:bottom w:val="none" w:sz="0" w:space="0" w:color="auto"/>
        <w:right w:val="none" w:sz="0" w:space="0" w:color="auto"/>
      </w:divBdr>
    </w:div>
    <w:div w:id="23403691">
      <w:bodyDiv w:val="1"/>
      <w:marLeft w:val="0"/>
      <w:marRight w:val="0"/>
      <w:marTop w:val="0"/>
      <w:marBottom w:val="0"/>
      <w:divBdr>
        <w:top w:val="none" w:sz="0" w:space="0" w:color="auto"/>
        <w:left w:val="none" w:sz="0" w:space="0" w:color="auto"/>
        <w:bottom w:val="none" w:sz="0" w:space="0" w:color="auto"/>
        <w:right w:val="none" w:sz="0" w:space="0" w:color="auto"/>
      </w:divBdr>
    </w:div>
    <w:div w:id="45422381">
      <w:bodyDiv w:val="1"/>
      <w:marLeft w:val="0"/>
      <w:marRight w:val="0"/>
      <w:marTop w:val="0"/>
      <w:marBottom w:val="0"/>
      <w:divBdr>
        <w:top w:val="none" w:sz="0" w:space="0" w:color="auto"/>
        <w:left w:val="none" w:sz="0" w:space="0" w:color="auto"/>
        <w:bottom w:val="none" w:sz="0" w:space="0" w:color="auto"/>
        <w:right w:val="none" w:sz="0" w:space="0" w:color="auto"/>
      </w:divBdr>
      <w:divsChild>
        <w:div w:id="1313438725">
          <w:marLeft w:val="0"/>
          <w:marRight w:val="0"/>
          <w:marTop w:val="0"/>
          <w:marBottom w:val="0"/>
          <w:divBdr>
            <w:top w:val="none" w:sz="0" w:space="0" w:color="auto"/>
            <w:left w:val="none" w:sz="0" w:space="0" w:color="auto"/>
            <w:bottom w:val="none" w:sz="0" w:space="0" w:color="auto"/>
            <w:right w:val="none" w:sz="0" w:space="0" w:color="auto"/>
          </w:divBdr>
          <w:divsChild>
            <w:div w:id="577908897">
              <w:marLeft w:val="0"/>
              <w:marRight w:val="0"/>
              <w:marTop w:val="0"/>
              <w:marBottom w:val="0"/>
              <w:divBdr>
                <w:top w:val="none" w:sz="0" w:space="0" w:color="auto"/>
                <w:left w:val="none" w:sz="0" w:space="0" w:color="auto"/>
                <w:bottom w:val="none" w:sz="0" w:space="0" w:color="auto"/>
                <w:right w:val="none" w:sz="0" w:space="0" w:color="auto"/>
              </w:divBdr>
            </w:div>
            <w:div w:id="592013647">
              <w:marLeft w:val="0"/>
              <w:marRight w:val="0"/>
              <w:marTop w:val="0"/>
              <w:marBottom w:val="0"/>
              <w:divBdr>
                <w:top w:val="none" w:sz="0" w:space="0" w:color="auto"/>
                <w:left w:val="none" w:sz="0" w:space="0" w:color="auto"/>
                <w:bottom w:val="none" w:sz="0" w:space="0" w:color="auto"/>
                <w:right w:val="none" w:sz="0" w:space="0" w:color="auto"/>
              </w:divBdr>
            </w:div>
            <w:div w:id="71828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6672">
      <w:bodyDiv w:val="1"/>
      <w:marLeft w:val="0"/>
      <w:marRight w:val="0"/>
      <w:marTop w:val="0"/>
      <w:marBottom w:val="0"/>
      <w:divBdr>
        <w:top w:val="none" w:sz="0" w:space="0" w:color="auto"/>
        <w:left w:val="none" w:sz="0" w:space="0" w:color="auto"/>
        <w:bottom w:val="none" w:sz="0" w:space="0" w:color="auto"/>
        <w:right w:val="none" w:sz="0" w:space="0" w:color="auto"/>
      </w:divBdr>
    </w:div>
    <w:div w:id="74786069">
      <w:bodyDiv w:val="1"/>
      <w:marLeft w:val="0"/>
      <w:marRight w:val="0"/>
      <w:marTop w:val="0"/>
      <w:marBottom w:val="0"/>
      <w:divBdr>
        <w:top w:val="none" w:sz="0" w:space="0" w:color="auto"/>
        <w:left w:val="none" w:sz="0" w:space="0" w:color="auto"/>
        <w:bottom w:val="none" w:sz="0" w:space="0" w:color="auto"/>
        <w:right w:val="none" w:sz="0" w:space="0" w:color="auto"/>
      </w:divBdr>
    </w:div>
    <w:div w:id="96223227">
      <w:bodyDiv w:val="1"/>
      <w:marLeft w:val="0"/>
      <w:marRight w:val="0"/>
      <w:marTop w:val="0"/>
      <w:marBottom w:val="0"/>
      <w:divBdr>
        <w:top w:val="none" w:sz="0" w:space="0" w:color="auto"/>
        <w:left w:val="none" w:sz="0" w:space="0" w:color="auto"/>
        <w:bottom w:val="none" w:sz="0" w:space="0" w:color="auto"/>
        <w:right w:val="none" w:sz="0" w:space="0" w:color="auto"/>
      </w:divBdr>
    </w:div>
    <w:div w:id="97912823">
      <w:bodyDiv w:val="1"/>
      <w:marLeft w:val="0"/>
      <w:marRight w:val="0"/>
      <w:marTop w:val="0"/>
      <w:marBottom w:val="0"/>
      <w:divBdr>
        <w:top w:val="none" w:sz="0" w:space="0" w:color="auto"/>
        <w:left w:val="none" w:sz="0" w:space="0" w:color="auto"/>
        <w:bottom w:val="none" w:sz="0" w:space="0" w:color="auto"/>
        <w:right w:val="none" w:sz="0" w:space="0" w:color="auto"/>
      </w:divBdr>
      <w:divsChild>
        <w:div w:id="873008233">
          <w:marLeft w:val="0"/>
          <w:marRight w:val="0"/>
          <w:marTop w:val="0"/>
          <w:marBottom w:val="0"/>
          <w:divBdr>
            <w:top w:val="none" w:sz="0" w:space="0" w:color="auto"/>
            <w:left w:val="none" w:sz="0" w:space="0" w:color="auto"/>
            <w:bottom w:val="none" w:sz="0" w:space="0" w:color="auto"/>
            <w:right w:val="none" w:sz="0" w:space="0" w:color="auto"/>
          </w:divBdr>
        </w:div>
        <w:div w:id="1438671252">
          <w:marLeft w:val="0"/>
          <w:marRight w:val="0"/>
          <w:marTop w:val="0"/>
          <w:marBottom w:val="0"/>
          <w:divBdr>
            <w:top w:val="none" w:sz="0" w:space="0" w:color="auto"/>
            <w:left w:val="none" w:sz="0" w:space="0" w:color="auto"/>
            <w:bottom w:val="none" w:sz="0" w:space="0" w:color="auto"/>
            <w:right w:val="none" w:sz="0" w:space="0" w:color="auto"/>
          </w:divBdr>
          <w:divsChild>
            <w:div w:id="385299506">
              <w:marLeft w:val="0"/>
              <w:marRight w:val="0"/>
              <w:marTop w:val="0"/>
              <w:marBottom w:val="0"/>
              <w:divBdr>
                <w:top w:val="none" w:sz="0" w:space="0" w:color="auto"/>
                <w:left w:val="none" w:sz="0" w:space="0" w:color="auto"/>
                <w:bottom w:val="none" w:sz="0" w:space="0" w:color="auto"/>
                <w:right w:val="none" w:sz="0" w:space="0" w:color="auto"/>
              </w:divBdr>
            </w:div>
            <w:div w:id="164059873">
              <w:marLeft w:val="0"/>
              <w:marRight w:val="0"/>
              <w:marTop w:val="0"/>
              <w:marBottom w:val="0"/>
              <w:divBdr>
                <w:top w:val="none" w:sz="0" w:space="0" w:color="auto"/>
                <w:left w:val="none" w:sz="0" w:space="0" w:color="auto"/>
                <w:bottom w:val="none" w:sz="0" w:space="0" w:color="auto"/>
                <w:right w:val="none" w:sz="0" w:space="0" w:color="auto"/>
              </w:divBdr>
            </w:div>
            <w:div w:id="205928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08908">
      <w:bodyDiv w:val="1"/>
      <w:marLeft w:val="0"/>
      <w:marRight w:val="0"/>
      <w:marTop w:val="0"/>
      <w:marBottom w:val="0"/>
      <w:divBdr>
        <w:top w:val="none" w:sz="0" w:space="0" w:color="auto"/>
        <w:left w:val="none" w:sz="0" w:space="0" w:color="auto"/>
        <w:bottom w:val="none" w:sz="0" w:space="0" w:color="auto"/>
        <w:right w:val="none" w:sz="0" w:space="0" w:color="auto"/>
      </w:divBdr>
    </w:div>
    <w:div w:id="110059162">
      <w:bodyDiv w:val="1"/>
      <w:marLeft w:val="0"/>
      <w:marRight w:val="0"/>
      <w:marTop w:val="0"/>
      <w:marBottom w:val="0"/>
      <w:divBdr>
        <w:top w:val="none" w:sz="0" w:space="0" w:color="auto"/>
        <w:left w:val="none" w:sz="0" w:space="0" w:color="auto"/>
        <w:bottom w:val="none" w:sz="0" w:space="0" w:color="auto"/>
        <w:right w:val="none" w:sz="0" w:space="0" w:color="auto"/>
      </w:divBdr>
    </w:div>
    <w:div w:id="132479516">
      <w:bodyDiv w:val="1"/>
      <w:marLeft w:val="0"/>
      <w:marRight w:val="0"/>
      <w:marTop w:val="0"/>
      <w:marBottom w:val="0"/>
      <w:divBdr>
        <w:top w:val="none" w:sz="0" w:space="0" w:color="auto"/>
        <w:left w:val="none" w:sz="0" w:space="0" w:color="auto"/>
        <w:bottom w:val="none" w:sz="0" w:space="0" w:color="auto"/>
        <w:right w:val="none" w:sz="0" w:space="0" w:color="auto"/>
      </w:divBdr>
      <w:divsChild>
        <w:div w:id="2128700151">
          <w:marLeft w:val="0"/>
          <w:marRight w:val="0"/>
          <w:marTop w:val="0"/>
          <w:marBottom w:val="0"/>
          <w:divBdr>
            <w:top w:val="none" w:sz="0" w:space="0" w:color="auto"/>
            <w:left w:val="none" w:sz="0" w:space="0" w:color="auto"/>
            <w:bottom w:val="none" w:sz="0" w:space="0" w:color="auto"/>
            <w:right w:val="none" w:sz="0" w:space="0" w:color="auto"/>
          </w:divBdr>
        </w:div>
        <w:div w:id="1639262628">
          <w:marLeft w:val="0"/>
          <w:marRight w:val="0"/>
          <w:marTop w:val="0"/>
          <w:marBottom w:val="0"/>
          <w:divBdr>
            <w:top w:val="none" w:sz="0" w:space="0" w:color="auto"/>
            <w:left w:val="none" w:sz="0" w:space="0" w:color="auto"/>
            <w:bottom w:val="none" w:sz="0" w:space="0" w:color="auto"/>
            <w:right w:val="none" w:sz="0" w:space="0" w:color="auto"/>
          </w:divBdr>
          <w:divsChild>
            <w:div w:id="841167671">
              <w:marLeft w:val="0"/>
              <w:marRight w:val="0"/>
              <w:marTop w:val="0"/>
              <w:marBottom w:val="0"/>
              <w:divBdr>
                <w:top w:val="none" w:sz="0" w:space="0" w:color="auto"/>
                <w:left w:val="none" w:sz="0" w:space="0" w:color="auto"/>
                <w:bottom w:val="none" w:sz="0" w:space="0" w:color="auto"/>
                <w:right w:val="none" w:sz="0" w:space="0" w:color="auto"/>
              </w:divBdr>
            </w:div>
            <w:div w:id="1705131001">
              <w:marLeft w:val="0"/>
              <w:marRight w:val="0"/>
              <w:marTop w:val="0"/>
              <w:marBottom w:val="0"/>
              <w:divBdr>
                <w:top w:val="none" w:sz="0" w:space="0" w:color="auto"/>
                <w:left w:val="none" w:sz="0" w:space="0" w:color="auto"/>
                <w:bottom w:val="none" w:sz="0" w:space="0" w:color="auto"/>
                <w:right w:val="none" w:sz="0" w:space="0" w:color="auto"/>
              </w:divBdr>
            </w:div>
          </w:divsChild>
        </w:div>
        <w:div w:id="345865507">
          <w:marLeft w:val="0"/>
          <w:marRight w:val="0"/>
          <w:marTop w:val="0"/>
          <w:marBottom w:val="0"/>
          <w:divBdr>
            <w:top w:val="none" w:sz="0" w:space="0" w:color="auto"/>
            <w:left w:val="none" w:sz="0" w:space="0" w:color="auto"/>
            <w:bottom w:val="none" w:sz="0" w:space="0" w:color="auto"/>
            <w:right w:val="none" w:sz="0" w:space="0" w:color="auto"/>
          </w:divBdr>
          <w:divsChild>
            <w:div w:id="79185105">
              <w:marLeft w:val="0"/>
              <w:marRight w:val="0"/>
              <w:marTop w:val="0"/>
              <w:marBottom w:val="0"/>
              <w:divBdr>
                <w:top w:val="none" w:sz="0" w:space="0" w:color="auto"/>
                <w:left w:val="none" w:sz="0" w:space="0" w:color="auto"/>
                <w:bottom w:val="none" w:sz="0" w:space="0" w:color="auto"/>
                <w:right w:val="none" w:sz="0" w:space="0" w:color="auto"/>
              </w:divBdr>
            </w:div>
            <w:div w:id="659963527">
              <w:marLeft w:val="0"/>
              <w:marRight w:val="0"/>
              <w:marTop w:val="0"/>
              <w:marBottom w:val="0"/>
              <w:divBdr>
                <w:top w:val="none" w:sz="0" w:space="0" w:color="auto"/>
                <w:left w:val="none" w:sz="0" w:space="0" w:color="auto"/>
                <w:bottom w:val="none" w:sz="0" w:space="0" w:color="auto"/>
                <w:right w:val="none" w:sz="0" w:space="0" w:color="auto"/>
              </w:divBdr>
            </w:div>
            <w:div w:id="1858501572">
              <w:marLeft w:val="0"/>
              <w:marRight w:val="0"/>
              <w:marTop w:val="0"/>
              <w:marBottom w:val="0"/>
              <w:divBdr>
                <w:top w:val="none" w:sz="0" w:space="0" w:color="auto"/>
                <w:left w:val="none" w:sz="0" w:space="0" w:color="auto"/>
                <w:bottom w:val="none" w:sz="0" w:space="0" w:color="auto"/>
                <w:right w:val="none" w:sz="0" w:space="0" w:color="auto"/>
              </w:divBdr>
            </w:div>
            <w:div w:id="1064373366">
              <w:marLeft w:val="0"/>
              <w:marRight w:val="0"/>
              <w:marTop w:val="0"/>
              <w:marBottom w:val="0"/>
              <w:divBdr>
                <w:top w:val="none" w:sz="0" w:space="0" w:color="auto"/>
                <w:left w:val="none" w:sz="0" w:space="0" w:color="auto"/>
                <w:bottom w:val="none" w:sz="0" w:space="0" w:color="auto"/>
                <w:right w:val="none" w:sz="0" w:space="0" w:color="auto"/>
              </w:divBdr>
            </w:div>
          </w:divsChild>
        </w:div>
        <w:div w:id="1673529579">
          <w:marLeft w:val="0"/>
          <w:marRight w:val="0"/>
          <w:marTop w:val="0"/>
          <w:marBottom w:val="0"/>
          <w:divBdr>
            <w:top w:val="none" w:sz="0" w:space="0" w:color="auto"/>
            <w:left w:val="none" w:sz="0" w:space="0" w:color="auto"/>
            <w:bottom w:val="none" w:sz="0" w:space="0" w:color="auto"/>
            <w:right w:val="none" w:sz="0" w:space="0" w:color="auto"/>
          </w:divBdr>
        </w:div>
        <w:div w:id="963120113">
          <w:marLeft w:val="0"/>
          <w:marRight w:val="0"/>
          <w:marTop w:val="0"/>
          <w:marBottom w:val="0"/>
          <w:divBdr>
            <w:top w:val="none" w:sz="0" w:space="0" w:color="auto"/>
            <w:left w:val="none" w:sz="0" w:space="0" w:color="auto"/>
            <w:bottom w:val="none" w:sz="0" w:space="0" w:color="auto"/>
            <w:right w:val="none" w:sz="0" w:space="0" w:color="auto"/>
          </w:divBdr>
        </w:div>
        <w:div w:id="470829882">
          <w:marLeft w:val="0"/>
          <w:marRight w:val="0"/>
          <w:marTop w:val="0"/>
          <w:marBottom w:val="0"/>
          <w:divBdr>
            <w:top w:val="none" w:sz="0" w:space="0" w:color="auto"/>
            <w:left w:val="none" w:sz="0" w:space="0" w:color="auto"/>
            <w:bottom w:val="none" w:sz="0" w:space="0" w:color="auto"/>
            <w:right w:val="none" w:sz="0" w:space="0" w:color="auto"/>
          </w:divBdr>
        </w:div>
        <w:div w:id="115023899">
          <w:marLeft w:val="0"/>
          <w:marRight w:val="0"/>
          <w:marTop w:val="0"/>
          <w:marBottom w:val="0"/>
          <w:divBdr>
            <w:top w:val="none" w:sz="0" w:space="0" w:color="auto"/>
            <w:left w:val="none" w:sz="0" w:space="0" w:color="auto"/>
            <w:bottom w:val="none" w:sz="0" w:space="0" w:color="auto"/>
            <w:right w:val="none" w:sz="0" w:space="0" w:color="auto"/>
          </w:divBdr>
        </w:div>
        <w:div w:id="723869139">
          <w:marLeft w:val="0"/>
          <w:marRight w:val="0"/>
          <w:marTop w:val="0"/>
          <w:marBottom w:val="0"/>
          <w:divBdr>
            <w:top w:val="none" w:sz="0" w:space="0" w:color="auto"/>
            <w:left w:val="none" w:sz="0" w:space="0" w:color="auto"/>
            <w:bottom w:val="none" w:sz="0" w:space="0" w:color="auto"/>
            <w:right w:val="none" w:sz="0" w:space="0" w:color="auto"/>
          </w:divBdr>
        </w:div>
        <w:div w:id="257642628">
          <w:marLeft w:val="0"/>
          <w:marRight w:val="0"/>
          <w:marTop w:val="0"/>
          <w:marBottom w:val="0"/>
          <w:divBdr>
            <w:top w:val="none" w:sz="0" w:space="0" w:color="auto"/>
            <w:left w:val="none" w:sz="0" w:space="0" w:color="auto"/>
            <w:bottom w:val="none" w:sz="0" w:space="0" w:color="auto"/>
            <w:right w:val="none" w:sz="0" w:space="0" w:color="auto"/>
          </w:divBdr>
        </w:div>
        <w:div w:id="2139183075">
          <w:marLeft w:val="0"/>
          <w:marRight w:val="0"/>
          <w:marTop w:val="0"/>
          <w:marBottom w:val="0"/>
          <w:divBdr>
            <w:top w:val="none" w:sz="0" w:space="0" w:color="auto"/>
            <w:left w:val="none" w:sz="0" w:space="0" w:color="auto"/>
            <w:bottom w:val="none" w:sz="0" w:space="0" w:color="auto"/>
            <w:right w:val="none" w:sz="0" w:space="0" w:color="auto"/>
          </w:divBdr>
        </w:div>
        <w:div w:id="788472774">
          <w:marLeft w:val="0"/>
          <w:marRight w:val="0"/>
          <w:marTop w:val="0"/>
          <w:marBottom w:val="0"/>
          <w:divBdr>
            <w:top w:val="none" w:sz="0" w:space="0" w:color="auto"/>
            <w:left w:val="none" w:sz="0" w:space="0" w:color="auto"/>
            <w:bottom w:val="none" w:sz="0" w:space="0" w:color="auto"/>
            <w:right w:val="none" w:sz="0" w:space="0" w:color="auto"/>
          </w:divBdr>
        </w:div>
        <w:div w:id="1669138406">
          <w:marLeft w:val="0"/>
          <w:marRight w:val="0"/>
          <w:marTop w:val="0"/>
          <w:marBottom w:val="0"/>
          <w:divBdr>
            <w:top w:val="none" w:sz="0" w:space="0" w:color="auto"/>
            <w:left w:val="none" w:sz="0" w:space="0" w:color="auto"/>
            <w:bottom w:val="none" w:sz="0" w:space="0" w:color="auto"/>
            <w:right w:val="none" w:sz="0" w:space="0" w:color="auto"/>
          </w:divBdr>
        </w:div>
      </w:divsChild>
    </w:div>
    <w:div w:id="143544587">
      <w:bodyDiv w:val="1"/>
      <w:marLeft w:val="0"/>
      <w:marRight w:val="0"/>
      <w:marTop w:val="0"/>
      <w:marBottom w:val="0"/>
      <w:divBdr>
        <w:top w:val="none" w:sz="0" w:space="0" w:color="auto"/>
        <w:left w:val="none" w:sz="0" w:space="0" w:color="auto"/>
        <w:bottom w:val="none" w:sz="0" w:space="0" w:color="auto"/>
        <w:right w:val="none" w:sz="0" w:space="0" w:color="auto"/>
      </w:divBdr>
      <w:divsChild>
        <w:div w:id="955910406">
          <w:marLeft w:val="0"/>
          <w:marRight w:val="0"/>
          <w:marTop w:val="0"/>
          <w:marBottom w:val="0"/>
          <w:divBdr>
            <w:top w:val="none" w:sz="0" w:space="0" w:color="auto"/>
            <w:left w:val="none" w:sz="0" w:space="0" w:color="auto"/>
            <w:bottom w:val="none" w:sz="0" w:space="0" w:color="auto"/>
            <w:right w:val="none" w:sz="0" w:space="0" w:color="auto"/>
          </w:divBdr>
        </w:div>
        <w:div w:id="589509245">
          <w:marLeft w:val="0"/>
          <w:marRight w:val="0"/>
          <w:marTop w:val="0"/>
          <w:marBottom w:val="0"/>
          <w:divBdr>
            <w:top w:val="none" w:sz="0" w:space="0" w:color="auto"/>
            <w:left w:val="none" w:sz="0" w:space="0" w:color="auto"/>
            <w:bottom w:val="none" w:sz="0" w:space="0" w:color="auto"/>
            <w:right w:val="none" w:sz="0" w:space="0" w:color="auto"/>
          </w:divBdr>
        </w:div>
        <w:div w:id="1873685368">
          <w:marLeft w:val="0"/>
          <w:marRight w:val="0"/>
          <w:marTop w:val="0"/>
          <w:marBottom w:val="0"/>
          <w:divBdr>
            <w:top w:val="none" w:sz="0" w:space="0" w:color="auto"/>
            <w:left w:val="none" w:sz="0" w:space="0" w:color="auto"/>
            <w:bottom w:val="none" w:sz="0" w:space="0" w:color="auto"/>
            <w:right w:val="none" w:sz="0" w:space="0" w:color="auto"/>
          </w:divBdr>
        </w:div>
        <w:div w:id="555556092">
          <w:marLeft w:val="0"/>
          <w:marRight w:val="0"/>
          <w:marTop w:val="0"/>
          <w:marBottom w:val="0"/>
          <w:divBdr>
            <w:top w:val="none" w:sz="0" w:space="0" w:color="auto"/>
            <w:left w:val="none" w:sz="0" w:space="0" w:color="auto"/>
            <w:bottom w:val="none" w:sz="0" w:space="0" w:color="auto"/>
            <w:right w:val="none" w:sz="0" w:space="0" w:color="auto"/>
          </w:divBdr>
        </w:div>
      </w:divsChild>
    </w:div>
    <w:div w:id="151026831">
      <w:bodyDiv w:val="1"/>
      <w:marLeft w:val="0"/>
      <w:marRight w:val="0"/>
      <w:marTop w:val="0"/>
      <w:marBottom w:val="0"/>
      <w:divBdr>
        <w:top w:val="none" w:sz="0" w:space="0" w:color="auto"/>
        <w:left w:val="none" w:sz="0" w:space="0" w:color="auto"/>
        <w:bottom w:val="none" w:sz="0" w:space="0" w:color="auto"/>
        <w:right w:val="none" w:sz="0" w:space="0" w:color="auto"/>
      </w:divBdr>
    </w:div>
    <w:div w:id="151799904">
      <w:bodyDiv w:val="1"/>
      <w:marLeft w:val="0"/>
      <w:marRight w:val="0"/>
      <w:marTop w:val="0"/>
      <w:marBottom w:val="0"/>
      <w:divBdr>
        <w:top w:val="none" w:sz="0" w:space="0" w:color="auto"/>
        <w:left w:val="none" w:sz="0" w:space="0" w:color="auto"/>
        <w:bottom w:val="none" w:sz="0" w:space="0" w:color="auto"/>
        <w:right w:val="none" w:sz="0" w:space="0" w:color="auto"/>
      </w:divBdr>
    </w:div>
    <w:div w:id="187525235">
      <w:bodyDiv w:val="1"/>
      <w:marLeft w:val="0"/>
      <w:marRight w:val="0"/>
      <w:marTop w:val="0"/>
      <w:marBottom w:val="0"/>
      <w:divBdr>
        <w:top w:val="none" w:sz="0" w:space="0" w:color="auto"/>
        <w:left w:val="none" w:sz="0" w:space="0" w:color="auto"/>
        <w:bottom w:val="none" w:sz="0" w:space="0" w:color="auto"/>
        <w:right w:val="none" w:sz="0" w:space="0" w:color="auto"/>
      </w:divBdr>
    </w:div>
    <w:div w:id="208536435">
      <w:bodyDiv w:val="1"/>
      <w:marLeft w:val="0"/>
      <w:marRight w:val="0"/>
      <w:marTop w:val="0"/>
      <w:marBottom w:val="0"/>
      <w:divBdr>
        <w:top w:val="none" w:sz="0" w:space="0" w:color="auto"/>
        <w:left w:val="none" w:sz="0" w:space="0" w:color="auto"/>
        <w:bottom w:val="none" w:sz="0" w:space="0" w:color="auto"/>
        <w:right w:val="none" w:sz="0" w:space="0" w:color="auto"/>
      </w:divBdr>
    </w:div>
    <w:div w:id="221991936">
      <w:bodyDiv w:val="1"/>
      <w:marLeft w:val="0"/>
      <w:marRight w:val="0"/>
      <w:marTop w:val="0"/>
      <w:marBottom w:val="0"/>
      <w:divBdr>
        <w:top w:val="none" w:sz="0" w:space="0" w:color="auto"/>
        <w:left w:val="none" w:sz="0" w:space="0" w:color="auto"/>
        <w:bottom w:val="none" w:sz="0" w:space="0" w:color="auto"/>
        <w:right w:val="none" w:sz="0" w:space="0" w:color="auto"/>
      </w:divBdr>
      <w:divsChild>
        <w:div w:id="2018383431">
          <w:marLeft w:val="0"/>
          <w:marRight w:val="0"/>
          <w:marTop w:val="0"/>
          <w:marBottom w:val="0"/>
          <w:divBdr>
            <w:top w:val="none" w:sz="0" w:space="0" w:color="auto"/>
            <w:left w:val="none" w:sz="0" w:space="0" w:color="auto"/>
            <w:bottom w:val="none" w:sz="0" w:space="0" w:color="auto"/>
            <w:right w:val="none" w:sz="0" w:space="0" w:color="auto"/>
          </w:divBdr>
        </w:div>
        <w:div w:id="591668273">
          <w:marLeft w:val="0"/>
          <w:marRight w:val="0"/>
          <w:marTop w:val="0"/>
          <w:marBottom w:val="0"/>
          <w:divBdr>
            <w:top w:val="none" w:sz="0" w:space="0" w:color="auto"/>
            <w:left w:val="none" w:sz="0" w:space="0" w:color="auto"/>
            <w:bottom w:val="none" w:sz="0" w:space="0" w:color="auto"/>
            <w:right w:val="none" w:sz="0" w:space="0" w:color="auto"/>
          </w:divBdr>
        </w:div>
        <w:div w:id="1164782075">
          <w:marLeft w:val="0"/>
          <w:marRight w:val="0"/>
          <w:marTop w:val="0"/>
          <w:marBottom w:val="0"/>
          <w:divBdr>
            <w:top w:val="none" w:sz="0" w:space="0" w:color="auto"/>
            <w:left w:val="none" w:sz="0" w:space="0" w:color="auto"/>
            <w:bottom w:val="none" w:sz="0" w:space="0" w:color="auto"/>
            <w:right w:val="none" w:sz="0" w:space="0" w:color="auto"/>
          </w:divBdr>
          <w:divsChild>
            <w:div w:id="189288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854864">
      <w:bodyDiv w:val="1"/>
      <w:marLeft w:val="0"/>
      <w:marRight w:val="0"/>
      <w:marTop w:val="0"/>
      <w:marBottom w:val="0"/>
      <w:divBdr>
        <w:top w:val="none" w:sz="0" w:space="0" w:color="auto"/>
        <w:left w:val="none" w:sz="0" w:space="0" w:color="auto"/>
        <w:bottom w:val="none" w:sz="0" w:space="0" w:color="auto"/>
        <w:right w:val="none" w:sz="0" w:space="0" w:color="auto"/>
      </w:divBdr>
    </w:div>
    <w:div w:id="251818037">
      <w:bodyDiv w:val="1"/>
      <w:marLeft w:val="0"/>
      <w:marRight w:val="0"/>
      <w:marTop w:val="0"/>
      <w:marBottom w:val="0"/>
      <w:divBdr>
        <w:top w:val="none" w:sz="0" w:space="0" w:color="auto"/>
        <w:left w:val="none" w:sz="0" w:space="0" w:color="auto"/>
        <w:bottom w:val="none" w:sz="0" w:space="0" w:color="auto"/>
        <w:right w:val="none" w:sz="0" w:space="0" w:color="auto"/>
      </w:divBdr>
      <w:divsChild>
        <w:div w:id="548804102">
          <w:marLeft w:val="0"/>
          <w:marRight w:val="0"/>
          <w:marTop w:val="0"/>
          <w:marBottom w:val="0"/>
          <w:divBdr>
            <w:top w:val="none" w:sz="0" w:space="0" w:color="auto"/>
            <w:left w:val="none" w:sz="0" w:space="0" w:color="auto"/>
            <w:bottom w:val="none" w:sz="0" w:space="0" w:color="auto"/>
            <w:right w:val="none" w:sz="0" w:space="0" w:color="auto"/>
          </w:divBdr>
          <w:divsChild>
            <w:div w:id="515578812">
              <w:marLeft w:val="0"/>
              <w:marRight w:val="0"/>
              <w:marTop w:val="0"/>
              <w:marBottom w:val="0"/>
              <w:divBdr>
                <w:top w:val="none" w:sz="0" w:space="0" w:color="auto"/>
                <w:left w:val="none" w:sz="0" w:space="0" w:color="auto"/>
                <w:bottom w:val="none" w:sz="0" w:space="0" w:color="auto"/>
                <w:right w:val="none" w:sz="0" w:space="0" w:color="auto"/>
              </w:divBdr>
              <w:divsChild>
                <w:div w:id="1929197238">
                  <w:marLeft w:val="0"/>
                  <w:marRight w:val="0"/>
                  <w:marTop w:val="0"/>
                  <w:marBottom w:val="0"/>
                  <w:divBdr>
                    <w:top w:val="none" w:sz="0" w:space="0" w:color="auto"/>
                    <w:left w:val="none" w:sz="0" w:space="0" w:color="auto"/>
                    <w:bottom w:val="none" w:sz="0" w:space="0" w:color="auto"/>
                    <w:right w:val="none" w:sz="0" w:space="0" w:color="auto"/>
                  </w:divBdr>
                </w:div>
                <w:div w:id="1795979444">
                  <w:marLeft w:val="0"/>
                  <w:marRight w:val="0"/>
                  <w:marTop w:val="0"/>
                  <w:marBottom w:val="0"/>
                  <w:divBdr>
                    <w:top w:val="none" w:sz="0" w:space="0" w:color="auto"/>
                    <w:left w:val="none" w:sz="0" w:space="0" w:color="auto"/>
                    <w:bottom w:val="none" w:sz="0" w:space="0" w:color="auto"/>
                    <w:right w:val="none" w:sz="0" w:space="0" w:color="auto"/>
                  </w:divBdr>
                </w:div>
                <w:div w:id="714700298">
                  <w:marLeft w:val="0"/>
                  <w:marRight w:val="0"/>
                  <w:marTop w:val="0"/>
                  <w:marBottom w:val="0"/>
                  <w:divBdr>
                    <w:top w:val="none" w:sz="0" w:space="0" w:color="auto"/>
                    <w:left w:val="none" w:sz="0" w:space="0" w:color="auto"/>
                    <w:bottom w:val="none" w:sz="0" w:space="0" w:color="auto"/>
                    <w:right w:val="none" w:sz="0" w:space="0" w:color="auto"/>
                  </w:divBdr>
                </w:div>
                <w:div w:id="411395246">
                  <w:marLeft w:val="0"/>
                  <w:marRight w:val="0"/>
                  <w:marTop w:val="0"/>
                  <w:marBottom w:val="0"/>
                  <w:divBdr>
                    <w:top w:val="none" w:sz="0" w:space="0" w:color="auto"/>
                    <w:left w:val="none" w:sz="0" w:space="0" w:color="auto"/>
                    <w:bottom w:val="none" w:sz="0" w:space="0" w:color="auto"/>
                    <w:right w:val="none" w:sz="0" w:space="0" w:color="auto"/>
                  </w:divBdr>
                </w:div>
                <w:div w:id="2048871203">
                  <w:marLeft w:val="0"/>
                  <w:marRight w:val="0"/>
                  <w:marTop w:val="0"/>
                  <w:marBottom w:val="0"/>
                  <w:divBdr>
                    <w:top w:val="none" w:sz="0" w:space="0" w:color="auto"/>
                    <w:left w:val="none" w:sz="0" w:space="0" w:color="auto"/>
                    <w:bottom w:val="none" w:sz="0" w:space="0" w:color="auto"/>
                    <w:right w:val="none" w:sz="0" w:space="0" w:color="auto"/>
                  </w:divBdr>
                </w:div>
              </w:divsChild>
            </w:div>
            <w:div w:id="268395227">
              <w:marLeft w:val="0"/>
              <w:marRight w:val="0"/>
              <w:marTop w:val="0"/>
              <w:marBottom w:val="0"/>
              <w:divBdr>
                <w:top w:val="none" w:sz="0" w:space="0" w:color="auto"/>
                <w:left w:val="none" w:sz="0" w:space="0" w:color="auto"/>
                <w:bottom w:val="none" w:sz="0" w:space="0" w:color="auto"/>
                <w:right w:val="none" w:sz="0" w:space="0" w:color="auto"/>
              </w:divBdr>
            </w:div>
            <w:div w:id="255018332">
              <w:marLeft w:val="0"/>
              <w:marRight w:val="0"/>
              <w:marTop w:val="0"/>
              <w:marBottom w:val="0"/>
              <w:divBdr>
                <w:top w:val="none" w:sz="0" w:space="0" w:color="auto"/>
                <w:left w:val="none" w:sz="0" w:space="0" w:color="auto"/>
                <w:bottom w:val="none" w:sz="0" w:space="0" w:color="auto"/>
                <w:right w:val="none" w:sz="0" w:space="0" w:color="auto"/>
              </w:divBdr>
            </w:div>
            <w:div w:id="1683899733">
              <w:marLeft w:val="0"/>
              <w:marRight w:val="0"/>
              <w:marTop w:val="0"/>
              <w:marBottom w:val="0"/>
              <w:divBdr>
                <w:top w:val="none" w:sz="0" w:space="0" w:color="auto"/>
                <w:left w:val="none" w:sz="0" w:space="0" w:color="auto"/>
                <w:bottom w:val="none" w:sz="0" w:space="0" w:color="auto"/>
                <w:right w:val="none" w:sz="0" w:space="0" w:color="auto"/>
              </w:divBdr>
            </w:div>
            <w:div w:id="1744059296">
              <w:marLeft w:val="0"/>
              <w:marRight w:val="0"/>
              <w:marTop w:val="0"/>
              <w:marBottom w:val="0"/>
              <w:divBdr>
                <w:top w:val="none" w:sz="0" w:space="0" w:color="auto"/>
                <w:left w:val="none" w:sz="0" w:space="0" w:color="auto"/>
                <w:bottom w:val="none" w:sz="0" w:space="0" w:color="auto"/>
                <w:right w:val="none" w:sz="0" w:space="0" w:color="auto"/>
              </w:divBdr>
              <w:divsChild>
                <w:div w:id="1670906614">
                  <w:marLeft w:val="0"/>
                  <w:marRight w:val="0"/>
                  <w:marTop w:val="0"/>
                  <w:marBottom w:val="0"/>
                  <w:divBdr>
                    <w:top w:val="none" w:sz="0" w:space="0" w:color="auto"/>
                    <w:left w:val="none" w:sz="0" w:space="0" w:color="auto"/>
                    <w:bottom w:val="none" w:sz="0" w:space="0" w:color="auto"/>
                    <w:right w:val="none" w:sz="0" w:space="0" w:color="auto"/>
                  </w:divBdr>
                </w:div>
                <w:div w:id="328948748">
                  <w:marLeft w:val="0"/>
                  <w:marRight w:val="0"/>
                  <w:marTop w:val="0"/>
                  <w:marBottom w:val="0"/>
                  <w:divBdr>
                    <w:top w:val="none" w:sz="0" w:space="0" w:color="auto"/>
                    <w:left w:val="none" w:sz="0" w:space="0" w:color="auto"/>
                    <w:bottom w:val="none" w:sz="0" w:space="0" w:color="auto"/>
                    <w:right w:val="none" w:sz="0" w:space="0" w:color="auto"/>
                  </w:divBdr>
                </w:div>
                <w:div w:id="1617055709">
                  <w:marLeft w:val="0"/>
                  <w:marRight w:val="0"/>
                  <w:marTop w:val="0"/>
                  <w:marBottom w:val="0"/>
                  <w:divBdr>
                    <w:top w:val="none" w:sz="0" w:space="0" w:color="auto"/>
                    <w:left w:val="none" w:sz="0" w:space="0" w:color="auto"/>
                    <w:bottom w:val="none" w:sz="0" w:space="0" w:color="auto"/>
                    <w:right w:val="none" w:sz="0" w:space="0" w:color="auto"/>
                  </w:divBdr>
                </w:div>
                <w:div w:id="1678072626">
                  <w:marLeft w:val="0"/>
                  <w:marRight w:val="0"/>
                  <w:marTop w:val="0"/>
                  <w:marBottom w:val="0"/>
                  <w:divBdr>
                    <w:top w:val="none" w:sz="0" w:space="0" w:color="auto"/>
                    <w:left w:val="none" w:sz="0" w:space="0" w:color="auto"/>
                    <w:bottom w:val="none" w:sz="0" w:space="0" w:color="auto"/>
                    <w:right w:val="none" w:sz="0" w:space="0" w:color="auto"/>
                  </w:divBdr>
                </w:div>
                <w:div w:id="602304131">
                  <w:marLeft w:val="0"/>
                  <w:marRight w:val="0"/>
                  <w:marTop w:val="0"/>
                  <w:marBottom w:val="0"/>
                  <w:divBdr>
                    <w:top w:val="none" w:sz="0" w:space="0" w:color="auto"/>
                    <w:left w:val="none" w:sz="0" w:space="0" w:color="auto"/>
                    <w:bottom w:val="none" w:sz="0" w:space="0" w:color="auto"/>
                    <w:right w:val="none" w:sz="0" w:space="0" w:color="auto"/>
                  </w:divBdr>
                </w:div>
                <w:div w:id="1204945669">
                  <w:marLeft w:val="0"/>
                  <w:marRight w:val="0"/>
                  <w:marTop w:val="0"/>
                  <w:marBottom w:val="0"/>
                  <w:divBdr>
                    <w:top w:val="none" w:sz="0" w:space="0" w:color="auto"/>
                    <w:left w:val="none" w:sz="0" w:space="0" w:color="auto"/>
                    <w:bottom w:val="none" w:sz="0" w:space="0" w:color="auto"/>
                    <w:right w:val="none" w:sz="0" w:space="0" w:color="auto"/>
                  </w:divBdr>
                </w:div>
              </w:divsChild>
            </w:div>
            <w:div w:id="168065328">
              <w:marLeft w:val="0"/>
              <w:marRight w:val="0"/>
              <w:marTop w:val="0"/>
              <w:marBottom w:val="0"/>
              <w:divBdr>
                <w:top w:val="none" w:sz="0" w:space="0" w:color="auto"/>
                <w:left w:val="none" w:sz="0" w:space="0" w:color="auto"/>
                <w:bottom w:val="none" w:sz="0" w:space="0" w:color="auto"/>
                <w:right w:val="none" w:sz="0" w:space="0" w:color="auto"/>
              </w:divBdr>
            </w:div>
            <w:div w:id="494414328">
              <w:marLeft w:val="0"/>
              <w:marRight w:val="0"/>
              <w:marTop w:val="0"/>
              <w:marBottom w:val="0"/>
              <w:divBdr>
                <w:top w:val="none" w:sz="0" w:space="0" w:color="auto"/>
                <w:left w:val="none" w:sz="0" w:space="0" w:color="auto"/>
                <w:bottom w:val="none" w:sz="0" w:space="0" w:color="auto"/>
                <w:right w:val="none" w:sz="0" w:space="0" w:color="auto"/>
              </w:divBdr>
              <w:divsChild>
                <w:div w:id="1542355048">
                  <w:marLeft w:val="0"/>
                  <w:marRight w:val="0"/>
                  <w:marTop w:val="0"/>
                  <w:marBottom w:val="0"/>
                  <w:divBdr>
                    <w:top w:val="none" w:sz="0" w:space="0" w:color="auto"/>
                    <w:left w:val="none" w:sz="0" w:space="0" w:color="auto"/>
                    <w:bottom w:val="none" w:sz="0" w:space="0" w:color="auto"/>
                    <w:right w:val="none" w:sz="0" w:space="0" w:color="auto"/>
                  </w:divBdr>
                </w:div>
                <w:div w:id="1534608993">
                  <w:marLeft w:val="0"/>
                  <w:marRight w:val="0"/>
                  <w:marTop w:val="0"/>
                  <w:marBottom w:val="0"/>
                  <w:divBdr>
                    <w:top w:val="none" w:sz="0" w:space="0" w:color="auto"/>
                    <w:left w:val="none" w:sz="0" w:space="0" w:color="auto"/>
                    <w:bottom w:val="none" w:sz="0" w:space="0" w:color="auto"/>
                    <w:right w:val="none" w:sz="0" w:space="0" w:color="auto"/>
                  </w:divBdr>
                </w:div>
              </w:divsChild>
            </w:div>
            <w:div w:id="690836850">
              <w:marLeft w:val="0"/>
              <w:marRight w:val="0"/>
              <w:marTop w:val="0"/>
              <w:marBottom w:val="0"/>
              <w:divBdr>
                <w:top w:val="none" w:sz="0" w:space="0" w:color="auto"/>
                <w:left w:val="none" w:sz="0" w:space="0" w:color="auto"/>
                <w:bottom w:val="none" w:sz="0" w:space="0" w:color="auto"/>
                <w:right w:val="none" w:sz="0" w:space="0" w:color="auto"/>
              </w:divBdr>
            </w:div>
            <w:div w:id="746462456">
              <w:marLeft w:val="0"/>
              <w:marRight w:val="0"/>
              <w:marTop w:val="0"/>
              <w:marBottom w:val="0"/>
              <w:divBdr>
                <w:top w:val="none" w:sz="0" w:space="0" w:color="auto"/>
                <w:left w:val="none" w:sz="0" w:space="0" w:color="auto"/>
                <w:bottom w:val="none" w:sz="0" w:space="0" w:color="auto"/>
                <w:right w:val="none" w:sz="0" w:space="0" w:color="auto"/>
              </w:divBdr>
              <w:divsChild>
                <w:div w:id="291597783">
                  <w:marLeft w:val="0"/>
                  <w:marRight w:val="0"/>
                  <w:marTop w:val="0"/>
                  <w:marBottom w:val="0"/>
                  <w:divBdr>
                    <w:top w:val="none" w:sz="0" w:space="0" w:color="auto"/>
                    <w:left w:val="none" w:sz="0" w:space="0" w:color="auto"/>
                    <w:bottom w:val="none" w:sz="0" w:space="0" w:color="auto"/>
                    <w:right w:val="none" w:sz="0" w:space="0" w:color="auto"/>
                  </w:divBdr>
                </w:div>
                <w:div w:id="2088115224">
                  <w:marLeft w:val="0"/>
                  <w:marRight w:val="0"/>
                  <w:marTop w:val="0"/>
                  <w:marBottom w:val="0"/>
                  <w:divBdr>
                    <w:top w:val="none" w:sz="0" w:space="0" w:color="auto"/>
                    <w:left w:val="none" w:sz="0" w:space="0" w:color="auto"/>
                    <w:bottom w:val="none" w:sz="0" w:space="0" w:color="auto"/>
                    <w:right w:val="none" w:sz="0" w:space="0" w:color="auto"/>
                  </w:divBdr>
                </w:div>
                <w:div w:id="1623533918">
                  <w:marLeft w:val="0"/>
                  <w:marRight w:val="0"/>
                  <w:marTop w:val="0"/>
                  <w:marBottom w:val="0"/>
                  <w:divBdr>
                    <w:top w:val="none" w:sz="0" w:space="0" w:color="auto"/>
                    <w:left w:val="none" w:sz="0" w:space="0" w:color="auto"/>
                    <w:bottom w:val="none" w:sz="0" w:space="0" w:color="auto"/>
                    <w:right w:val="none" w:sz="0" w:space="0" w:color="auto"/>
                  </w:divBdr>
                </w:div>
                <w:div w:id="2242832">
                  <w:marLeft w:val="0"/>
                  <w:marRight w:val="0"/>
                  <w:marTop w:val="0"/>
                  <w:marBottom w:val="0"/>
                  <w:divBdr>
                    <w:top w:val="none" w:sz="0" w:space="0" w:color="auto"/>
                    <w:left w:val="none" w:sz="0" w:space="0" w:color="auto"/>
                    <w:bottom w:val="none" w:sz="0" w:space="0" w:color="auto"/>
                    <w:right w:val="none" w:sz="0" w:space="0" w:color="auto"/>
                  </w:divBdr>
                </w:div>
              </w:divsChild>
            </w:div>
            <w:div w:id="1708794336">
              <w:marLeft w:val="0"/>
              <w:marRight w:val="0"/>
              <w:marTop w:val="0"/>
              <w:marBottom w:val="0"/>
              <w:divBdr>
                <w:top w:val="none" w:sz="0" w:space="0" w:color="auto"/>
                <w:left w:val="none" w:sz="0" w:space="0" w:color="auto"/>
                <w:bottom w:val="none" w:sz="0" w:space="0" w:color="auto"/>
                <w:right w:val="none" w:sz="0" w:space="0" w:color="auto"/>
              </w:divBdr>
            </w:div>
            <w:div w:id="1156721013">
              <w:marLeft w:val="0"/>
              <w:marRight w:val="0"/>
              <w:marTop w:val="0"/>
              <w:marBottom w:val="0"/>
              <w:divBdr>
                <w:top w:val="none" w:sz="0" w:space="0" w:color="auto"/>
                <w:left w:val="none" w:sz="0" w:space="0" w:color="auto"/>
                <w:bottom w:val="none" w:sz="0" w:space="0" w:color="auto"/>
                <w:right w:val="none" w:sz="0" w:space="0" w:color="auto"/>
              </w:divBdr>
              <w:divsChild>
                <w:div w:id="242878779">
                  <w:marLeft w:val="0"/>
                  <w:marRight w:val="0"/>
                  <w:marTop w:val="0"/>
                  <w:marBottom w:val="0"/>
                  <w:divBdr>
                    <w:top w:val="none" w:sz="0" w:space="0" w:color="auto"/>
                    <w:left w:val="none" w:sz="0" w:space="0" w:color="auto"/>
                    <w:bottom w:val="none" w:sz="0" w:space="0" w:color="auto"/>
                    <w:right w:val="none" w:sz="0" w:space="0" w:color="auto"/>
                  </w:divBdr>
                </w:div>
                <w:div w:id="957224022">
                  <w:marLeft w:val="0"/>
                  <w:marRight w:val="0"/>
                  <w:marTop w:val="0"/>
                  <w:marBottom w:val="0"/>
                  <w:divBdr>
                    <w:top w:val="none" w:sz="0" w:space="0" w:color="auto"/>
                    <w:left w:val="none" w:sz="0" w:space="0" w:color="auto"/>
                    <w:bottom w:val="none" w:sz="0" w:space="0" w:color="auto"/>
                    <w:right w:val="none" w:sz="0" w:space="0" w:color="auto"/>
                  </w:divBdr>
                </w:div>
              </w:divsChild>
            </w:div>
            <w:div w:id="2065790952">
              <w:marLeft w:val="0"/>
              <w:marRight w:val="0"/>
              <w:marTop w:val="0"/>
              <w:marBottom w:val="0"/>
              <w:divBdr>
                <w:top w:val="none" w:sz="0" w:space="0" w:color="auto"/>
                <w:left w:val="none" w:sz="0" w:space="0" w:color="auto"/>
                <w:bottom w:val="none" w:sz="0" w:space="0" w:color="auto"/>
                <w:right w:val="none" w:sz="0" w:space="0" w:color="auto"/>
              </w:divBdr>
            </w:div>
            <w:div w:id="1030761366">
              <w:marLeft w:val="0"/>
              <w:marRight w:val="0"/>
              <w:marTop w:val="0"/>
              <w:marBottom w:val="0"/>
              <w:divBdr>
                <w:top w:val="none" w:sz="0" w:space="0" w:color="auto"/>
                <w:left w:val="none" w:sz="0" w:space="0" w:color="auto"/>
                <w:bottom w:val="none" w:sz="0" w:space="0" w:color="auto"/>
                <w:right w:val="none" w:sz="0" w:space="0" w:color="auto"/>
              </w:divBdr>
            </w:div>
            <w:div w:id="1013651738">
              <w:marLeft w:val="0"/>
              <w:marRight w:val="0"/>
              <w:marTop w:val="0"/>
              <w:marBottom w:val="0"/>
              <w:divBdr>
                <w:top w:val="none" w:sz="0" w:space="0" w:color="auto"/>
                <w:left w:val="none" w:sz="0" w:space="0" w:color="auto"/>
                <w:bottom w:val="none" w:sz="0" w:space="0" w:color="auto"/>
                <w:right w:val="none" w:sz="0" w:space="0" w:color="auto"/>
              </w:divBdr>
            </w:div>
            <w:div w:id="218170883">
              <w:marLeft w:val="0"/>
              <w:marRight w:val="0"/>
              <w:marTop w:val="0"/>
              <w:marBottom w:val="0"/>
              <w:divBdr>
                <w:top w:val="none" w:sz="0" w:space="0" w:color="auto"/>
                <w:left w:val="none" w:sz="0" w:space="0" w:color="auto"/>
                <w:bottom w:val="none" w:sz="0" w:space="0" w:color="auto"/>
                <w:right w:val="none" w:sz="0" w:space="0" w:color="auto"/>
              </w:divBdr>
            </w:div>
            <w:div w:id="867333519">
              <w:marLeft w:val="0"/>
              <w:marRight w:val="0"/>
              <w:marTop w:val="0"/>
              <w:marBottom w:val="0"/>
              <w:divBdr>
                <w:top w:val="none" w:sz="0" w:space="0" w:color="auto"/>
                <w:left w:val="none" w:sz="0" w:space="0" w:color="auto"/>
                <w:bottom w:val="none" w:sz="0" w:space="0" w:color="auto"/>
                <w:right w:val="none" w:sz="0" w:space="0" w:color="auto"/>
              </w:divBdr>
            </w:div>
          </w:divsChild>
        </w:div>
        <w:div w:id="1551452999">
          <w:marLeft w:val="0"/>
          <w:marRight w:val="0"/>
          <w:marTop w:val="0"/>
          <w:marBottom w:val="0"/>
          <w:divBdr>
            <w:top w:val="none" w:sz="0" w:space="0" w:color="auto"/>
            <w:left w:val="none" w:sz="0" w:space="0" w:color="auto"/>
            <w:bottom w:val="none" w:sz="0" w:space="0" w:color="auto"/>
            <w:right w:val="none" w:sz="0" w:space="0" w:color="auto"/>
          </w:divBdr>
          <w:divsChild>
            <w:div w:id="188536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01499">
      <w:bodyDiv w:val="1"/>
      <w:marLeft w:val="0"/>
      <w:marRight w:val="0"/>
      <w:marTop w:val="0"/>
      <w:marBottom w:val="0"/>
      <w:divBdr>
        <w:top w:val="none" w:sz="0" w:space="0" w:color="auto"/>
        <w:left w:val="none" w:sz="0" w:space="0" w:color="auto"/>
        <w:bottom w:val="none" w:sz="0" w:space="0" w:color="auto"/>
        <w:right w:val="none" w:sz="0" w:space="0" w:color="auto"/>
      </w:divBdr>
    </w:div>
    <w:div w:id="270551720">
      <w:bodyDiv w:val="1"/>
      <w:marLeft w:val="0"/>
      <w:marRight w:val="0"/>
      <w:marTop w:val="0"/>
      <w:marBottom w:val="0"/>
      <w:divBdr>
        <w:top w:val="none" w:sz="0" w:space="0" w:color="auto"/>
        <w:left w:val="none" w:sz="0" w:space="0" w:color="auto"/>
        <w:bottom w:val="none" w:sz="0" w:space="0" w:color="auto"/>
        <w:right w:val="none" w:sz="0" w:space="0" w:color="auto"/>
      </w:divBdr>
    </w:div>
    <w:div w:id="283654967">
      <w:bodyDiv w:val="1"/>
      <w:marLeft w:val="0"/>
      <w:marRight w:val="0"/>
      <w:marTop w:val="0"/>
      <w:marBottom w:val="0"/>
      <w:divBdr>
        <w:top w:val="none" w:sz="0" w:space="0" w:color="auto"/>
        <w:left w:val="none" w:sz="0" w:space="0" w:color="auto"/>
        <w:bottom w:val="none" w:sz="0" w:space="0" w:color="auto"/>
        <w:right w:val="none" w:sz="0" w:space="0" w:color="auto"/>
      </w:divBdr>
    </w:div>
    <w:div w:id="286157188">
      <w:bodyDiv w:val="1"/>
      <w:marLeft w:val="0"/>
      <w:marRight w:val="0"/>
      <w:marTop w:val="0"/>
      <w:marBottom w:val="0"/>
      <w:divBdr>
        <w:top w:val="none" w:sz="0" w:space="0" w:color="auto"/>
        <w:left w:val="none" w:sz="0" w:space="0" w:color="auto"/>
        <w:bottom w:val="none" w:sz="0" w:space="0" w:color="auto"/>
        <w:right w:val="none" w:sz="0" w:space="0" w:color="auto"/>
      </w:divBdr>
    </w:div>
    <w:div w:id="292902754">
      <w:bodyDiv w:val="1"/>
      <w:marLeft w:val="0"/>
      <w:marRight w:val="0"/>
      <w:marTop w:val="0"/>
      <w:marBottom w:val="0"/>
      <w:divBdr>
        <w:top w:val="none" w:sz="0" w:space="0" w:color="auto"/>
        <w:left w:val="none" w:sz="0" w:space="0" w:color="auto"/>
        <w:bottom w:val="none" w:sz="0" w:space="0" w:color="auto"/>
        <w:right w:val="none" w:sz="0" w:space="0" w:color="auto"/>
      </w:divBdr>
      <w:divsChild>
        <w:div w:id="303437386">
          <w:marLeft w:val="0"/>
          <w:marRight w:val="0"/>
          <w:marTop w:val="0"/>
          <w:marBottom w:val="0"/>
          <w:divBdr>
            <w:top w:val="none" w:sz="0" w:space="0" w:color="auto"/>
            <w:left w:val="none" w:sz="0" w:space="0" w:color="auto"/>
            <w:bottom w:val="none" w:sz="0" w:space="0" w:color="auto"/>
            <w:right w:val="none" w:sz="0" w:space="0" w:color="auto"/>
          </w:divBdr>
        </w:div>
        <w:div w:id="685252651">
          <w:marLeft w:val="0"/>
          <w:marRight w:val="0"/>
          <w:marTop w:val="0"/>
          <w:marBottom w:val="0"/>
          <w:divBdr>
            <w:top w:val="none" w:sz="0" w:space="0" w:color="auto"/>
            <w:left w:val="none" w:sz="0" w:space="0" w:color="auto"/>
            <w:bottom w:val="none" w:sz="0" w:space="0" w:color="auto"/>
            <w:right w:val="none" w:sz="0" w:space="0" w:color="auto"/>
          </w:divBdr>
        </w:div>
      </w:divsChild>
    </w:div>
    <w:div w:id="302542986">
      <w:bodyDiv w:val="1"/>
      <w:marLeft w:val="0"/>
      <w:marRight w:val="0"/>
      <w:marTop w:val="0"/>
      <w:marBottom w:val="0"/>
      <w:divBdr>
        <w:top w:val="none" w:sz="0" w:space="0" w:color="auto"/>
        <w:left w:val="none" w:sz="0" w:space="0" w:color="auto"/>
        <w:bottom w:val="none" w:sz="0" w:space="0" w:color="auto"/>
        <w:right w:val="none" w:sz="0" w:space="0" w:color="auto"/>
      </w:divBdr>
    </w:div>
    <w:div w:id="305091518">
      <w:bodyDiv w:val="1"/>
      <w:marLeft w:val="0"/>
      <w:marRight w:val="0"/>
      <w:marTop w:val="0"/>
      <w:marBottom w:val="0"/>
      <w:divBdr>
        <w:top w:val="none" w:sz="0" w:space="0" w:color="auto"/>
        <w:left w:val="none" w:sz="0" w:space="0" w:color="auto"/>
        <w:bottom w:val="none" w:sz="0" w:space="0" w:color="auto"/>
        <w:right w:val="none" w:sz="0" w:space="0" w:color="auto"/>
      </w:divBdr>
    </w:div>
    <w:div w:id="306477249">
      <w:bodyDiv w:val="1"/>
      <w:marLeft w:val="0"/>
      <w:marRight w:val="0"/>
      <w:marTop w:val="0"/>
      <w:marBottom w:val="0"/>
      <w:divBdr>
        <w:top w:val="none" w:sz="0" w:space="0" w:color="auto"/>
        <w:left w:val="none" w:sz="0" w:space="0" w:color="auto"/>
        <w:bottom w:val="none" w:sz="0" w:space="0" w:color="auto"/>
        <w:right w:val="none" w:sz="0" w:space="0" w:color="auto"/>
      </w:divBdr>
      <w:divsChild>
        <w:div w:id="548298607">
          <w:marLeft w:val="0"/>
          <w:marRight w:val="0"/>
          <w:marTop w:val="0"/>
          <w:marBottom w:val="0"/>
          <w:divBdr>
            <w:top w:val="none" w:sz="0" w:space="0" w:color="auto"/>
            <w:left w:val="none" w:sz="0" w:space="0" w:color="auto"/>
            <w:bottom w:val="none" w:sz="0" w:space="0" w:color="auto"/>
            <w:right w:val="none" w:sz="0" w:space="0" w:color="auto"/>
          </w:divBdr>
        </w:div>
        <w:div w:id="1135484110">
          <w:marLeft w:val="0"/>
          <w:marRight w:val="0"/>
          <w:marTop w:val="0"/>
          <w:marBottom w:val="0"/>
          <w:divBdr>
            <w:top w:val="none" w:sz="0" w:space="0" w:color="auto"/>
            <w:left w:val="none" w:sz="0" w:space="0" w:color="auto"/>
            <w:bottom w:val="none" w:sz="0" w:space="0" w:color="auto"/>
            <w:right w:val="none" w:sz="0" w:space="0" w:color="auto"/>
          </w:divBdr>
        </w:div>
        <w:div w:id="2062895812">
          <w:marLeft w:val="0"/>
          <w:marRight w:val="0"/>
          <w:marTop w:val="0"/>
          <w:marBottom w:val="0"/>
          <w:divBdr>
            <w:top w:val="none" w:sz="0" w:space="0" w:color="auto"/>
            <w:left w:val="none" w:sz="0" w:space="0" w:color="auto"/>
            <w:bottom w:val="none" w:sz="0" w:space="0" w:color="auto"/>
            <w:right w:val="none" w:sz="0" w:space="0" w:color="auto"/>
          </w:divBdr>
          <w:divsChild>
            <w:div w:id="707417899">
              <w:marLeft w:val="0"/>
              <w:marRight w:val="0"/>
              <w:marTop w:val="0"/>
              <w:marBottom w:val="0"/>
              <w:divBdr>
                <w:top w:val="none" w:sz="0" w:space="0" w:color="auto"/>
                <w:left w:val="none" w:sz="0" w:space="0" w:color="auto"/>
                <w:bottom w:val="none" w:sz="0" w:space="0" w:color="auto"/>
                <w:right w:val="none" w:sz="0" w:space="0" w:color="auto"/>
              </w:divBdr>
            </w:div>
            <w:div w:id="691148381">
              <w:marLeft w:val="0"/>
              <w:marRight w:val="0"/>
              <w:marTop w:val="0"/>
              <w:marBottom w:val="0"/>
              <w:divBdr>
                <w:top w:val="none" w:sz="0" w:space="0" w:color="auto"/>
                <w:left w:val="none" w:sz="0" w:space="0" w:color="auto"/>
                <w:bottom w:val="none" w:sz="0" w:space="0" w:color="auto"/>
                <w:right w:val="none" w:sz="0" w:space="0" w:color="auto"/>
              </w:divBdr>
            </w:div>
          </w:divsChild>
        </w:div>
        <w:div w:id="1761752344">
          <w:marLeft w:val="0"/>
          <w:marRight w:val="0"/>
          <w:marTop w:val="0"/>
          <w:marBottom w:val="0"/>
          <w:divBdr>
            <w:top w:val="none" w:sz="0" w:space="0" w:color="auto"/>
            <w:left w:val="none" w:sz="0" w:space="0" w:color="auto"/>
            <w:bottom w:val="none" w:sz="0" w:space="0" w:color="auto"/>
            <w:right w:val="none" w:sz="0" w:space="0" w:color="auto"/>
          </w:divBdr>
        </w:div>
        <w:div w:id="1910269886">
          <w:marLeft w:val="0"/>
          <w:marRight w:val="0"/>
          <w:marTop w:val="0"/>
          <w:marBottom w:val="0"/>
          <w:divBdr>
            <w:top w:val="none" w:sz="0" w:space="0" w:color="auto"/>
            <w:left w:val="none" w:sz="0" w:space="0" w:color="auto"/>
            <w:bottom w:val="none" w:sz="0" w:space="0" w:color="auto"/>
            <w:right w:val="none" w:sz="0" w:space="0" w:color="auto"/>
          </w:divBdr>
        </w:div>
      </w:divsChild>
    </w:div>
    <w:div w:id="321274572">
      <w:bodyDiv w:val="1"/>
      <w:marLeft w:val="0"/>
      <w:marRight w:val="0"/>
      <w:marTop w:val="0"/>
      <w:marBottom w:val="0"/>
      <w:divBdr>
        <w:top w:val="none" w:sz="0" w:space="0" w:color="auto"/>
        <w:left w:val="none" w:sz="0" w:space="0" w:color="auto"/>
        <w:bottom w:val="none" w:sz="0" w:space="0" w:color="auto"/>
        <w:right w:val="none" w:sz="0" w:space="0" w:color="auto"/>
      </w:divBdr>
      <w:divsChild>
        <w:div w:id="1940213775">
          <w:marLeft w:val="0"/>
          <w:marRight w:val="0"/>
          <w:marTop w:val="0"/>
          <w:marBottom w:val="0"/>
          <w:divBdr>
            <w:top w:val="none" w:sz="0" w:space="0" w:color="auto"/>
            <w:left w:val="none" w:sz="0" w:space="0" w:color="auto"/>
            <w:bottom w:val="none" w:sz="0" w:space="0" w:color="auto"/>
            <w:right w:val="none" w:sz="0" w:space="0" w:color="auto"/>
          </w:divBdr>
        </w:div>
        <w:div w:id="1649478380">
          <w:marLeft w:val="0"/>
          <w:marRight w:val="0"/>
          <w:marTop w:val="0"/>
          <w:marBottom w:val="0"/>
          <w:divBdr>
            <w:top w:val="none" w:sz="0" w:space="0" w:color="auto"/>
            <w:left w:val="none" w:sz="0" w:space="0" w:color="auto"/>
            <w:bottom w:val="none" w:sz="0" w:space="0" w:color="auto"/>
            <w:right w:val="none" w:sz="0" w:space="0" w:color="auto"/>
          </w:divBdr>
        </w:div>
        <w:div w:id="1133349">
          <w:marLeft w:val="0"/>
          <w:marRight w:val="0"/>
          <w:marTop w:val="0"/>
          <w:marBottom w:val="0"/>
          <w:divBdr>
            <w:top w:val="none" w:sz="0" w:space="0" w:color="auto"/>
            <w:left w:val="none" w:sz="0" w:space="0" w:color="auto"/>
            <w:bottom w:val="none" w:sz="0" w:space="0" w:color="auto"/>
            <w:right w:val="none" w:sz="0" w:space="0" w:color="auto"/>
          </w:divBdr>
        </w:div>
        <w:div w:id="2059742283">
          <w:marLeft w:val="0"/>
          <w:marRight w:val="0"/>
          <w:marTop w:val="0"/>
          <w:marBottom w:val="0"/>
          <w:divBdr>
            <w:top w:val="none" w:sz="0" w:space="0" w:color="auto"/>
            <w:left w:val="none" w:sz="0" w:space="0" w:color="auto"/>
            <w:bottom w:val="none" w:sz="0" w:space="0" w:color="auto"/>
            <w:right w:val="none" w:sz="0" w:space="0" w:color="auto"/>
          </w:divBdr>
        </w:div>
        <w:div w:id="1462310387">
          <w:marLeft w:val="0"/>
          <w:marRight w:val="0"/>
          <w:marTop w:val="0"/>
          <w:marBottom w:val="0"/>
          <w:divBdr>
            <w:top w:val="none" w:sz="0" w:space="0" w:color="auto"/>
            <w:left w:val="none" w:sz="0" w:space="0" w:color="auto"/>
            <w:bottom w:val="none" w:sz="0" w:space="0" w:color="auto"/>
            <w:right w:val="none" w:sz="0" w:space="0" w:color="auto"/>
          </w:divBdr>
        </w:div>
        <w:div w:id="194930018">
          <w:marLeft w:val="0"/>
          <w:marRight w:val="0"/>
          <w:marTop w:val="0"/>
          <w:marBottom w:val="0"/>
          <w:divBdr>
            <w:top w:val="none" w:sz="0" w:space="0" w:color="auto"/>
            <w:left w:val="none" w:sz="0" w:space="0" w:color="auto"/>
            <w:bottom w:val="none" w:sz="0" w:space="0" w:color="auto"/>
            <w:right w:val="none" w:sz="0" w:space="0" w:color="auto"/>
          </w:divBdr>
        </w:div>
        <w:div w:id="1992173576">
          <w:marLeft w:val="0"/>
          <w:marRight w:val="0"/>
          <w:marTop w:val="0"/>
          <w:marBottom w:val="0"/>
          <w:divBdr>
            <w:top w:val="none" w:sz="0" w:space="0" w:color="auto"/>
            <w:left w:val="none" w:sz="0" w:space="0" w:color="auto"/>
            <w:bottom w:val="none" w:sz="0" w:space="0" w:color="auto"/>
            <w:right w:val="none" w:sz="0" w:space="0" w:color="auto"/>
          </w:divBdr>
        </w:div>
        <w:div w:id="1288513582">
          <w:marLeft w:val="0"/>
          <w:marRight w:val="0"/>
          <w:marTop w:val="0"/>
          <w:marBottom w:val="0"/>
          <w:divBdr>
            <w:top w:val="none" w:sz="0" w:space="0" w:color="auto"/>
            <w:left w:val="none" w:sz="0" w:space="0" w:color="auto"/>
            <w:bottom w:val="none" w:sz="0" w:space="0" w:color="auto"/>
            <w:right w:val="none" w:sz="0" w:space="0" w:color="auto"/>
          </w:divBdr>
        </w:div>
      </w:divsChild>
    </w:div>
    <w:div w:id="338823490">
      <w:bodyDiv w:val="1"/>
      <w:marLeft w:val="0"/>
      <w:marRight w:val="0"/>
      <w:marTop w:val="0"/>
      <w:marBottom w:val="0"/>
      <w:divBdr>
        <w:top w:val="none" w:sz="0" w:space="0" w:color="auto"/>
        <w:left w:val="none" w:sz="0" w:space="0" w:color="auto"/>
        <w:bottom w:val="none" w:sz="0" w:space="0" w:color="auto"/>
        <w:right w:val="none" w:sz="0" w:space="0" w:color="auto"/>
      </w:divBdr>
      <w:divsChild>
        <w:div w:id="2078241117">
          <w:marLeft w:val="0"/>
          <w:marRight w:val="0"/>
          <w:marTop w:val="0"/>
          <w:marBottom w:val="0"/>
          <w:divBdr>
            <w:top w:val="none" w:sz="0" w:space="0" w:color="auto"/>
            <w:left w:val="none" w:sz="0" w:space="0" w:color="auto"/>
            <w:bottom w:val="none" w:sz="0" w:space="0" w:color="auto"/>
            <w:right w:val="none" w:sz="0" w:space="0" w:color="auto"/>
          </w:divBdr>
        </w:div>
        <w:div w:id="770049465">
          <w:marLeft w:val="0"/>
          <w:marRight w:val="0"/>
          <w:marTop w:val="0"/>
          <w:marBottom w:val="0"/>
          <w:divBdr>
            <w:top w:val="none" w:sz="0" w:space="0" w:color="auto"/>
            <w:left w:val="none" w:sz="0" w:space="0" w:color="auto"/>
            <w:bottom w:val="none" w:sz="0" w:space="0" w:color="auto"/>
            <w:right w:val="none" w:sz="0" w:space="0" w:color="auto"/>
          </w:divBdr>
        </w:div>
        <w:div w:id="474874215">
          <w:marLeft w:val="0"/>
          <w:marRight w:val="0"/>
          <w:marTop w:val="0"/>
          <w:marBottom w:val="0"/>
          <w:divBdr>
            <w:top w:val="none" w:sz="0" w:space="0" w:color="auto"/>
            <w:left w:val="none" w:sz="0" w:space="0" w:color="auto"/>
            <w:bottom w:val="none" w:sz="0" w:space="0" w:color="auto"/>
            <w:right w:val="none" w:sz="0" w:space="0" w:color="auto"/>
          </w:divBdr>
        </w:div>
        <w:div w:id="1104302368">
          <w:marLeft w:val="0"/>
          <w:marRight w:val="0"/>
          <w:marTop w:val="0"/>
          <w:marBottom w:val="0"/>
          <w:divBdr>
            <w:top w:val="none" w:sz="0" w:space="0" w:color="auto"/>
            <w:left w:val="none" w:sz="0" w:space="0" w:color="auto"/>
            <w:bottom w:val="none" w:sz="0" w:space="0" w:color="auto"/>
            <w:right w:val="none" w:sz="0" w:space="0" w:color="auto"/>
          </w:divBdr>
        </w:div>
        <w:div w:id="1343124912">
          <w:marLeft w:val="0"/>
          <w:marRight w:val="0"/>
          <w:marTop w:val="0"/>
          <w:marBottom w:val="0"/>
          <w:divBdr>
            <w:top w:val="none" w:sz="0" w:space="0" w:color="auto"/>
            <w:left w:val="none" w:sz="0" w:space="0" w:color="auto"/>
            <w:bottom w:val="none" w:sz="0" w:space="0" w:color="auto"/>
            <w:right w:val="none" w:sz="0" w:space="0" w:color="auto"/>
          </w:divBdr>
        </w:div>
      </w:divsChild>
    </w:div>
    <w:div w:id="340007928">
      <w:bodyDiv w:val="1"/>
      <w:marLeft w:val="0"/>
      <w:marRight w:val="0"/>
      <w:marTop w:val="0"/>
      <w:marBottom w:val="0"/>
      <w:divBdr>
        <w:top w:val="none" w:sz="0" w:space="0" w:color="auto"/>
        <w:left w:val="none" w:sz="0" w:space="0" w:color="auto"/>
        <w:bottom w:val="none" w:sz="0" w:space="0" w:color="auto"/>
        <w:right w:val="none" w:sz="0" w:space="0" w:color="auto"/>
      </w:divBdr>
    </w:div>
    <w:div w:id="350109428">
      <w:bodyDiv w:val="1"/>
      <w:marLeft w:val="0"/>
      <w:marRight w:val="0"/>
      <w:marTop w:val="0"/>
      <w:marBottom w:val="0"/>
      <w:divBdr>
        <w:top w:val="none" w:sz="0" w:space="0" w:color="auto"/>
        <w:left w:val="none" w:sz="0" w:space="0" w:color="auto"/>
        <w:bottom w:val="none" w:sz="0" w:space="0" w:color="auto"/>
        <w:right w:val="none" w:sz="0" w:space="0" w:color="auto"/>
      </w:divBdr>
    </w:div>
    <w:div w:id="361632112">
      <w:bodyDiv w:val="1"/>
      <w:marLeft w:val="0"/>
      <w:marRight w:val="0"/>
      <w:marTop w:val="0"/>
      <w:marBottom w:val="0"/>
      <w:divBdr>
        <w:top w:val="none" w:sz="0" w:space="0" w:color="auto"/>
        <w:left w:val="none" w:sz="0" w:space="0" w:color="auto"/>
        <w:bottom w:val="none" w:sz="0" w:space="0" w:color="auto"/>
        <w:right w:val="none" w:sz="0" w:space="0" w:color="auto"/>
      </w:divBdr>
      <w:divsChild>
        <w:div w:id="188809416">
          <w:marLeft w:val="0"/>
          <w:marRight w:val="0"/>
          <w:marTop w:val="0"/>
          <w:marBottom w:val="0"/>
          <w:divBdr>
            <w:top w:val="none" w:sz="0" w:space="0" w:color="auto"/>
            <w:left w:val="none" w:sz="0" w:space="0" w:color="auto"/>
            <w:bottom w:val="none" w:sz="0" w:space="0" w:color="auto"/>
            <w:right w:val="none" w:sz="0" w:space="0" w:color="auto"/>
          </w:divBdr>
        </w:div>
        <w:div w:id="1974142100">
          <w:marLeft w:val="0"/>
          <w:marRight w:val="0"/>
          <w:marTop w:val="0"/>
          <w:marBottom w:val="0"/>
          <w:divBdr>
            <w:top w:val="none" w:sz="0" w:space="0" w:color="auto"/>
            <w:left w:val="none" w:sz="0" w:space="0" w:color="auto"/>
            <w:bottom w:val="none" w:sz="0" w:space="0" w:color="auto"/>
            <w:right w:val="none" w:sz="0" w:space="0" w:color="auto"/>
          </w:divBdr>
        </w:div>
        <w:div w:id="784927864">
          <w:marLeft w:val="0"/>
          <w:marRight w:val="0"/>
          <w:marTop w:val="0"/>
          <w:marBottom w:val="0"/>
          <w:divBdr>
            <w:top w:val="none" w:sz="0" w:space="0" w:color="auto"/>
            <w:left w:val="none" w:sz="0" w:space="0" w:color="auto"/>
            <w:bottom w:val="none" w:sz="0" w:space="0" w:color="auto"/>
            <w:right w:val="none" w:sz="0" w:space="0" w:color="auto"/>
          </w:divBdr>
        </w:div>
        <w:div w:id="1833522240">
          <w:marLeft w:val="0"/>
          <w:marRight w:val="0"/>
          <w:marTop w:val="0"/>
          <w:marBottom w:val="0"/>
          <w:divBdr>
            <w:top w:val="none" w:sz="0" w:space="0" w:color="auto"/>
            <w:left w:val="none" w:sz="0" w:space="0" w:color="auto"/>
            <w:bottom w:val="none" w:sz="0" w:space="0" w:color="auto"/>
            <w:right w:val="none" w:sz="0" w:space="0" w:color="auto"/>
          </w:divBdr>
        </w:div>
        <w:div w:id="932399822">
          <w:marLeft w:val="0"/>
          <w:marRight w:val="0"/>
          <w:marTop w:val="0"/>
          <w:marBottom w:val="0"/>
          <w:divBdr>
            <w:top w:val="none" w:sz="0" w:space="0" w:color="auto"/>
            <w:left w:val="none" w:sz="0" w:space="0" w:color="auto"/>
            <w:bottom w:val="none" w:sz="0" w:space="0" w:color="auto"/>
            <w:right w:val="none" w:sz="0" w:space="0" w:color="auto"/>
          </w:divBdr>
        </w:div>
        <w:div w:id="1475878360">
          <w:marLeft w:val="0"/>
          <w:marRight w:val="0"/>
          <w:marTop w:val="0"/>
          <w:marBottom w:val="0"/>
          <w:divBdr>
            <w:top w:val="none" w:sz="0" w:space="0" w:color="auto"/>
            <w:left w:val="none" w:sz="0" w:space="0" w:color="auto"/>
            <w:bottom w:val="none" w:sz="0" w:space="0" w:color="auto"/>
            <w:right w:val="none" w:sz="0" w:space="0" w:color="auto"/>
          </w:divBdr>
        </w:div>
        <w:div w:id="2035420141">
          <w:marLeft w:val="0"/>
          <w:marRight w:val="0"/>
          <w:marTop w:val="0"/>
          <w:marBottom w:val="0"/>
          <w:divBdr>
            <w:top w:val="none" w:sz="0" w:space="0" w:color="auto"/>
            <w:left w:val="none" w:sz="0" w:space="0" w:color="auto"/>
            <w:bottom w:val="none" w:sz="0" w:space="0" w:color="auto"/>
            <w:right w:val="none" w:sz="0" w:space="0" w:color="auto"/>
          </w:divBdr>
        </w:div>
        <w:div w:id="234514380">
          <w:marLeft w:val="0"/>
          <w:marRight w:val="0"/>
          <w:marTop w:val="0"/>
          <w:marBottom w:val="0"/>
          <w:divBdr>
            <w:top w:val="none" w:sz="0" w:space="0" w:color="auto"/>
            <w:left w:val="none" w:sz="0" w:space="0" w:color="auto"/>
            <w:bottom w:val="none" w:sz="0" w:space="0" w:color="auto"/>
            <w:right w:val="none" w:sz="0" w:space="0" w:color="auto"/>
          </w:divBdr>
        </w:div>
      </w:divsChild>
    </w:div>
    <w:div w:id="368335877">
      <w:bodyDiv w:val="1"/>
      <w:marLeft w:val="0"/>
      <w:marRight w:val="0"/>
      <w:marTop w:val="0"/>
      <w:marBottom w:val="0"/>
      <w:divBdr>
        <w:top w:val="none" w:sz="0" w:space="0" w:color="auto"/>
        <w:left w:val="none" w:sz="0" w:space="0" w:color="auto"/>
        <w:bottom w:val="none" w:sz="0" w:space="0" w:color="auto"/>
        <w:right w:val="none" w:sz="0" w:space="0" w:color="auto"/>
      </w:divBdr>
    </w:div>
    <w:div w:id="382828449">
      <w:bodyDiv w:val="1"/>
      <w:marLeft w:val="0"/>
      <w:marRight w:val="0"/>
      <w:marTop w:val="0"/>
      <w:marBottom w:val="0"/>
      <w:divBdr>
        <w:top w:val="none" w:sz="0" w:space="0" w:color="auto"/>
        <w:left w:val="none" w:sz="0" w:space="0" w:color="auto"/>
        <w:bottom w:val="none" w:sz="0" w:space="0" w:color="auto"/>
        <w:right w:val="none" w:sz="0" w:space="0" w:color="auto"/>
      </w:divBdr>
    </w:div>
    <w:div w:id="402987704">
      <w:bodyDiv w:val="1"/>
      <w:marLeft w:val="0"/>
      <w:marRight w:val="0"/>
      <w:marTop w:val="0"/>
      <w:marBottom w:val="0"/>
      <w:divBdr>
        <w:top w:val="none" w:sz="0" w:space="0" w:color="auto"/>
        <w:left w:val="none" w:sz="0" w:space="0" w:color="auto"/>
        <w:bottom w:val="none" w:sz="0" w:space="0" w:color="auto"/>
        <w:right w:val="none" w:sz="0" w:space="0" w:color="auto"/>
      </w:divBdr>
      <w:divsChild>
        <w:div w:id="1978224017">
          <w:marLeft w:val="0"/>
          <w:marRight w:val="0"/>
          <w:marTop w:val="0"/>
          <w:marBottom w:val="0"/>
          <w:divBdr>
            <w:top w:val="none" w:sz="0" w:space="0" w:color="auto"/>
            <w:left w:val="none" w:sz="0" w:space="0" w:color="auto"/>
            <w:bottom w:val="none" w:sz="0" w:space="0" w:color="auto"/>
            <w:right w:val="none" w:sz="0" w:space="0" w:color="auto"/>
          </w:divBdr>
        </w:div>
        <w:div w:id="1216089656">
          <w:marLeft w:val="0"/>
          <w:marRight w:val="0"/>
          <w:marTop w:val="0"/>
          <w:marBottom w:val="0"/>
          <w:divBdr>
            <w:top w:val="none" w:sz="0" w:space="0" w:color="auto"/>
            <w:left w:val="none" w:sz="0" w:space="0" w:color="auto"/>
            <w:bottom w:val="none" w:sz="0" w:space="0" w:color="auto"/>
            <w:right w:val="none" w:sz="0" w:space="0" w:color="auto"/>
          </w:divBdr>
        </w:div>
      </w:divsChild>
    </w:div>
    <w:div w:id="406810922">
      <w:bodyDiv w:val="1"/>
      <w:marLeft w:val="0"/>
      <w:marRight w:val="0"/>
      <w:marTop w:val="0"/>
      <w:marBottom w:val="0"/>
      <w:divBdr>
        <w:top w:val="none" w:sz="0" w:space="0" w:color="auto"/>
        <w:left w:val="none" w:sz="0" w:space="0" w:color="auto"/>
        <w:bottom w:val="none" w:sz="0" w:space="0" w:color="auto"/>
        <w:right w:val="none" w:sz="0" w:space="0" w:color="auto"/>
      </w:divBdr>
    </w:div>
    <w:div w:id="436676313">
      <w:bodyDiv w:val="1"/>
      <w:marLeft w:val="0"/>
      <w:marRight w:val="0"/>
      <w:marTop w:val="0"/>
      <w:marBottom w:val="0"/>
      <w:divBdr>
        <w:top w:val="none" w:sz="0" w:space="0" w:color="auto"/>
        <w:left w:val="none" w:sz="0" w:space="0" w:color="auto"/>
        <w:bottom w:val="none" w:sz="0" w:space="0" w:color="auto"/>
        <w:right w:val="none" w:sz="0" w:space="0" w:color="auto"/>
      </w:divBdr>
    </w:div>
    <w:div w:id="442580529">
      <w:bodyDiv w:val="1"/>
      <w:marLeft w:val="0"/>
      <w:marRight w:val="0"/>
      <w:marTop w:val="0"/>
      <w:marBottom w:val="0"/>
      <w:divBdr>
        <w:top w:val="none" w:sz="0" w:space="0" w:color="auto"/>
        <w:left w:val="none" w:sz="0" w:space="0" w:color="auto"/>
        <w:bottom w:val="none" w:sz="0" w:space="0" w:color="auto"/>
        <w:right w:val="none" w:sz="0" w:space="0" w:color="auto"/>
      </w:divBdr>
      <w:divsChild>
        <w:div w:id="2065059397">
          <w:marLeft w:val="0"/>
          <w:marRight w:val="0"/>
          <w:marTop w:val="0"/>
          <w:marBottom w:val="0"/>
          <w:divBdr>
            <w:top w:val="none" w:sz="0" w:space="0" w:color="auto"/>
            <w:left w:val="none" w:sz="0" w:space="0" w:color="auto"/>
            <w:bottom w:val="none" w:sz="0" w:space="0" w:color="auto"/>
            <w:right w:val="none" w:sz="0" w:space="0" w:color="auto"/>
          </w:divBdr>
        </w:div>
        <w:div w:id="1082408691">
          <w:marLeft w:val="0"/>
          <w:marRight w:val="0"/>
          <w:marTop w:val="0"/>
          <w:marBottom w:val="0"/>
          <w:divBdr>
            <w:top w:val="none" w:sz="0" w:space="0" w:color="auto"/>
            <w:left w:val="none" w:sz="0" w:space="0" w:color="auto"/>
            <w:bottom w:val="none" w:sz="0" w:space="0" w:color="auto"/>
            <w:right w:val="none" w:sz="0" w:space="0" w:color="auto"/>
          </w:divBdr>
        </w:div>
      </w:divsChild>
    </w:div>
    <w:div w:id="443161251">
      <w:bodyDiv w:val="1"/>
      <w:marLeft w:val="0"/>
      <w:marRight w:val="0"/>
      <w:marTop w:val="0"/>
      <w:marBottom w:val="0"/>
      <w:divBdr>
        <w:top w:val="none" w:sz="0" w:space="0" w:color="auto"/>
        <w:left w:val="none" w:sz="0" w:space="0" w:color="auto"/>
        <w:bottom w:val="none" w:sz="0" w:space="0" w:color="auto"/>
        <w:right w:val="none" w:sz="0" w:space="0" w:color="auto"/>
      </w:divBdr>
      <w:divsChild>
        <w:div w:id="1155100069">
          <w:marLeft w:val="0"/>
          <w:marRight w:val="0"/>
          <w:marTop w:val="0"/>
          <w:marBottom w:val="0"/>
          <w:divBdr>
            <w:top w:val="none" w:sz="0" w:space="0" w:color="auto"/>
            <w:left w:val="none" w:sz="0" w:space="0" w:color="auto"/>
            <w:bottom w:val="none" w:sz="0" w:space="0" w:color="auto"/>
            <w:right w:val="none" w:sz="0" w:space="0" w:color="auto"/>
          </w:divBdr>
          <w:divsChild>
            <w:div w:id="1952980033">
              <w:marLeft w:val="0"/>
              <w:marRight w:val="0"/>
              <w:marTop w:val="0"/>
              <w:marBottom w:val="0"/>
              <w:divBdr>
                <w:top w:val="none" w:sz="0" w:space="0" w:color="auto"/>
                <w:left w:val="none" w:sz="0" w:space="0" w:color="auto"/>
                <w:bottom w:val="none" w:sz="0" w:space="0" w:color="auto"/>
                <w:right w:val="none" w:sz="0" w:space="0" w:color="auto"/>
              </w:divBdr>
            </w:div>
            <w:div w:id="178399774">
              <w:marLeft w:val="0"/>
              <w:marRight w:val="0"/>
              <w:marTop w:val="0"/>
              <w:marBottom w:val="0"/>
              <w:divBdr>
                <w:top w:val="none" w:sz="0" w:space="0" w:color="auto"/>
                <w:left w:val="none" w:sz="0" w:space="0" w:color="auto"/>
                <w:bottom w:val="none" w:sz="0" w:space="0" w:color="auto"/>
                <w:right w:val="none" w:sz="0" w:space="0" w:color="auto"/>
              </w:divBdr>
            </w:div>
            <w:div w:id="1428503679">
              <w:marLeft w:val="0"/>
              <w:marRight w:val="0"/>
              <w:marTop w:val="0"/>
              <w:marBottom w:val="0"/>
              <w:divBdr>
                <w:top w:val="none" w:sz="0" w:space="0" w:color="auto"/>
                <w:left w:val="none" w:sz="0" w:space="0" w:color="auto"/>
                <w:bottom w:val="none" w:sz="0" w:space="0" w:color="auto"/>
                <w:right w:val="none" w:sz="0" w:space="0" w:color="auto"/>
              </w:divBdr>
            </w:div>
            <w:div w:id="1808741221">
              <w:marLeft w:val="0"/>
              <w:marRight w:val="0"/>
              <w:marTop w:val="0"/>
              <w:marBottom w:val="0"/>
              <w:divBdr>
                <w:top w:val="none" w:sz="0" w:space="0" w:color="auto"/>
                <w:left w:val="none" w:sz="0" w:space="0" w:color="auto"/>
                <w:bottom w:val="none" w:sz="0" w:space="0" w:color="auto"/>
                <w:right w:val="none" w:sz="0" w:space="0" w:color="auto"/>
              </w:divBdr>
            </w:div>
          </w:divsChild>
        </w:div>
        <w:div w:id="629019006">
          <w:marLeft w:val="0"/>
          <w:marRight w:val="0"/>
          <w:marTop w:val="0"/>
          <w:marBottom w:val="0"/>
          <w:divBdr>
            <w:top w:val="none" w:sz="0" w:space="0" w:color="auto"/>
            <w:left w:val="none" w:sz="0" w:space="0" w:color="auto"/>
            <w:bottom w:val="none" w:sz="0" w:space="0" w:color="auto"/>
            <w:right w:val="none" w:sz="0" w:space="0" w:color="auto"/>
          </w:divBdr>
          <w:divsChild>
            <w:div w:id="2071802667">
              <w:marLeft w:val="0"/>
              <w:marRight w:val="0"/>
              <w:marTop w:val="0"/>
              <w:marBottom w:val="0"/>
              <w:divBdr>
                <w:top w:val="none" w:sz="0" w:space="0" w:color="auto"/>
                <w:left w:val="none" w:sz="0" w:space="0" w:color="auto"/>
                <w:bottom w:val="none" w:sz="0" w:space="0" w:color="auto"/>
                <w:right w:val="none" w:sz="0" w:space="0" w:color="auto"/>
              </w:divBdr>
            </w:div>
            <w:div w:id="3748822">
              <w:marLeft w:val="0"/>
              <w:marRight w:val="0"/>
              <w:marTop w:val="0"/>
              <w:marBottom w:val="0"/>
              <w:divBdr>
                <w:top w:val="none" w:sz="0" w:space="0" w:color="auto"/>
                <w:left w:val="none" w:sz="0" w:space="0" w:color="auto"/>
                <w:bottom w:val="none" w:sz="0" w:space="0" w:color="auto"/>
                <w:right w:val="none" w:sz="0" w:space="0" w:color="auto"/>
              </w:divBdr>
            </w:div>
            <w:div w:id="843282539">
              <w:marLeft w:val="0"/>
              <w:marRight w:val="0"/>
              <w:marTop w:val="0"/>
              <w:marBottom w:val="0"/>
              <w:divBdr>
                <w:top w:val="none" w:sz="0" w:space="0" w:color="auto"/>
                <w:left w:val="none" w:sz="0" w:space="0" w:color="auto"/>
                <w:bottom w:val="none" w:sz="0" w:space="0" w:color="auto"/>
                <w:right w:val="none" w:sz="0" w:space="0" w:color="auto"/>
              </w:divBdr>
            </w:div>
            <w:div w:id="1271282566">
              <w:marLeft w:val="0"/>
              <w:marRight w:val="0"/>
              <w:marTop w:val="0"/>
              <w:marBottom w:val="0"/>
              <w:divBdr>
                <w:top w:val="none" w:sz="0" w:space="0" w:color="auto"/>
                <w:left w:val="none" w:sz="0" w:space="0" w:color="auto"/>
                <w:bottom w:val="none" w:sz="0" w:space="0" w:color="auto"/>
                <w:right w:val="none" w:sz="0" w:space="0" w:color="auto"/>
              </w:divBdr>
            </w:div>
            <w:div w:id="428818347">
              <w:marLeft w:val="0"/>
              <w:marRight w:val="0"/>
              <w:marTop w:val="0"/>
              <w:marBottom w:val="0"/>
              <w:divBdr>
                <w:top w:val="none" w:sz="0" w:space="0" w:color="auto"/>
                <w:left w:val="none" w:sz="0" w:space="0" w:color="auto"/>
                <w:bottom w:val="none" w:sz="0" w:space="0" w:color="auto"/>
                <w:right w:val="none" w:sz="0" w:space="0" w:color="auto"/>
              </w:divBdr>
            </w:div>
          </w:divsChild>
        </w:div>
        <w:div w:id="625357590">
          <w:marLeft w:val="0"/>
          <w:marRight w:val="0"/>
          <w:marTop w:val="0"/>
          <w:marBottom w:val="0"/>
          <w:divBdr>
            <w:top w:val="none" w:sz="0" w:space="0" w:color="auto"/>
            <w:left w:val="none" w:sz="0" w:space="0" w:color="auto"/>
            <w:bottom w:val="none" w:sz="0" w:space="0" w:color="auto"/>
            <w:right w:val="none" w:sz="0" w:space="0" w:color="auto"/>
          </w:divBdr>
          <w:divsChild>
            <w:div w:id="777530130">
              <w:marLeft w:val="0"/>
              <w:marRight w:val="0"/>
              <w:marTop w:val="0"/>
              <w:marBottom w:val="0"/>
              <w:divBdr>
                <w:top w:val="none" w:sz="0" w:space="0" w:color="auto"/>
                <w:left w:val="none" w:sz="0" w:space="0" w:color="auto"/>
                <w:bottom w:val="none" w:sz="0" w:space="0" w:color="auto"/>
                <w:right w:val="none" w:sz="0" w:space="0" w:color="auto"/>
              </w:divBdr>
            </w:div>
            <w:div w:id="1898590063">
              <w:marLeft w:val="0"/>
              <w:marRight w:val="0"/>
              <w:marTop w:val="0"/>
              <w:marBottom w:val="0"/>
              <w:divBdr>
                <w:top w:val="none" w:sz="0" w:space="0" w:color="auto"/>
                <w:left w:val="none" w:sz="0" w:space="0" w:color="auto"/>
                <w:bottom w:val="none" w:sz="0" w:space="0" w:color="auto"/>
                <w:right w:val="none" w:sz="0" w:space="0" w:color="auto"/>
              </w:divBdr>
            </w:div>
            <w:div w:id="1279071712">
              <w:marLeft w:val="0"/>
              <w:marRight w:val="0"/>
              <w:marTop w:val="0"/>
              <w:marBottom w:val="0"/>
              <w:divBdr>
                <w:top w:val="none" w:sz="0" w:space="0" w:color="auto"/>
                <w:left w:val="none" w:sz="0" w:space="0" w:color="auto"/>
                <w:bottom w:val="none" w:sz="0" w:space="0" w:color="auto"/>
                <w:right w:val="none" w:sz="0" w:space="0" w:color="auto"/>
              </w:divBdr>
            </w:div>
            <w:div w:id="1011027619">
              <w:marLeft w:val="0"/>
              <w:marRight w:val="0"/>
              <w:marTop w:val="0"/>
              <w:marBottom w:val="0"/>
              <w:divBdr>
                <w:top w:val="none" w:sz="0" w:space="0" w:color="auto"/>
                <w:left w:val="none" w:sz="0" w:space="0" w:color="auto"/>
                <w:bottom w:val="none" w:sz="0" w:space="0" w:color="auto"/>
                <w:right w:val="none" w:sz="0" w:space="0" w:color="auto"/>
              </w:divBdr>
            </w:div>
            <w:div w:id="392237892">
              <w:marLeft w:val="0"/>
              <w:marRight w:val="0"/>
              <w:marTop w:val="0"/>
              <w:marBottom w:val="0"/>
              <w:divBdr>
                <w:top w:val="none" w:sz="0" w:space="0" w:color="auto"/>
                <w:left w:val="none" w:sz="0" w:space="0" w:color="auto"/>
                <w:bottom w:val="none" w:sz="0" w:space="0" w:color="auto"/>
                <w:right w:val="none" w:sz="0" w:space="0" w:color="auto"/>
              </w:divBdr>
            </w:div>
            <w:div w:id="783157243">
              <w:marLeft w:val="0"/>
              <w:marRight w:val="0"/>
              <w:marTop w:val="0"/>
              <w:marBottom w:val="0"/>
              <w:divBdr>
                <w:top w:val="none" w:sz="0" w:space="0" w:color="auto"/>
                <w:left w:val="none" w:sz="0" w:space="0" w:color="auto"/>
                <w:bottom w:val="none" w:sz="0" w:space="0" w:color="auto"/>
                <w:right w:val="none" w:sz="0" w:space="0" w:color="auto"/>
              </w:divBdr>
            </w:div>
          </w:divsChild>
        </w:div>
        <w:div w:id="487676679">
          <w:marLeft w:val="0"/>
          <w:marRight w:val="0"/>
          <w:marTop w:val="0"/>
          <w:marBottom w:val="0"/>
          <w:divBdr>
            <w:top w:val="none" w:sz="0" w:space="0" w:color="auto"/>
            <w:left w:val="none" w:sz="0" w:space="0" w:color="auto"/>
            <w:bottom w:val="none" w:sz="0" w:space="0" w:color="auto"/>
            <w:right w:val="none" w:sz="0" w:space="0" w:color="auto"/>
          </w:divBdr>
          <w:divsChild>
            <w:div w:id="349914938">
              <w:marLeft w:val="0"/>
              <w:marRight w:val="0"/>
              <w:marTop w:val="0"/>
              <w:marBottom w:val="0"/>
              <w:divBdr>
                <w:top w:val="none" w:sz="0" w:space="0" w:color="auto"/>
                <w:left w:val="none" w:sz="0" w:space="0" w:color="auto"/>
                <w:bottom w:val="none" w:sz="0" w:space="0" w:color="auto"/>
                <w:right w:val="none" w:sz="0" w:space="0" w:color="auto"/>
              </w:divBdr>
              <w:divsChild>
                <w:div w:id="1765764957">
                  <w:marLeft w:val="0"/>
                  <w:marRight w:val="0"/>
                  <w:marTop w:val="0"/>
                  <w:marBottom w:val="0"/>
                  <w:divBdr>
                    <w:top w:val="none" w:sz="0" w:space="0" w:color="auto"/>
                    <w:left w:val="none" w:sz="0" w:space="0" w:color="auto"/>
                    <w:bottom w:val="none" w:sz="0" w:space="0" w:color="auto"/>
                    <w:right w:val="none" w:sz="0" w:space="0" w:color="auto"/>
                  </w:divBdr>
                </w:div>
                <w:div w:id="2106145050">
                  <w:marLeft w:val="0"/>
                  <w:marRight w:val="0"/>
                  <w:marTop w:val="0"/>
                  <w:marBottom w:val="0"/>
                  <w:divBdr>
                    <w:top w:val="none" w:sz="0" w:space="0" w:color="auto"/>
                    <w:left w:val="none" w:sz="0" w:space="0" w:color="auto"/>
                    <w:bottom w:val="none" w:sz="0" w:space="0" w:color="auto"/>
                    <w:right w:val="none" w:sz="0" w:space="0" w:color="auto"/>
                  </w:divBdr>
                </w:div>
                <w:div w:id="1138108773">
                  <w:marLeft w:val="0"/>
                  <w:marRight w:val="0"/>
                  <w:marTop w:val="0"/>
                  <w:marBottom w:val="0"/>
                  <w:divBdr>
                    <w:top w:val="none" w:sz="0" w:space="0" w:color="auto"/>
                    <w:left w:val="none" w:sz="0" w:space="0" w:color="auto"/>
                    <w:bottom w:val="none" w:sz="0" w:space="0" w:color="auto"/>
                    <w:right w:val="none" w:sz="0" w:space="0" w:color="auto"/>
                  </w:divBdr>
                </w:div>
                <w:div w:id="610092181">
                  <w:marLeft w:val="0"/>
                  <w:marRight w:val="0"/>
                  <w:marTop w:val="0"/>
                  <w:marBottom w:val="0"/>
                  <w:divBdr>
                    <w:top w:val="none" w:sz="0" w:space="0" w:color="auto"/>
                    <w:left w:val="none" w:sz="0" w:space="0" w:color="auto"/>
                    <w:bottom w:val="none" w:sz="0" w:space="0" w:color="auto"/>
                    <w:right w:val="none" w:sz="0" w:space="0" w:color="auto"/>
                  </w:divBdr>
                </w:div>
              </w:divsChild>
            </w:div>
            <w:div w:id="111286328">
              <w:marLeft w:val="0"/>
              <w:marRight w:val="0"/>
              <w:marTop w:val="0"/>
              <w:marBottom w:val="0"/>
              <w:divBdr>
                <w:top w:val="none" w:sz="0" w:space="0" w:color="auto"/>
                <w:left w:val="none" w:sz="0" w:space="0" w:color="auto"/>
                <w:bottom w:val="none" w:sz="0" w:space="0" w:color="auto"/>
                <w:right w:val="none" w:sz="0" w:space="0" w:color="auto"/>
              </w:divBdr>
            </w:div>
            <w:div w:id="1035498992">
              <w:marLeft w:val="0"/>
              <w:marRight w:val="0"/>
              <w:marTop w:val="0"/>
              <w:marBottom w:val="0"/>
              <w:divBdr>
                <w:top w:val="none" w:sz="0" w:space="0" w:color="auto"/>
                <w:left w:val="none" w:sz="0" w:space="0" w:color="auto"/>
                <w:bottom w:val="none" w:sz="0" w:space="0" w:color="auto"/>
                <w:right w:val="none" w:sz="0" w:space="0" w:color="auto"/>
              </w:divBdr>
            </w:div>
            <w:div w:id="374087132">
              <w:marLeft w:val="0"/>
              <w:marRight w:val="0"/>
              <w:marTop w:val="0"/>
              <w:marBottom w:val="0"/>
              <w:divBdr>
                <w:top w:val="none" w:sz="0" w:space="0" w:color="auto"/>
                <w:left w:val="none" w:sz="0" w:space="0" w:color="auto"/>
                <w:bottom w:val="none" w:sz="0" w:space="0" w:color="auto"/>
                <w:right w:val="none" w:sz="0" w:space="0" w:color="auto"/>
              </w:divBdr>
            </w:div>
            <w:div w:id="253825421">
              <w:marLeft w:val="0"/>
              <w:marRight w:val="0"/>
              <w:marTop w:val="0"/>
              <w:marBottom w:val="0"/>
              <w:divBdr>
                <w:top w:val="none" w:sz="0" w:space="0" w:color="auto"/>
                <w:left w:val="none" w:sz="0" w:space="0" w:color="auto"/>
                <w:bottom w:val="none" w:sz="0" w:space="0" w:color="auto"/>
                <w:right w:val="none" w:sz="0" w:space="0" w:color="auto"/>
              </w:divBdr>
            </w:div>
            <w:div w:id="1780681036">
              <w:marLeft w:val="0"/>
              <w:marRight w:val="0"/>
              <w:marTop w:val="0"/>
              <w:marBottom w:val="0"/>
              <w:divBdr>
                <w:top w:val="none" w:sz="0" w:space="0" w:color="auto"/>
                <w:left w:val="none" w:sz="0" w:space="0" w:color="auto"/>
                <w:bottom w:val="none" w:sz="0" w:space="0" w:color="auto"/>
                <w:right w:val="none" w:sz="0" w:space="0" w:color="auto"/>
              </w:divBdr>
            </w:div>
            <w:div w:id="1131485087">
              <w:marLeft w:val="0"/>
              <w:marRight w:val="0"/>
              <w:marTop w:val="0"/>
              <w:marBottom w:val="0"/>
              <w:divBdr>
                <w:top w:val="none" w:sz="0" w:space="0" w:color="auto"/>
                <w:left w:val="none" w:sz="0" w:space="0" w:color="auto"/>
                <w:bottom w:val="none" w:sz="0" w:space="0" w:color="auto"/>
                <w:right w:val="none" w:sz="0" w:space="0" w:color="auto"/>
              </w:divBdr>
            </w:div>
            <w:div w:id="878469101">
              <w:marLeft w:val="0"/>
              <w:marRight w:val="0"/>
              <w:marTop w:val="0"/>
              <w:marBottom w:val="0"/>
              <w:divBdr>
                <w:top w:val="none" w:sz="0" w:space="0" w:color="auto"/>
                <w:left w:val="none" w:sz="0" w:space="0" w:color="auto"/>
                <w:bottom w:val="none" w:sz="0" w:space="0" w:color="auto"/>
                <w:right w:val="none" w:sz="0" w:space="0" w:color="auto"/>
              </w:divBdr>
            </w:div>
            <w:div w:id="636572289">
              <w:marLeft w:val="0"/>
              <w:marRight w:val="0"/>
              <w:marTop w:val="0"/>
              <w:marBottom w:val="0"/>
              <w:divBdr>
                <w:top w:val="none" w:sz="0" w:space="0" w:color="auto"/>
                <w:left w:val="none" w:sz="0" w:space="0" w:color="auto"/>
                <w:bottom w:val="none" w:sz="0" w:space="0" w:color="auto"/>
                <w:right w:val="none" w:sz="0" w:space="0" w:color="auto"/>
              </w:divBdr>
            </w:div>
            <w:div w:id="943420016">
              <w:marLeft w:val="0"/>
              <w:marRight w:val="0"/>
              <w:marTop w:val="0"/>
              <w:marBottom w:val="0"/>
              <w:divBdr>
                <w:top w:val="none" w:sz="0" w:space="0" w:color="auto"/>
                <w:left w:val="none" w:sz="0" w:space="0" w:color="auto"/>
                <w:bottom w:val="none" w:sz="0" w:space="0" w:color="auto"/>
                <w:right w:val="none" w:sz="0" w:space="0" w:color="auto"/>
              </w:divBdr>
            </w:div>
            <w:div w:id="1686665966">
              <w:marLeft w:val="0"/>
              <w:marRight w:val="0"/>
              <w:marTop w:val="0"/>
              <w:marBottom w:val="0"/>
              <w:divBdr>
                <w:top w:val="none" w:sz="0" w:space="0" w:color="auto"/>
                <w:left w:val="none" w:sz="0" w:space="0" w:color="auto"/>
                <w:bottom w:val="none" w:sz="0" w:space="0" w:color="auto"/>
                <w:right w:val="none" w:sz="0" w:space="0" w:color="auto"/>
              </w:divBdr>
            </w:div>
          </w:divsChild>
        </w:div>
        <w:div w:id="125127552">
          <w:marLeft w:val="0"/>
          <w:marRight w:val="0"/>
          <w:marTop w:val="0"/>
          <w:marBottom w:val="0"/>
          <w:divBdr>
            <w:top w:val="none" w:sz="0" w:space="0" w:color="auto"/>
            <w:left w:val="none" w:sz="0" w:space="0" w:color="auto"/>
            <w:bottom w:val="none" w:sz="0" w:space="0" w:color="auto"/>
            <w:right w:val="none" w:sz="0" w:space="0" w:color="auto"/>
          </w:divBdr>
          <w:divsChild>
            <w:div w:id="1203862719">
              <w:marLeft w:val="0"/>
              <w:marRight w:val="0"/>
              <w:marTop w:val="0"/>
              <w:marBottom w:val="0"/>
              <w:divBdr>
                <w:top w:val="none" w:sz="0" w:space="0" w:color="auto"/>
                <w:left w:val="none" w:sz="0" w:space="0" w:color="auto"/>
                <w:bottom w:val="none" w:sz="0" w:space="0" w:color="auto"/>
                <w:right w:val="none" w:sz="0" w:space="0" w:color="auto"/>
              </w:divBdr>
            </w:div>
            <w:div w:id="1197547281">
              <w:marLeft w:val="0"/>
              <w:marRight w:val="0"/>
              <w:marTop w:val="0"/>
              <w:marBottom w:val="0"/>
              <w:divBdr>
                <w:top w:val="none" w:sz="0" w:space="0" w:color="auto"/>
                <w:left w:val="none" w:sz="0" w:space="0" w:color="auto"/>
                <w:bottom w:val="none" w:sz="0" w:space="0" w:color="auto"/>
                <w:right w:val="none" w:sz="0" w:space="0" w:color="auto"/>
              </w:divBdr>
            </w:div>
            <w:div w:id="1700668095">
              <w:marLeft w:val="0"/>
              <w:marRight w:val="0"/>
              <w:marTop w:val="0"/>
              <w:marBottom w:val="0"/>
              <w:divBdr>
                <w:top w:val="none" w:sz="0" w:space="0" w:color="auto"/>
                <w:left w:val="none" w:sz="0" w:space="0" w:color="auto"/>
                <w:bottom w:val="none" w:sz="0" w:space="0" w:color="auto"/>
                <w:right w:val="none" w:sz="0" w:space="0" w:color="auto"/>
              </w:divBdr>
            </w:div>
            <w:div w:id="324863871">
              <w:marLeft w:val="0"/>
              <w:marRight w:val="0"/>
              <w:marTop w:val="0"/>
              <w:marBottom w:val="0"/>
              <w:divBdr>
                <w:top w:val="none" w:sz="0" w:space="0" w:color="auto"/>
                <w:left w:val="none" w:sz="0" w:space="0" w:color="auto"/>
                <w:bottom w:val="none" w:sz="0" w:space="0" w:color="auto"/>
                <w:right w:val="none" w:sz="0" w:space="0" w:color="auto"/>
              </w:divBdr>
            </w:div>
            <w:div w:id="235670867">
              <w:marLeft w:val="0"/>
              <w:marRight w:val="0"/>
              <w:marTop w:val="0"/>
              <w:marBottom w:val="0"/>
              <w:divBdr>
                <w:top w:val="none" w:sz="0" w:space="0" w:color="auto"/>
                <w:left w:val="none" w:sz="0" w:space="0" w:color="auto"/>
                <w:bottom w:val="none" w:sz="0" w:space="0" w:color="auto"/>
                <w:right w:val="none" w:sz="0" w:space="0" w:color="auto"/>
              </w:divBdr>
            </w:div>
            <w:div w:id="1151554753">
              <w:marLeft w:val="0"/>
              <w:marRight w:val="0"/>
              <w:marTop w:val="0"/>
              <w:marBottom w:val="0"/>
              <w:divBdr>
                <w:top w:val="none" w:sz="0" w:space="0" w:color="auto"/>
                <w:left w:val="none" w:sz="0" w:space="0" w:color="auto"/>
                <w:bottom w:val="none" w:sz="0" w:space="0" w:color="auto"/>
                <w:right w:val="none" w:sz="0" w:space="0" w:color="auto"/>
              </w:divBdr>
            </w:div>
            <w:div w:id="380785242">
              <w:marLeft w:val="0"/>
              <w:marRight w:val="0"/>
              <w:marTop w:val="0"/>
              <w:marBottom w:val="0"/>
              <w:divBdr>
                <w:top w:val="none" w:sz="0" w:space="0" w:color="auto"/>
                <w:left w:val="none" w:sz="0" w:space="0" w:color="auto"/>
                <w:bottom w:val="none" w:sz="0" w:space="0" w:color="auto"/>
                <w:right w:val="none" w:sz="0" w:space="0" w:color="auto"/>
              </w:divBdr>
            </w:div>
            <w:div w:id="1659919058">
              <w:marLeft w:val="0"/>
              <w:marRight w:val="0"/>
              <w:marTop w:val="0"/>
              <w:marBottom w:val="0"/>
              <w:divBdr>
                <w:top w:val="none" w:sz="0" w:space="0" w:color="auto"/>
                <w:left w:val="none" w:sz="0" w:space="0" w:color="auto"/>
                <w:bottom w:val="none" w:sz="0" w:space="0" w:color="auto"/>
                <w:right w:val="none" w:sz="0" w:space="0" w:color="auto"/>
              </w:divBdr>
            </w:div>
            <w:div w:id="1139807890">
              <w:marLeft w:val="0"/>
              <w:marRight w:val="0"/>
              <w:marTop w:val="0"/>
              <w:marBottom w:val="0"/>
              <w:divBdr>
                <w:top w:val="none" w:sz="0" w:space="0" w:color="auto"/>
                <w:left w:val="none" w:sz="0" w:space="0" w:color="auto"/>
                <w:bottom w:val="none" w:sz="0" w:space="0" w:color="auto"/>
                <w:right w:val="none" w:sz="0" w:space="0" w:color="auto"/>
              </w:divBdr>
            </w:div>
            <w:div w:id="1939291050">
              <w:marLeft w:val="0"/>
              <w:marRight w:val="0"/>
              <w:marTop w:val="0"/>
              <w:marBottom w:val="0"/>
              <w:divBdr>
                <w:top w:val="none" w:sz="0" w:space="0" w:color="auto"/>
                <w:left w:val="none" w:sz="0" w:space="0" w:color="auto"/>
                <w:bottom w:val="none" w:sz="0" w:space="0" w:color="auto"/>
                <w:right w:val="none" w:sz="0" w:space="0" w:color="auto"/>
              </w:divBdr>
            </w:div>
            <w:div w:id="1883440772">
              <w:marLeft w:val="0"/>
              <w:marRight w:val="0"/>
              <w:marTop w:val="0"/>
              <w:marBottom w:val="0"/>
              <w:divBdr>
                <w:top w:val="none" w:sz="0" w:space="0" w:color="auto"/>
                <w:left w:val="none" w:sz="0" w:space="0" w:color="auto"/>
                <w:bottom w:val="none" w:sz="0" w:space="0" w:color="auto"/>
                <w:right w:val="none" w:sz="0" w:space="0" w:color="auto"/>
              </w:divBdr>
            </w:div>
            <w:div w:id="1971473250">
              <w:marLeft w:val="0"/>
              <w:marRight w:val="0"/>
              <w:marTop w:val="0"/>
              <w:marBottom w:val="0"/>
              <w:divBdr>
                <w:top w:val="none" w:sz="0" w:space="0" w:color="auto"/>
                <w:left w:val="none" w:sz="0" w:space="0" w:color="auto"/>
                <w:bottom w:val="none" w:sz="0" w:space="0" w:color="auto"/>
                <w:right w:val="none" w:sz="0" w:space="0" w:color="auto"/>
              </w:divBdr>
            </w:div>
            <w:div w:id="193886388">
              <w:marLeft w:val="0"/>
              <w:marRight w:val="0"/>
              <w:marTop w:val="0"/>
              <w:marBottom w:val="0"/>
              <w:divBdr>
                <w:top w:val="none" w:sz="0" w:space="0" w:color="auto"/>
                <w:left w:val="none" w:sz="0" w:space="0" w:color="auto"/>
                <w:bottom w:val="none" w:sz="0" w:space="0" w:color="auto"/>
                <w:right w:val="none" w:sz="0" w:space="0" w:color="auto"/>
              </w:divBdr>
            </w:div>
            <w:div w:id="755445498">
              <w:marLeft w:val="0"/>
              <w:marRight w:val="0"/>
              <w:marTop w:val="0"/>
              <w:marBottom w:val="0"/>
              <w:divBdr>
                <w:top w:val="none" w:sz="0" w:space="0" w:color="auto"/>
                <w:left w:val="none" w:sz="0" w:space="0" w:color="auto"/>
                <w:bottom w:val="none" w:sz="0" w:space="0" w:color="auto"/>
                <w:right w:val="none" w:sz="0" w:space="0" w:color="auto"/>
              </w:divBdr>
            </w:div>
            <w:div w:id="804927202">
              <w:marLeft w:val="0"/>
              <w:marRight w:val="0"/>
              <w:marTop w:val="0"/>
              <w:marBottom w:val="0"/>
              <w:divBdr>
                <w:top w:val="none" w:sz="0" w:space="0" w:color="auto"/>
                <w:left w:val="none" w:sz="0" w:space="0" w:color="auto"/>
                <w:bottom w:val="none" w:sz="0" w:space="0" w:color="auto"/>
                <w:right w:val="none" w:sz="0" w:space="0" w:color="auto"/>
              </w:divBdr>
            </w:div>
          </w:divsChild>
        </w:div>
        <w:div w:id="1669743841">
          <w:marLeft w:val="0"/>
          <w:marRight w:val="0"/>
          <w:marTop w:val="0"/>
          <w:marBottom w:val="0"/>
          <w:divBdr>
            <w:top w:val="none" w:sz="0" w:space="0" w:color="auto"/>
            <w:left w:val="none" w:sz="0" w:space="0" w:color="auto"/>
            <w:bottom w:val="none" w:sz="0" w:space="0" w:color="auto"/>
            <w:right w:val="none" w:sz="0" w:space="0" w:color="auto"/>
          </w:divBdr>
          <w:divsChild>
            <w:div w:id="133646102">
              <w:marLeft w:val="0"/>
              <w:marRight w:val="0"/>
              <w:marTop w:val="0"/>
              <w:marBottom w:val="0"/>
              <w:divBdr>
                <w:top w:val="none" w:sz="0" w:space="0" w:color="auto"/>
                <w:left w:val="none" w:sz="0" w:space="0" w:color="auto"/>
                <w:bottom w:val="none" w:sz="0" w:space="0" w:color="auto"/>
                <w:right w:val="none" w:sz="0" w:space="0" w:color="auto"/>
              </w:divBdr>
            </w:div>
            <w:div w:id="562059120">
              <w:marLeft w:val="0"/>
              <w:marRight w:val="0"/>
              <w:marTop w:val="0"/>
              <w:marBottom w:val="0"/>
              <w:divBdr>
                <w:top w:val="none" w:sz="0" w:space="0" w:color="auto"/>
                <w:left w:val="none" w:sz="0" w:space="0" w:color="auto"/>
                <w:bottom w:val="none" w:sz="0" w:space="0" w:color="auto"/>
                <w:right w:val="none" w:sz="0" w:space="0" w:color="auto"/>
              </w:divBdr>
            </w:div>
            <w:div w:id="344553045">
              <w:marLeft w:val="0"/>
              <w:marRight w:val="0"/>
              <w:marTop w:val="0"/>
              <w:marBottom w:val="0"/>
              <w:divBdr>
                <w:top w:val="none" w:sz="0" w:space="0" w:color="auto"/>
                <w:left w:val="none" w:sz="0" w:space="0" w:color="auto"/>
                <w:bottom w:val="none" w:sz="0" w:space="0" w:color="auto"/>
                <w:right w:val="none" w:sz="0" w:space="0" w:color="auto"/>
              </w:divBdr>
            </w:div>
            <w:div w:id="1378435132">
              <w:marLeft w:val="0"/>
              <w:marRight w:val="0"/>
              <w:marTop w:val="0"/>
              <w:marBottom w:val="0"/>
              <w:divBdr>
                <w:top w:val="none" w:sz="0" w:space="0" w:color="auto"/>
                <w:left w:val="none" w:sz="0" w:space="0" w:color="auto"/>
                <w:bottom w:val="none" w:sz="0" w:space="0" w:color="auto"/>
                <w:right w:val="none" w:sz="0" w:space="0" w:color="auto"/>
              </w:divBdr>
            </w:div>
            <w:div w:id="1508444171">
              <w:marLeft w:val="0"/>
              <w:marRight w:val="0"/>
              <w:marTop w:val="0"/>
              <w:marBottom w:val="0"/>
              <w:divBdr>
                <w:top w:val="none" w:sz="0" w:space="0" w:color="auto"/>
                <w:left w:val="none" w:sz="0" w:space="0" w:color="auto"/>
                <w:bottom w:val="none" w:sz="0" w:space="0" w:color="auto"/>
                <w:right w:val="none" w:sz="0" w:space="0" w:color="auto"/>
              </w:divBdr>
            </w:div>
            <w:div w:id="191185214">
              <w:marLeft w:val="0"/>
              <w:marRight w:val="0"/>
              <w:marTop w:val="0"/>
              <w:marBottom w:val="0"/>
              <w:divBdr>
                <w:top w:val="none" w:sz="0" w:space="0" w:color="auto"/>
                <w:left w:val="none" w:sz="0" w:space="0" w:color="auto"/>
                <w:bottom w:val="none" w:sz="0" w:space="0" w:color="auto"/>
                <w:right w:val="none" w:sz="0" w:space="0" w:color="auto"/>
              </w:divBdr>
            </w:div>
            <w:div w:id="246426792">
              <w:marLeft w:val="0"/>
              <w:marRight w:val="0"/>
              <w:marTop w:val="0"/>
              <w:marBottom w:val="0"/>
              <w:divBdr>
                <w:top w:val="none" w:sz="0" w:space="0" w:color="auto"/>
                <w:left w:val="none" w:sz="0" w:space="0" w:color="auto"/>
                <w:bottom w:val="none" w:sz="0" w:space="0" w:color="auto"/>
                <w:right w:val="none" w:sz="0" w:space="0" w:color="auto"/>
              </w:divBdr>
            </w:div>
            <w:div w:id="937325843">
              <w:marLeft w:val="0"/>
              <w:marRight w:val="0"/>
              <w:marTop w:val="0"/>
              <w:marBottom w:val="0"/>
              <w:divBdr>
                <w:top w:val="none" w:sz="0" w:space="0" w:color="auto"/>
                <w:left w:val="none" w:sz="0" w:space="0" w:color="auto"/>
                <w:bottom w:val="none" w:sz="0" w:space="0" w:color="auto"/>
                <w:right w:val="none" w:sz="0" w:space="0" w:color="auto"/>
              </w:divBdr>
            </w:div>
            <w:div w:id="1954746149">
              <w:marLeft w:val="0"/>
              <w:marRight w:val="0"/>
              <w:marTop w:val="0"/>
              <w:marBottom w:val="0"/>
              <w:divBdr>
                <w:top w:val="none" w:sz="0" w:space="0" w:color="auto"/>
                <w:left w:val="none" w:sz="0" w:space="0" w:color="auto"/>
                <w:bottom w:val="none" w:sz="0" w:space="0" w:color="auto"/>
                <w:right w:val="none" w:sz="0" w:space="0" w:color="auto"/>
              </w:divBdr>
            </w:div>
            <w:div w:id="224142480">
              <w:marLeft w:val="0"/>
              <w:marRight w:val="0"/>
              <w:marTop w:val="0"/>
              <w:marBottom w:val="0"/>
              <w:divBdr>
                <w:top w:val="none" w:sz="0" w:space="0" w:color="auto"/>
                <w:left w:val="none" w:sz="0" w:space="0" w:color="auto"/>
                <w:bottom w:val="none" w:sz="0" w:space="0" w:color="auto"/>
                <w:right w:val="none" w:sz="0" w:space="0" w:color="auto"/>
              </w:divBdr>
            </w:div>
            <w:div w:id="959871833">
              <w:marLeft w:val="0"/>
              <w:marRight w:val="0"/>
              <w:marTop w:val="0"/>
              <w:marBottom w:val="0"/>
              <w:divBdr>
                <w:top w:val="none" w:sz="0" w:space="0" w:color="auto"/>
                <w:left w:val="none" w:sz="0" w:space="0" w:color="auto"/>
                <w:bottom w:val="none" w:sz="0" w:space="0" w:color="auto"/>
                <w:right w:val="none" w:sz="0" w:space="0" w:color="auto"/>
              </w:divBdr>
            </w:div>
            <w:div w:id="1083339949">
              <w:marLeft w:val="0"/>
              <w:marRight w:val="0"/>
              <w:marTop w:val="0"/>
              <w:marBottom w:val="0"/>
              <w:divBdr>
                <w:top w:val="none" w:sz="0" w:space="0" w:color="auto"/>
                <w:left w:val="none" w:sz="0" w:space="0" w:color="auto"/>
                <w:bottom w:val="none" w:sz="0" w:space="0" w:color="auto"/>
                <w:right w:val="none" w:sz="0" w:space="0" w:color="auto"/>
              </w:divBdr>
            </w:div>
            <w:div w:id="1293706969">
              <w:marLeft w:val="0"/>
              <w:marRight w:val="0"/>
              <w:marTop w:val="0"/>
              <w:marBottom w:val="0"/>
              <w:divBdr>
                <w:top w:val="none" w:sz="0" w:space="0" w:color="auto"/>
                <w:left w:val="none" w:sz="0" w:space="0" w:color="auto"/>
                <w:bottom w:val="none" w:sz="0" w:space="0" w:color="auto"/>
                <w:right w:val="none" w:sz="0" w:space="0" w:color="auto"/>
              </w:divBdr>
            </w:div>
            <w:div w:id="678695526">
              <w:marLeft w:val="0"/>
              <w:marRight w:val="0"/>
              <w:marTop w:val="0"/>
              <w:marBottom w:val="0"/>
              <w:divBdr>
                <w:top w:val="none" w:sz="0" w:space="0" w:color="auto"/>
                <w:left w:val="none" w:sz="0" w:space="0" w:color="auto"/>
                <w:bottom w:val="none" w:sz="0" w:space="0" w:color="auto"/>
                <w:right w:val="none" w:sz="0" w:space="0" w:color="auto"/>
              </w:divBdr>
            </w:div>
            <w:div w:id="1703821320">
              <w:marLeft w:val="0"/>
              <w:marRight w:val="0"/>
              <w:marTop w:val="0"/>
              <w:marBottom w:val="0"/>
              <w:divBdr>
                <w:top w:val="none" w:sz="0" w:space="0" w:color="auto"/>
                <w:left w:val="none" w:sz="0" w:space="0" w:color="auto"/>
                <w:bottom w:val="none" w:sz="0" w:space="0" w:color="auto"/>
                <w:right w:val="none" w:sz="0" w:space="0" w:color="auto"/>
              </w:divBdr>
            </w:div>
            <w:div w:id="359166486">
              <w:marLeft w:val="0"/>
              <w:marRight w:val="0"/>
              <w:marTop w:val="0"/>
              <w:marBottom w:val="0"/>
              <w:divBdr>
                <w:top w:val="none" w:sz="0" w:space="0" w:color="auto"/>
                <w:left w:val="none" w:sz="0" w:space="0" w:color="auto"/>
                <w:bottom w:val="none" w:sz="0" w:space="0" w:color="auto"/>
                <w:right w:val="none" w:sz="0" w:space="0" w:color="auto"/>
              </w:divBdr>
            </w:div>
            <w:div w:id="1883243883">
              <w:marLeft w:val="0"/>
              <w:marRight w:val="0"/>
              <w:marTop w:val="0"/>
              <w:marBottom w:val="0"/>
              <w:divBdr>
                <w:top w:val="none" w:sz="0" w:space="0" w:color="auto"/>
                <w:left w:val="none" w:sz="0" w:space="0" w:color="auto"/>
                <w:bottom w:val="none" w:sz="0" w:space="0" w:color="auto"/>
                <w:right w:val="none" w:sz="0" w:space="0" w:color="auto"/>
              </w:divBdr>
            </w:div>
            <w:div w:id="191739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17219">
      <w:bodyDiv w:val="1"/>
      <w:marLeft w:val="0"/>
      <w:marRight w:val="0"/>
      <w:marTop w:val="0"/>
      <w:marBottom w:val="0"/>
      <w:divBdr>
        <w:top w:val="none" w:sz="0" w:space="0" w:color="auto"/>
        <w:left w:val="none" w:sz="0" w:space="0" w:color="auto"/>
        <w:bottom w:val="none" w:sz="0" w:space="0" w:color="auto"/>
        <w:right w:val="none" w:sz="0" w:space="0" w:color="auto"/>
      </w:divBdr>
    </w:div>
    <w:div w:id="466364046">
      <w:bodyDiv w:val="1"/>
      <w:marLeft w:val="0"/>
      <w:marRight w:val="0"/>
      <w:marTop w:val="0"/>
      <w:marBottom w:val="0"/>
      <w:divBdr>
        <w:top w:val="none" w:sz="0" w:space="0" w:color="auto"/>
        <w:left w:val="none" w:sz="0" w:space="0" w:color="auto"/>
        <w:bottom w:val="none" w:sz="0" w:space="0" w:color="auto"/>
        <w:right w:val="none" w:sz="0" w:space="0" w:color="auto"/>
      </w:divBdr>
    </w:div>
    <w:div w:id="471873607">
      <w:bodyDiv w:val="1"/>
      <w:marLeft w:val="0"/>
      <w:marRight w:val="0"/>
      <w:marTop w:val="0"/>
      <w:marBottom w:val="0"/>
      <w:divBdr>
        <w:top w:val="none" w:sz="0" w:space="0" w:color="auto"/>
        <w:left w:val="none" w:sz="0" w:space="0" w:color="auto"/>
        <w:bottom w:val="none" w:sz="0" w:space="0" w:color="auto"/>
        <w:right w:val="none" w:sz="0" w:space="0" w:color="auto"/>
      </w:divBdr>
      <w:divsChild>
        <w:div w:id="1171719971">
          <w:marLeft w:val="0"/>
          <w:marRight w:val="0"/>
          <w:marTop w:val="0"/>
          <w:marBottom w:val="0"/>
          <w:divBdr>
            <w:top w:val="none" w:sz="0" w:space="0" w:color="auto"/>
            <w:left w:val="none" w:sz="0" w:space="0" w:color="auto"/>
            <w:bottom w:val="none" w:sz="0" w:space="0" w:color="auto"/>
            <w:right w:val="none" w:sz="0" w:space="0" w:color="auto"/>
          </w:divBdr>
        </w:div>
        <w:div w:id="1330408642">
          <w:marLeft w:val="0"/>
          <w:marRight w:val="0"/>
          <w:marTop w:val="0"/>
          <w:marBottom w:val="0"/>
          <w:divBdr>
            <w:top w:val="none" w:sz="0" w:space="0" w:color="auto"/>
            <w:left w:val="none" w:sz="0" w:space="0" w:color="auto"/>
            <w:bottom w:val="none" w:sz="0" w:space="0" w:color="auto"/>
            <w:right w:val="none" w:sz="0" w:space="0" w:color="auto"/>
          </w:divBdr>
        </w:div>
        <w:div w:id="1719743425">
          <w:marLeft w:val="0"/>
          <w:marRight w:val="0"/>
          <w:marTop w:val="0"/>
          <w:marBottom w:val="0"/>
          <w:divBdr>
            <w:top w:val="none" w:sz="0" w:space="0" w:color="auto"/>
            <w:left w:val="none" w:sz="0" w:space="0" w:color="auto"/>
            <w:bottom w:val="none" w:sz="0" w:space="0" w:color="auto"/>
            <w:right w:val="none" w:sz="0" w:space="0" w:color="auto"/>
          </w:divBdr>
          <w:divsChild>
            <w:div w:id="1705594270">
              <w:marLeft w:val="0"/>
              <w:marRight w:val="0"/>
              <w:marTop w:val="0"/>
              <w:marBottom w:val="0"/>
              <w:divBdr>
                <w:top w:val="none" w:sz="0" w:space="0" w:color="auto"/>
                <w:left w:val="none" w:sz="0" w:space="0" w:color="auto"/>
                <w:bottom w:val="none" w:sz="0" w:space="0" w:color="auto"/>
                <w:right w:val="none" w:sz="0" w:space="0" w:color="auto"/>
              </w:divBdr>
            </w:div>
            <w:div w:id="1031418819">
              <w:marLeft w:val="0"/>
              <w:marRight w:val="0"/>
              <w:marTop w:val="0"/>
              <w:marBottom w:val="0"/>
              <w:divBdr>
                <w:top w:val="none" w:sz="0" w:space="0" w:color="auto"/>
                <w:left w:val="none" w:sz="0" w:space="0" w:color="auto"/>
                <w:bottom w:val="none" w:sz="0" w:space="0" w:color="auto"/>
                <w:right w:val="none" w:sz="0" w:space="0" w:color="auto"/>
              </w:divBdr>
            </w:div>
          </w:divsChild>
        </w:div>
        <w:div w:id="32659832">
          <w:marLeft w:val="0"/>
          <w:marRight w:val="0"/>
          <w:marTop w:val="0"/>
          <w:marBottom w:val="0"/>
          <w:divBdr>
            <w:top w:val="none" w:sz="0" w:space="0" w:color="auto"/>
            <w:left w:val="none" w:sz="0" w:space="0" w:color="auto"/>
            <w:bottom w:val="none" w:sz="0" w:space="0" w:color="auto"/>
            <w:right w:val="none" w:sz="0" w:space="0" w:color="auto"/>
          </w:divBdr>
        </w:div>
        <w:div w:id="1692564510">
          <w:marLeft w:val="0"/>
          <w:marRight w:val="0"/>
          <w:marTop w:val="0"/>
          <w:marBottom w:val="0"/>
          <w:divBdr>
            <w:top w:val="none" w:sz="0" w:space="0" w:color="auto"/>
            <w:left w:val="none" w:sz="0" w:space="0" w:color="auto"/>
            <w:bottom w:val="none" w:sz="0" w:space="0" w:color="auto"/>
            <w:right w:val="none" w:sz="0" w:space="0" w:color="auto"/>
          </w:divBdr>
        </w:div>
        <w:div w:id="1063064162">
          <w:marLeft w:val="0"/>
          <w:marRight w:val="0"/>
          <w:marTop w:val="0"/>
          <w:marBottom w:val="0"/>
          <w:divBdr>
            <w:top w:val="none" w:sz="0" w:space="0" w:color="auto"/>
            <w:left w:val="none" w:sz="0" w:space="0" w:color="auto"/>
            <w:bottom w:val="none" w:sz="0" w:space="0" w:color="auto"/>
            <w:right w:val="none" w:sz="0" w:space="0" w:color="auto"/>
          </w:divBdr>
        </w:div>
        <w:div w:id="1351566472">
          <w:marLeft w:val="0"/>
          <w:marRight w:val="0"/>
          <w:marTop w:val="0"/>
          <w:marBottom w:val="0"/>
          <w:divBdr>
            <w:top w:val="none" w:sz="0" w:space="0" w:color="auto"/>
            <w:left w:val="none" w:sz="0" w:space="0" w:color="auto"/>
            <w:bottom w:val="none" w:sz="0" w:space="0" w:color="auto"/>
            <w:right w:val="none" w:sz="0" w:space="0" w:color="auto"/>
          </w:divBdr>
        </w:div>
        <w:div w:id="196554382">
          <w:marLeft w:val="0"/>
          <w:marRight w:val="0"/>
          <w:marTop w:val="0"/>
          <w:marBottom w:val="0"/>
          <w:divBdr>
            <w:top w:val="none" w:sz="0" w:space="0" w:color="auto"/>
            <w:left w:val="none" w:sz="0" w:space="0" w:color="auto"/>
            <w:bottom w:val="none" w:sz="0" w:space="0" w:color="auto"/>
            <w:right w:val="none" w:sz="0" w:space="0" w:color="auto"/>
          </w:divBdr>
          <w:divsChild>
            <w:div w:id="730885794">
              <w:marLeft w:val="0"/>
              <w:marRight w:val="0"/>
              <w:marTop w:val="0"/>
              <w:marBottom w:val="0"/>
              <w:divBdr>
                <w:top w:val="none" w:sz="0" w:space="0" w:color="auto"/>
                <w:left w:val="none" w:sz="0" w:space="0" w:color="auto"/>
                <w:bottom w:val="none" w:sz="0" w:space="0" w:color="auto"/>
                <w:right w:val="none" w:sz="0" w:space="0" w:color="auto"/>
              </w:divBdr>
            </w:div>
            <w:div w:id="1447776095">
              <w:marLeft w:val="0"/>
              <w:marRight w:val="0"/>
              <w:marTop w:val="0"/>
              <w:marBottom w:val="0"/>
              <w:divBdr>
                <w:top w:val="none" w:sz="0" w:space="0" w:color="auto"/>
                <w:left w:val="none" w:sz="0" w:space="0" w:color="auto"/>
                <w:bottom w:val="none" w:sz="0" w:space="0" w:color="auto"/>
                <w:right w:val="none" w:sz="0" w:space="0" w:color="auto"/>
              </w:divBdr>
            </w:div>
          </w:divsChild>
        </w:div>
        <w:div w:id="586185143">
          <w:marLeft w:val="0"/>
          <w:marRight w:val="0"/>
          <w:marTop w:val="0"/>
          <w:marBottom w:val="0"/>
          <w:divBdr>
            <w:top w:val="none" w:sz="0" w:space="0" w:color="auto"/>
            <w:left w:val="none" w:sz="0" w:space="0" w:color="auto"/>
            <w:bottom w:val="none" w:sz="0" w:space="0" w:color="auto"/>
            <w:right w:val="none" w:sz="0" w:space="0" w:color="auto"/>
          </w:divBdr>
        </w:div>
        <w:div w:id="541480952">
          <w:marLeft w:val="0"/>
          <w:marRight w:val="0"/>
          <w:marTop w:val="0"/>
          <w:marBottom w:val="0"/>
          <w:divBdr>
            <w:top w:val="none" w:sz="0" w:space="0" w:color="auto"/>
            <w:left w:val="none" w:sz="0" w:space="0" w:color="auto"/>
            <w:bottom w:val="none" w:sz="0" w:space="0" w:color="auto"/>
            <w:right w:val="none" w:sz="0" w:space="0" w:color="auto"/>
          </w:divBdr>
        </w:div>
        <w:div w:id="1911963999">
          <w:marLeft w:val="0"/>
          <w:marRight w:val="0"/>
          <w:marTop w:val="0"/>
          <w:marBottom w:val="0"/>
          <w:divBdr>
            <w:top w:val="none" w:sz="0" w:space="0" w:color="auto"/>
            <w:left w:val="none" w:sz="0" w:space="0" w:color="auto"/>
            <w:bottom w:val="none" w:sz="0" w:space="0" w:color="auto"/>
            <w:right w:val="none" w:sz="0" w:space="0" w:color="auto"/>
          </w:divBdr>
        </w:div>
        <w:div w:id="2133087595">
          <w:marLeft w:val="0"/>
          <w:marRight w:val="0"/>
          <w:marTop w:val="0"/>
          <w:marBottom w:val="0"/>
          <w:divBdr>
            <w:top w:val="none" w:sz="0" w:space="0" w:color="auto"/>
            <w:left w:val="none" w:sz="0" w:space="0" w:color="auto"/>
            <w:bottom w:val="none" w:sz="0" w:space="0" w:color="auto"/>
            <w:right w:val="none" w:sz="0" w:space="0" w:color="auto"/>
          </w:divBdr>
        </w:div>
      </w:divsChild>
    </w:div>
    <w:div w:id="473717268">
      <w:bodyDiv w:val="1"/>
      <w:marLeft w:val="0"/>
      <w:marRight w:val="0"/>
      <w:marTop w:val="0"/>
      <w:marBottom w:val="0"/>
      <w:divBdr>
        <w:top w:val="none" w:sz="0" w:space="0" w:color="auto"/>
        <w:left w:val="none" w:sz="0" w:space="0" w:color="auto"/>
        <w:bottom w:val="none" w:sz="0" w:space="0" w:color="auto"/>
        <w:right w:val="none" w:sz="0" w:space="0" w:color="auto"/>
      </w:divBdr>
    </w:div>
    <w:div w:id="482703785">
      <w:bodyDiv w:val="1"/>
      <w:marLeft w:val="0"/>
      <w:marRight w:val="0"/>
      <w:marTop w:val="0"/>
      <w:marBottom w:val="0"/>
      <w:divBdr>
        <w:top w:val="none" w:sz="0" w:space="0" w:color="auto"/>
        <w:left w:val="none" w:sz="0" w:space="0" w:color="auto"/>
        <w:bottom w:val="none" w:sz="0" w:space="0" w:color="auto"/>
        <w:right w:val="none" w:sz="0" w:space="0" w:color="auto"/>
      </w:divBdr>
    </w:div>
    <w:div w:id="525798169">
      <w:bodyDiv w:val="1"/>
      <w:marLeft w:val="0"/>
      <w:marRight w:val="0"/>
      <w:marTop w:val="0"/>
      <w:marBottom w:val="0"/>
      <w:divBdr>
        <w:top w:val="none" w:sz="0" w:space="0" w:color="auto"/>
        <w:left w:val="none" w:sz="0" w:space="0" w:color="auto"/>
        <w:bottom w:val="none" w:sz="0" w:space="0" w:color="auto"/>
        <w:right w:val="none" w:sz="0" w:space="0" w:color="auto"/>
      </w:divBdr>
      <w:divsChild>
        <w:div w:id="432866066">
          <w:marLeft w:val="0"/>
          <w:marRight w:val="0"/>
          <w:marTop w:val="0"/>
          <w:marBottom w:val="0"/>
          <w:divBdr>
            <w:top w:val="none" w:sz="0" w:space="0" w:color="auto"/>
            <w:left w:val="none" w:sz="0" w:space="0" w:color="auto"/>
            <w:bottom w:val="none" w:sz="0" w:space="0" w:color="auto"/>
            <w:right w:val="none" w:sz="0" w:space="0" w:color="auto"/>
          </w:divBdr>
          <w:divsChild>
            <w:div w:id="851846631">
              <w:marLeft w:val="0"/>
              <w:marRight w:val="0"/>
              <w:marTop w:val="0"/>
              <w:marBottom w:val="0"/>
              <w:divBdr>
                <w:top w:val="none" w:sz="0" w:space="0" w:color="auto"/>
                <w:left w:val="none" w:sz="0" w:space="0" w:color="auto"/>
                <w:bottom w:val="none" w:sz="0" w:space="0" w:color="auto"/>
                <w:right w:val="none" w:sz="0" w:space="0" w:color="auto"/>
              </w:divBdr>
            </w:div>
            <w:div w:id="817724260">
              <w:marLeft w:val="0"/>
              <w:marRight w:val="0"/>
              <w:marTop w:val="0"/>
              <w:marBottom w:val="0"/>
              <w:divBdr>
                <w:top w:val="none" w:sz="0" w:space="0" w:color="auto"/>
                <w:left w:val="none" w:sz="0" w:space="0" w:color="auto"/>
                <w:bottom w:val="none" w:sz="0" w:space="0" w:color="auto"/>
                <w:right w:val="none" w:sz="0" w:space="0" w:color="auto"/>
              </w:divBdr>
            </w:div>
            <w:div w:id="1182403266">
              <w:marLeft w:val="0"/>
              <w:marRight w:val="0"/>
              <w:marTop w:val="0"/>
              <w:marBottom w:val="0"/>
              <w:divBdr>
                <w:top w:val="none" w:sz="0" w:space="0" w:color="auto"/>
                <w:left w:val="none" w:sz="0" w:space="0" w:color="auto"/>
                <w:bottom w:val="none" w:sz="0" w:space="0" w:color="auto"/>
                <w:right w:val="none" w:sz="0" w:space="0" w:color="auto"/>
              </w:divBdr>
            </w:div>
            <w:div w:id="1016737648">
              <w:marLeft w:val="0"/>
              <w:marRight w:val="0"/>
              <w:marTop w:val="0"/>
              <w:marBottom w:val="0"/>
              <w:divBdr>
                <w:top w:val="none" w:sz="0" w:space="0" w:color="auto"/>
                <w:left w:val="none" w:sz="0" w:space="0" w:color="auto"/>
                <w:bottom w:val="none" w:sz="0" w:space="0" w:color="auto"/>
                <w:right w:val="none" w:sz="0" w:space="0" w:color="auto"/>
              </w:divBdr>
            </w:div>
            <w:div w:id="1879932437">
              <w:marLeft w:val="0"/>
              <w:marRight w:val="0"/>
              <w:marTop w:val="0"/>
              <w:marBottom w:val="0"/>
              <w:divBdr>
                <w:top w:val="none" w:sz="0" w:space="0" w:color="auto"/>
                <w:left w:val="none" w:sz="0" w:space="0" w:color="auto"/>
                <w:bottom w:val="none" w:sz="0" w:space="0" w:color="auto"/>
                <w:right w:val="none" w:sz="0" w:space="0" w:color="auto"/>
              </w:divBdr>
            </w:div>
          </w:divsChild>
        </w:div>
        <w:div w:id="1154567723">
          <w:marLeft w:val="0"/>
          <w:marRight w:val="0"/>
          <w:marTop w:val="0"/>
          <w:marBottom w:val="0"/>
          <w:divBdr>
            <w:top w:val="none" w:sz="0" w:space="0" w:color="auto"/>
            <w:left w:val="none" w:sz="0" w:space="0" w:color="auto"/>
            <w:bottom w:val="none" w:sz="0" w:space="0" w:color="auto"/>
            <w:right w:val="none" w:sz="0" w:space="0" w:color="auto"/>
          </w:divBdr>
        </w:div>
        <w:div w:id="1945307921">
          <w:marLeft w:val="0"/>
          <w:marRight w:val="0"/>
          <w:marTop w:val="0"/>
          <w:marBottom w:val="0"/>
          <w:divBdr>
            <w:top w:val="none" w:sz="0" w:space="0" w:color="auto"/>
            <w:left w:val="none" w:sz="0" w:space="0" w:color="auto"/>
            <w:bottom w:val="none" w:sz="0" w:space="0" w:color="auto"/>
            <w:right w:val="none" w:sz="0" w:space="0" w:color="auto"/>
          </w:divBdr>
        </w:div>
        <w:div w:id="456604697">
          <w:marLeft w:val="0"/>
          <w:marRight w:val="0"/>
          <w:marTop w:val="0"/>
          <w:marBottom w:val="0"/>
          <w:divBdr>
            <w:top w:val="none" w:sz="0" w:space="0" w:color="auto"/>
            <w:left w:val="none" w:sz="0" w:space="0" w:color="auto"/>
            <w:bottom w:val="none" w:sz="0" w:space="0" w:color="auto"/>
            <w:right w:val="none" w:sz="0" w:space="0" w:color="auto"/>
          </w:divBdr>
        </w:div>
        <w:div w:id="505171091">
          <w:marLeft w:val="0"/>
          <w:marRight w:val="0"/>
          <w:marTop w:val="0"/>
          <w:marBottom w:val="0"/>
          <w:divBdr>
            <w:top w:val="none" w:sz="0" w:space="0" w:color="auto"/>
            <w:left w:val="none" w:sz="0" w:space="0" w:color="auto"/>
            <w:bottom w:val="none" w:sz="0" w:space="0" w:color="auto"/>
            <w:right w:val="none" w:sz="0" w:space="0" w:color="auto"/>
          </w:divBdr>
        </w:div>
        <w:div w:id="994142985">
          <w:marLeft w:val="0"/>
          <w:marRight w:val="0"/>
          <w:marTop w:val="0"/>
          <w:marBottom w:val="0"/>
          <w:divBdr>
            <w:top w:val="none" w:sz="0" w:space="0" w:color="auto"/>
            <w:left w:val="none" w:sz="0" w:space="0" w:color="auto"/>
            <w:bottom w:val="none" w:sz="0" w:space="0" w:color="auto"/>
            <w:right w:val="none" w:sz="0" w:space="0" w:color="auto"/>
          </w:divBdr>
        </w:div>
        <w:div w:id="1791435012">
          <w:marLeft w:val="0"/>
          <w:marRight w:val="0"/>
          <w:marTop w:val="0"/>
          <w:marBottom w:val="0"/>
          <w:divBdr>
            <w:top w:val="none" w:sz="0" w:space="0" w:color="auto"/>
            <w:left w:val="none" w:sz="0" w:space="0" w:color="auto"/>
            <w:bottom w:val="none" w:sz="0" w:space="0" w:color="auto"/>
            <w:right w:val="none" w:sz="0" w:space="0" w:color="auto"/>
          </w:divBdr>
        </w:div>
      </w:divsChild>
    </w:div>
    <w:div w:id="529496011">
      <w:bodyDiv w:val="1"/>
      <w:marLeft w:val="0"/>
      <w:marRight w:val="0"/>
      <w:marTop w:val="0"/>
      <w:marBottom w:val="0"/>
      <w:divBdr>
        <w:top w:val="none" w:sz="0" w:space="0" w:color="auto"/>
        <w:left w:val="none" w:sz="0" w:space="0" w:color="auto"/>
        <w:bottom w:val="none" w:sz="0" w:space="0" w:color="auto"/>
        <w:right w:val="none" w:sz="0" w:space="0" w:color="auto"/>
      </w:divBdr>
      <w:divsChild>
        <w:div w:id="704985681">
          <w:marLeft w:val="0"/>
          <w:marRight w:val="0"/>
          <w:marTop w:val="0"/>
          <w:marBottom w:val="0"/>
          <w:divBdr>
            <w:top w:val="none" w:sz="0" w:space="0" w:color="auto"/>
            <w:left w:val="none" w:sz="0" w:space="0" w:color="auto"/>
            <w:bottom w:val="none" w:sz="0" w:space="0" w:color="auto"/>
            <w:right w:val="none" w:sz="0" w:space="0" w:color="auto"/>
          </w:divBdr>
        </w:div>
        <w:div w:id="1277105921">
          <w:marLeft w:val="0"/>
          <w:marRight w:val="0"/>
          <w:marTop w:val="0"/>
          <w:marBottom w:val="0"/>
          <w:divBdr>
            <w:top w:val="none" w:sz="0" w:space="0" w:color="auto"/>
            <w:left w:val="none" w:sz="0" w:space="0" w:color="auto"/>
            <w:bottom w:val="none" w:sz="0" w:space="0" w:color="auto"/>
            <w:right w:val="none" w:sz="0" w:space="0" w:color="auto"/>
          </w:divBdr>
        </w:div>
      </w:divsChild>
    </w:div>
    <w:div w:id="534276733">
      <w:bodyDiv w:val="1"/>
      <w:marLeft w:val="0"/>
      <w:marRight w:val="0"/>
      <w:marTop w:val="0"/>
      <w:marBottom w:val="0"/>
      <w:divBdr>
        <w:top w:val="none" w:sz="0" w:space="0" w:color="auto"/>
        <w:left w:val="none" w:sz="0" w:space="0" w:color="auto"/>
        <w:bottom w:val="none" w:sz="0" w:space="0" w:color="auto"/>
        <w:right w:val="none" w:sz="0" w:space="0" w:color="auto"/>
      </w:divBdr>
      <w:divsChild>
        <w:div w:id="1678311726">
          <w:marLeft w:val="0"/>
          <w:marRight w:val="0"/>
          <w:marTop w:val="0"/>
          <w:marBottom w:val="0"/>
          <w:divBdr>
            <w:top w:val="none" w:sz="0" w:space="0" w:color="auto"/>
            <w:left w:val="none" w:sz="0" w:space="0" w:color="auto"/>
            <w:bottom w:val="none" w:sz="0" w:space="0" w:color="auto"/>
            <w:right w:val="none" w:sz="0" w:space="0" w:color="auto"/>
          </w:divBdr>
        </w:div>
        <w:div w:id="1450660604">
          <w:marLeft w:val="0"/>
          <w:marRight w:val="0"/>
          <w:marTop w:val="0"/>
          <w:marBottom w:val="0"/>
          <w:divBdr>
            <w:top w:val="none" w:sz="0" w:space="0" w:color="auto"/>
            <w:left w:val="none" w:sz="0" w:space="0" w:color="auto"/>
            <w:bottom w:val="none" w:sz="0" w:space="0" w:color="auto"/>
            <w:right w:val="none" w:sz="0" w:space="0" w:color="auto"/>
          </w:divBdr>
          <w:divsChild>
            <w:div w:id="1442644223">
              <w:marLeft w:val="0"/>
              <w:marRight w:val="0"/>
              <w:marTop w:val="0"/>
              <w:marBottom w:val="0"/>
              <w:divBdr>
                <w:top w:val="none" w:sz="0" w:space="0" w:color="auto"/>
                <w:left w:val="none" w:sz="0" w:space="0" w:color="auto"/>
                <w:bottom w:val="none" w:sz="0" w:space="0" w:color="auto"/>
                <w:right w:val="none" w:sz="0" w:space="0" w:color="auto"/>
              </w:divBdr>
            </w:div>
            <w:div w:id="1223954332">
              <w:marLeft w:val="0"/>
              <w:marRight w:val="0"/>
              <w:marTop w:val="0"/>
              <w:marBottom w:val="0"/>
              <w:divBdr>
                <w:top w:val="none" w:sz="0" w:space="0" w:color="auto"/>
                <w:left w:val="none" w:sz="0" w:space="0" w:color="auto"/>
                <w:bottom w:val="none" w:sz="0" w:space="0" w:color="auto"/>
                <w:right w:val="none" w:sz="0" w:space="0" w:color="auto"/>
              </w:divBdr>
            </w:div>
          </w:divsChild>
        </w:div>
        <w:div w:id="772751869">
          <w:marLeft w:val="0"/>
          <w:marRight w:val="0"/>
          <w:marTop w:val="0"/>
          <w:marBottom w:val="0"/>
          <w:divBdr>
            <w:top w:val="none" w:sz="0" w:space="0" w:color="auto"/>
            <w:left w:val="none" w:sz="0" w:space="0" w:color="auto"/>
            <w:bottom w:val="none" w:sz="0" w:space="0" w:color="auto"/>
            <w:right w:val="none" w:sz="0" w:space="0" w:color="auto"/>
          </w:divBdr>
        </w:div>
      </w:divsChild>
    </w:div>
    <w:div w:id="536547436">
      <w:bodyDiv w:val="1"/>
      <w:marLeft w:val="0"/>
      <w:marRight w:val="0"/>
      <w:marTop w:val="0"/>
      <w:marBottom w:val="0"/>
      <w:divBdr>
        <w:top w:val="none" w:sz="0" w:space="0" w:color="auto"/>
        <w:left w:val="none" w:sz="0" w:space="0" w:color="auto"/>
        <w:bottom w:val="none" w:sz="0" w:space="0" w:color="auto"/>
        <w:right w:val="none" w:sz="0" w:space="0" w:color="auto"/>
      </w:divBdr>
    </w:div>
    <w:div w:id="542983611">
      <w:bodyDiv w:val="1"/>
      <w:marLeft w:val="0"/>
      <w:marRight w:val="0"/>
      <w:marTop w:val="0"/>
      <w:marBottom w:val="0"/>
      <w:divBdr>
        <w:top w:val="none" w:sz="0" w:space="0" w:color="auto"/>
        <w:left w:val="none" w:sz="0" w:space="0" w:color="auto"/>
        <w:bottom w:val="none" w:sz="0" w:space="0" w:color="auto"/>
        <w:right w:val="none" w:sz="0" w:space="0" w:color="auto"/>
      </w:divBdr>
    </w:div>
    <w:div w:id="594674905">
      <w:bodyDiv w:val="1"/>
      <w:marLeft w:val="0"/>
      <w:marRight w:val="0"/>
      <w:marTop w:val="0"/>
      <w:marBottom w:val="0"/>
      <w:divBdr>
        <w:top w:val="none" w:sz="0" w:space="0" w:color="auto"/>
        <w:left w:val="none" w:sz="0" w:space="0" w:color="auto"/>
        <w:bottom w:val="none" w:sz="0" w:space="0" w:color="auto"/>
        <w:right w:val="none" w:sz="0" w:space="0" w:color="auto"/>
      </w:divBdr>
    </w:div>
    <w:div w:id="604122310">
      <w:bodyDiv w:val="1"/>
      <w:marLeft w:val="0"/>
      <w:marRight w:val="0"/>
      <w:marTop w:val="0"/>
      <w:marBottom w:val="0"/>
      <w:divBdr>
        <w:top w:val="none" w:sz="0" w:space="0" w:color="auto"/>
        <w:left w:val="none" w:sz="0" w:space="0" w:color="auto"/>
        <w:bottom w:val="none" w:sz="0" w:space="0" w:color="auto"/>
        <w:right w:val="none" w:sz="0" w:space="0" w:color="auto"/>
      </w:divBdr>
    </w:div>
    <w:div w:id="606891587">
      <w:bodyDiv w:val="1"/>
      <w:marLeft w:val="0"/>
      <w:marRight w:val="0"/>
      <w:marTop w:val="0"/>
      <w:marBottom w:val="0"/>
      <w:divBdr>
        <w:top w:val="none" w:sz="0" w:space="0" w:color="auto"/>
        <w:left w:val="none" w:sz="0" w:space="0" w:color="auto"/>
        <w:bottom w:val="none" w:sz="0" w:space="0" w:color="auto"/>
        <w:right w:val="none" w:sz="0" w:space="0" w:color="auto"/>
      </w:divBdr>
    </w:div>
    <w:div w:id="619342443">
      <w:bodyDiv w:val="1"/>
      <w:marLeft w:val="0"/>
      <w:marRight w:val="0"/>
      <w:marTop w:val="0"/>
      <w:marBottom w:val="0"/>
      <w:divBdr>
        <w:top w:val="none" w:sz="0" w:space="0" w:color="auto"/>
        <w:left w:val="none" w:sz="0" w:space="0" w:color="auto"/>
        <w:bottom w:val="none" w:sz="0" w:space="0" w:color="auto"/>
        <w:right w:val="none" w:sz="0" w:space="0" w:color="auto"/>
      </w:divBdr>
    </w:div>
    <w:div w:id="622275672">
      <w:bodyDiv w:val="1"/>
      <w:marLeft w:val="0"/>
      <w:marRight w:val="0"/>
      <w:marTop w:val="0"/>
      <w:marBottom w:val="0"/>
      <w:divBdr>
        <w:top w:val="none" w:sz="0" w:space="0" w:color="auto"/>
        <w:left w:val="none" w:sz="0" w:space="0" w:color="auto"/>
        <w:bottom w:val="none" w:sz="0" w:space="0" w:color="auto"/>
        <w:right w:val="none" w:sz="0" w:space="0" w:color="auto"/>
      </w:divBdr>
    </w:div>
    <w:div w:id="662972564">
      <w:bodyDiv w:val="1"/>
      <w:marLeft w:val="0"/>
      <w:marRight w:val="0"/>
      <w:marTop w:val="0"/>
      <w:marBottom w:val="0"/>
      <w:divBdr>
        <w:top w:val="none" w:sz="0" w:space="0" w:color="auto"/>
        <w:left w:val="none" w:sz="0" w:space="0" w:color="auto"/>
        <w:bottom w:val="none" w:sz="0" w:space="0" w:color="auto"/>
        <w:right w:val="none" w:sz="0" w:space="0" w:color="auto"/>
      </w:divBdr>
    </w:div>
    <w:div w:id="665281474">
      <w:bodyDiv w:val="1"/>
      <w:marLeft w:val="0"/>
      <w:marRight w:val="0"/>
      <w:marTop w:val="0"/>
      <w:marBottom w:val="0"/>
      <w:divBdr>
        <w:top w:val="none" w:sz="0" w:space="0" w:color="auto"/>
        <w:left w:val="none" w:sz="0" w:space="0" w:color="auto"/>
        <w:bottom w:val="none" w:sz="0" w:space="0" w:color="auto"/>
        <w:right w:val="none" w:sz="0" w:space="0" w:color="auto"/>
      </w:divBdr>
    </w:div>
    <w:div w:id="707989408">
      <w:bodyDiv w:val="1"/>
      <w:marLeft w:val="0"/>
      <w:marRight w:val="0"/>
      <w:marTop w:val="0"/>
      <w:marBottom w:val="0"/>
      <w:divBdr>
        <w:top w:val="none" w:sz="0" w:space="0" w:color="auto"/>
        <w:left w:val="none" w:sz="0" w:space="0" w:color="auto"/>
        <w:bottom w:val="none" w:sz="0" w:space="0" w:color="auto"/>
        <w:right w:val="none" w:sz="0" w:space="0" w:color="auto"/>
      </w:divBdr>
    </w:div>
    <w:div w:id="735515335">
      <w:bodyDiv w:val="1"/>
      <w:marLeft w:val="0"/>
      <w:marRight w:val="0"/>
      <w:marTop w:val="0"/>
      <w:marBottom w:val="0"/>
      <w:divBdr>
        <w:top w:val="none" w:sz="0" w:space="0" w:color="auto"/>
        <w:left w:val="none" w:sz="0" w:space="0" w:color="auto"/>
        <w:bottom w:val="none" w:sz="0" w:space="0" w:color="auto"/>
        <w:right w:val="none" w:sz="0" w:space="0" w:color="auto"/>
      </w:divBdr>
    </w:div>
    <w:div w:id="755907456">
      <w:bodyDiv w:val="1"/>
      <w:marLeft w:val="0"/>
      <w:marRight w:val="0"/>
      <w:marTop w:val="0"/>
      <w:marBottom w:val="0"/>
      <w:divBdr>
        <w:top w:val="none" w:sz="0" w:space="0" w:color="auto"/>
        <w:left w:val="none" w:sz="0" w:space="0" w:color="auto"/>
        <w:bottom w:val="none" w:sz="0" w:space="0" w:color="auto"/>
        <w:right w:val="none" w:sz="0" w:space="0" w:color="auto"/>
      </w:divBdr>
    </w:div>
    <w:div w:id="772365613">
      <w:bodyDiv w:val="1"/>
      <w:marLeft w:val="0"/>
      <w:marRight w:val="0"/>
      <w:marTop w:val="0"/>
      <w:marBottom w:val="0"/>
      <w:divBdr>
        <w:top w:val="none" w:sz="0" w:space="0" w:color="auto"/>
        <w:left w:val="none" w:sz="0" w:space="0" w:color="auto"/>
        <w:bottom w:val="none" w:sz="0" w:space="0" w:color="auto"/>
        <w:right w:val="none" w:sz="0" w:space="0" w:color="auto"/>
      </w:divBdr>
    </w:div>
    <w:div w:id="785780437">
      <w:bodyDiv w:val="1"/>
      <w:marLeft w:val="0"/>
      <w:marRight w:val="0"/>
      <w:marTop w:val="0"/>
      <w:marBottom w:val="0"/>
      <w:divBdr>
        <w:top w:val="none" w:sz="0" w:space="0" w:color="auto"/>
        <w:left w:val="none" w:sz="0" w:space="0" w:color="auto"/>
        <w:bottom w:val="none" w:sz="0" w:space="0" w:color="auto"/>
        <w:right w:val="none" w:sz="0" w:space="0" w:color="auto"/>
      </w:divBdr>
      <w:divsChild>
        <w:div w:id="455410370">
          <w:marLeft w:val="0"/>
          <w:marRight w:val="0"/>
          <w:marTop w:val="0"/>
          <w:marBottom w:val="0"/>
          <w:divBdr>
            <w:top w:val="none" w:sz="0" w:space="0" w:color="auto"/>
            <w:left w:val="none" w:sz="0" w:space="0" w:color="auto"/>
            <w:bottom w:val="none" w:sz="0" w:space="0" w:color="auto"/>
            <w:right w:val="none" w:sz="0" w:space="0" w:color="auto"/>
          </w:divBdr>
        </w:div>
        <w:div w:id="1551263253">
          <w:marLeft w:val="0"/>
          <w:marRight w:val="0"/>
          <w:marTop w:val="0"/>
          <w:marBottom w:val="0"/>
          <w:divBdr>
            <w:top w:val="none" w:sz="0" w:space="0" w:color="auto"/>
            <w:left w:val="none" w:sz="0" w:space="0" w:color="auto"/>
            <w:bottom w:val="none" w:sz="0" w:space="0" w:color="auto"/>
            <w:right w:val="none" w:sz="0" w:space="0" w:color="auto"/>
          </w:divBdr>
        </w:div>
        <w:div w:id="1281834933">
          <w:marLeft w:val="0"/>
          <w:marRight w:val="0"/>
          <w:marTop w:val="0"/>
          <w:marBottom w:val="0"/>
          <w:divBdr>
            <w:top w:val="none" w:sz="0" w:space="0" w:color="auto"/>
            <w:left w:val="none" w:sz="0" w:space="0" w:color="auto"/>
            <w:bottom w:val="none" w:sz="0" w:space="0" w:color="auto"/>
            <w:right w:val="none" w:sz="0" w:space="0" w:color="auto"/>
          </w:divBdr>
        </w:div>
        <w:div w:id="408425572">
          <w:marLeft w:val="0"/>
          <w:marRight w:val="0"/>
          <w:marTop w:val="0"/>
          <w:marBottom w:val="0"/>
          <w:divBdr>
            <w:top w:val="none" w:sz="0" w:space="0" w:color="auto"/>
            <w:left w:val="none" w:sz="0" w:space="0" w:color="auto"/>
            <w:bottom w:val="none" w:sz="0" w:space="0" w:color="auto"/>
            <w:right w:val="none" w:sz="0" w:space="0" w:color="auto"/>
          </w:divBdr>
        </w:div>
        <w:div w:id="1306424397">
          <w:marLeft w:val="0"/>
          <w:marRight w:val="0"/>
          <w:marTop w:val="0"/>
          <w:marBottom w:val="0"/>
          <w:divBdr>
            <w:top w:val="none" w:sz="0" w:space="0" w:color="auto"/>
            <w:left w:val="none" w:sz="0" w:space="0" w:color="auto"/>
            <w:bottom w:val="none" w:sz="0" w:space="0" w:color="auto"/>
            <w:right w:val="none" w:sz="0" w:space="0" w:color="auto"/>
          </w:divBdr>
        </w:div>
        <w:div w:id="1362705760">
          <w:marLeft w:val="0"/>
          <w:marRight w:val="0"/>
          <w:marTop w:val="0"/>
          <w:marBottom w:val="0"/>
          <w:divBdr>
            <w:top w:val="none" w:sz="0" w:space="0" w:color="auto"/>
            <w:left w:val="none" w:sz="0" w:space="0" w:color="auto"/>
            <w:bottom w:val="none" w:sz="0" w:space="0" w:color="auto"/>
            <w:right w:val="none" w:sz="0" w:space="0" w:color="auto"/>
          </w:divBdr>
        </w:div>
      </w:divsChild>
    </w:div>
    <w:div w:id="803306060">
      <w:bodyDiv w:val="1"/>
      <w:marLeft w:val="0"/>
      <w:marRight w:val="0"/>
      <w:marTop w:val="0"/>
      <w:marBottom w:val="0"/>
      <w:divBdr>
        <w:top w:val="none" w:sz="0" w:space="0" w:color="auto"/>
        <w:left w:val="none" w:sz="0" w:space="0" w:color="auto"/>
        <w:bottom w:val="none" w:sz="0" w:space="0" w:color="auto"/>
        <w:right w:val="none" w:sz="0" w:space="0" w:color="auto"/>
      </w:divBdr>
    </w:div>
    <w:div w:id="813332490">
      <w:bodyDiv w:val="1"/>
      <w:marLeft w:val="0"/>
      <w:marRight w:val="0"/>
      <w:marTop w:val="0"/>
      <w:marBottom w:val="0"/>
      <w:divBdr>
        <w:top w:val="none" w:sz="0" w:space="0" w:color="auto"/>
        <w:left w:val="none" w:sz="0" w:space="0" w:color="auto"/>
        <w:bottom w:val="none" w:sz="0" w:space="0" w:color="auto"/>
        <w:right w:val="none" w:sz="0" w:space="0" w:color="auto"/>
      </w:divBdr>
      <w:divsChild>
        <w:div w:id="1328940699">
          <w:marLeft w:val="0"/>
          <w:marRight w:val="0"/>
          <w:marTop w:val="0"/>
          <w:marBottom w:val="0"/>
          <w:divBdr>
            <w:top w:val="none" w:sz="0" w:space="0" w:color="auto"/>
            <w:left w:val="none" w:sz="0" w:space="0" w:color="auto"/>
            <w:bottom w:val="none" w:sz="0" w:space="0" w:color="auto"/>
            <w:right w:val="none" w:sz="0" w:space="0" w:color="auto"/>
          </w:divBdr>
          <w:divsChild>
            <w:div w:id="1407453328">
              <w:marLeft w:val="0"/>
              <w:marRight w:val="0"/>
              <w:marTop w:val="0"/>
              <w:marBottom w:val="0"/>
              <w:divBdr>
                <w:top w:val="none" w:sz="0" w:space="0" w:color="auto"/>
                <w:left w:val="none" w:sz="0" w:space="0" w:color="auto"/>
                <w:bottom w:val="none" w:sz="0" w:space="0" w:color="auto"/>
                <w:right w:val="none" w:sz="0" w:space="0" w:color="auto"/>
              </w:divBdr>
            </w:div>
            <w:div w:id="382557049">
              <w:marLeft w:val="0"/>
              <w:marRight w:val="0"/>
              <w:marTop w:val="0"/>
              <w:marBottom w:val="0"/>
              <w:divBdr>
                <w:top w:val="none" w:sz="0" w:space="0" w:color="auto"/>
                <w:left w:val="none" w:sz="0" w:space="0" w:color="auto"/>
                <w:bottom w:val="none" w:sz="0" w:space="0" w:color="auto"/>
                <w:right w:val="none" w:sz="0" w:space="0" w:color="auto"/>
              </w:divBdr>
            </w:div>
          </w:divsChild>
        </w:div>
        <w:div w:id="2120641791">
          <w:marLeft w:val="0"/>
          <w:marRight w:val="0"/>
          <w:marTop w:val="0"/>
          <w:marBottom w:val="0"/>
          <w:divBdr>
            <w:top w:val="none" w:sz="0" w:space="0" w:color="auto"/>
            <w:left w:val="none" w:sz="0" w:space="0" w:color="auto"/>
            <w:bottom w:val="none" w:sz="0" w:space="0" w:color="auto"/>
            <w:right w:val="none" w:sz="0" w:space="0" w:color="auto"/>
          </w:divBdr>
          <w:divsChild>
            <w:div w:id="17660192">
              <w:marLeft w:val="0"/>
              <w:marRight w:val="0"/>
              <w:marTop w:val="0"/>
              <w:marBottom w:val="0"/>
              <w:divBdr>
                <w:top w:val="none" w:sz="0" w:space="0" w:color="auto"/>
                <w:left w:val="none" w:sz="0" w:space="0" w:color="auto"/>
                <w:bottom w:val="none" w:sz="0" w:space="0" w:color="auto"/>
                <w:right w:val="none" w:sz="0" w:space="0" w:color="auto"/>
              </w:divBdr>
            </w:div>
          </w:divsChild>
        </w:div>
        <w:div w:id="2106490174">
          <w:marLeft w:val="0"/>
          <w:marRight w:val="0"/>
          <w:marTop w:val="0"/>
          <w:marBottom w:val="0"/>
          <w:divBdr>
            <w:top w:val="none" w:sz="0" w:space="0" w:color="auto"/>
            <w:left w:val="none" w:sz="0" w:space="0" w:color="auto"/>
            <w:bottom w:val="none" w:sz="0" w:space="0" w:color="auto"/>
            <w:right w:val="none" w:sz="0" w:space="0" w:color="auto"/>
          </w:divBdr>
          <w:divsChild>
            <w:div w:id="1866407428">
              <w:marLeft w:val="0"/>
              <w:marRight w:val="0"/>
              <w:marTop w:val="0"/>
              <w:marBottom w:val="0"/>
              <w:divBdr>
                <w:top w:val="none" w:sz="0" w:space="0" w:color="auto"/>
                <w:left w:val="none" w:sz="0" w:space="0" w:color="auto"/>
                <w:bottom w:val="none" w:sz="0" w:space="0" w:color="auto"/>
                <w:right w:val="none" w:sz="0" w:space="0" w:color="auto"/>
              </w:divBdr>
              <w:divsChild>
                <w:div w:id="166018633">
                  <w:marLeft w:val="0"/>
                  <w:marRight w:val="0"/>
                  <w:marTop w:val="0"/>
                  <w:marBottom w:val="0"/>
                  <w:divBdr>
                    <w:top w:val="none" w:sz="0" w:space="0" w:color="auto"/>
                    <w:left w:val="none" w:sz="0" w:space="0" w:color="auto"/>
                    <w:bottom w:val="none" w:sz="0" w:space="0" w:color="auto"/>
                    <w:right w:val="none" w:sz="0" w:space="0" w:color="auto"/>
                  </w:divBdr>
                </w:div>
                <w:div w:id="274026747">
                  <w:marLeft w:val="0"/>
                  <w:marRight w:val="0"/>
                  <w:marTop w:val="0"/>
                  <w:marBottom w:val="0"/>
                  <w:divBdr>
                    <w:top w:val="none" w:sz="0" w:space="0" w:color="auto"/>
                    <w:left w:val="none" w:sz="0" w:space="0" w:color="auto"/>
                    <w:bottom w:val="none" w:sz="0" w:space="0" w:color="auto"/>
                    <w:right w:val="none" w:sz="0" w:space="0" w:color="auto"/>
                  </w:divBdr>
                </w:div>
                <w:div w:id="123208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2235">
          <w:marLeft w:val="0"/>
          <w:marRight w:val="0"/>
          <w:marTop w:val="0"/>
          <w:marBottom w:val="0"/>
          <w:divBdr>
            <w:top w:val="none" w:sz="0" w:space="0" w:color="auto"/>
            <w:left w:val="none" w:sz="0" w:space="0" w:color="auto"/>
            <w:bottom w:val="none" w:sz="0" w:space="0" w:color="auto"/>
            <w:right w:val="none" w:sz="0" w:space="0" w:color="auto"/>
          </w:divBdr>
          <w:divsChild>
            <w:div w:id="1306857366">
              <w:marLeft w:val="0"/>
              <w:marRight w:val="0"/>
              <w:marTop w:val="0"/>
              <w:marBottom w:val="0"/>
              <w:divBdr>
                <w:top w:val="none" w:sz="0" w:space="0" w:color="auto"/>
                <w:left w:val="none" w:sz="0" w:space="0" w:color="auto"/>
                <w:bottom w:val="none" w:sz="0" w:space="0" w:color="auto"/>
                <w:right w:val="none" w:sz="0" w:space="0" w:color="auto"/>
              </w:divBdr>
            </w:div>
          </w:divsChild>
        </w:div>
        <w:div w:id="297682680">
          <w:marLeft w:val="0"/>
          <w:marRight w:val="0"/>
          <w:marTop w:val="0"/>
          <w:marBottom w:val="0"/>
          <w:divBdr>
            <w:top w:val="none" w:sz="0" w:space="0" w:color="auto"/>
            <w:left w:val="none" w:sz="0" w:space="0" w:color="auto"/>
            <w:bottom w:val="none" w:sz="0" w:space="0" w:color="auto"/>
            <w:right w:val="none" w:sz="0" w:space="0" w:color="auto"/>
          </w:divBdr>
          <w:divsChild>
            <w:div w:id="70386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65010">
      <w:bodyDiv w:val="1"/>
      <w:marLeft w:val="0"/>
      <w:marRight w:val="0"/>
      <w:marTop w:val="0"/>
      <w:marBottom w:val="0"/>
      <w:divBdr>
        <w:top w:val="none" w:sz="0" w:space="0" w:color="auto"/>
        <w:left w:val="none" w:sz="0" w:space="0" w:color="auto"/>
        <w:bottom w:val="none" w:sz="0" w:space="0" w:color="auto"/>
        <w:right w:val="none" w:sz="0" w:space="0" w:color="auto"/>
      </w:divBdr>
    </w:div>
    <w:div w:id="846746026">
      <w:bodyDiv w:val="1"/>
      <w:marLeft w:val="0"/>
      <w:marRight w:val="0"/>
      <w:marTop w:val="0"/>
      <w:marBottom w:val="0"/>
      <w:divBdr>
        <w:top w:val="none" w:sz="0" w:space="0" w:color="auto"/>
        <w:left w:val="none" w:sz="0" w:space="0" w:color="auto"/>
        <w:bottom w:val="none" w:sz="0" w:space="0" w:color="auto"/>
        <w:right w:val="none" w:sz="0" w:space="0" w:color="auto"/>
      </w:divBdr>
    </w:div>
    <w:div w:id="850333161">
      <w:bodyDiv w:val="1"/>
      <w:marLeft w:val="0"/>
      <w:marRight w:val="0"/>
      <w:marTop w:val="0"/>
      <w:marBottom w:val="0"/>
      <w:divBdr>
        <w:top w:val="none" w:sz="0" w:space="0" w:color="auto"/>
        <w:left w:val="none" w:sz="0" w:space="0" w:color="auto"/>
        <w:bottom w:val="none" w:sz="0" w:space="0" w:color="auto"/>
        <w:right w:val="none" w:sz="0" w:space="0" w:color="auto"/>
      </w:divBdr>
    </w:div>
    <w:div w:id="855269202">
      <w:bodyDiv w:val="1"/>
      <w:marLeft w:val="0"/>
      <w:marRight w:val="0"/>
      <w:marTop w:val="0"/>
      <w:marBottom w:val="0"/>
      <w:divBdr>
        <w:top w:val="none" w:sz="0" w:space="0" w:color="auto"/>
        <w:left w:val="none" w:sz="0" w:space="0" w:color="auto"/>
        <w:bottom w:val="none" w:sz="0" w:space="0" w:color="auto"/>
        <w:right w:val="none" w:sz="0" w:space="0" w:color="auto"/>
      </w:divBdr>
      <w:divsChild>
        <w:div w:id="2079935141">
          <w:marLeft w:val="0"/>
          <w:marRight w:val="0"/>
          <w:marTop w:val="0"/>
          <w:marBottom w:val="0"/>
          <w:divBdr>
            <w:top w:val="none" w:sz="0" w:space="0" w:color="auto"/>
            <w:left w:val="none" w:sz="0" w:space="0" w:color="auto"/>
            <w:bottom w:val="none" w:sz="0" w:space="0" w:color="auto"/>
            <w:right w:val="none" w:sz="0" w:space="0" w:color="auto"/>
          </w:divBdr>
        </w:div>
        <w:div w:id="717708859">
          <w:marLeft w:val="0"/>
          <w:marRight w:val="0"/>
          <w:marTop w:val="0"/>
          <w:marBottom w:val="0"/>
          <w:divBdr>
            <w:top w:val="none" w:sz="0" w:space="0" w:color="auto"/>
            <w:left w:val="none" w:sz="0" w:space="0" w:color="auto"/>
            <w:bottom w:val="none" w:sz="0" w:space="0" w:color="auto"/>
            <w:right w:val="none" w:sz="0" w:space="0" w:color="auto"/>
          </w:divBdr>
        </w:div>
      </w:divsChild>
    </w:div>
    <w:div w:id="855851449">
      <w:bodyDiv w:val="1"/>
      <w:marLeft w:val="0"/>
      <w:marRight w:val="0"/>
      <w:marTop w:val="0"/>
      <w:marBottom w:val="0"/>
      <w:divBdr>
        <w:top w:val="none" w:sz="0" w:space="0" w:color="auto"/>
        <w:left w:val="none" w:sz="0" w:space="0" w:color="auto"/>
        <w:bottom w:val="none" w:sz="0" w:space="0" w:color="auto"/>
        <w:right w:val="none" w:sz="0" w:space="0" w:color="auto"/>
      </w:divBdr>
    </w:div>
    <w:div w:id="875779744">
      <w:bodyDiv w:val="1"/>
      <w:marLeft w:val="0"/>
      <w:marRight w:val="0"/>
      <w:marTop w:val="0"/>
      <w:marBottom w:val="0"/>
      <w:divBdr>
        <w:top w:val="none" w:sz="0" w:space="0" w:color="auto"/>
        <w:left w:val="none" w:sz="0" w:space="0" w:color="auto"/>
        <w:bottom w:val="none" w:sz="0" w:space="0" w:color="auto"/>
        <w:right w:val="none" w:sz="0" w:space="0" w:color="auto"/>
      </w:divBdr>
    </w:div>
    <w:div w:id="895436541">
      <w:bodyDiv w:val="1"/>
      <w:marLeft w:val="0"/>
      <w:marRight w:val="0"/>
      <w:marTop w:val="0"/>
      <w:marBottom w:val="0"/>
      <w:divBdr>
        <w:top w:val="none" w:sz="0" w:space="0" w:color="auto"/>
        <w:left w:val="none" w:sz="0" w:space="0" w:color="auto"/>
        <w:bottom w:val="none" w:sz="0" w:space="0" w:color="auto"/>
        <w:right w:val="none" w:sz="0" w:space="0" w:color="auto"/>
      </w:divBdr>
      <w:divsChild>
        <w:div w:id="1380321717">
          <w:marLeft w:val="0"/>
          <w:marRight w:val="0"/>
          <w:marTop w:val="0"/>
          <w:marBottom w:val="0"/>
          <w:divBdr>
            <w:top w:val="none" w:sz="0" w:space="0" w:color="auto"/>
            <w:left w:val="none" w:sz="0" w:space="0" w:color="auto"/>
            <w:bottom w:val="none" w:sz="0" w:space="0" w:color="auto"/>
            <w:right w:val="none" w:sz="0" w:space="0" w:color="auto"/>
          </w:divBdr>
          <w:divsChild>
            <w:div w:id="1439563949">
              <w:marLeft w:val="0"/>
              <w:marRight w:val="0"/>
              <w:marTop w:val="0"/>
              <w:marBottom w:val="0"/>
              <w:divBdr>
                <w:top w:val="none" w:sz="0" w:space="0" w:color="auto"/>
                <w:left w:val="none" w:sz="0" w:space="0" w:color="auto"/>
                <w:bottom w:val="none" w:sz="0" w:space="0" w:color="auto"/>
                <w:right w:val="none" w:sz="0" w:space="0" w:color="auto"/>
              </w:divBdr>
            </w:div>
            <w:div w:id="1820422552">
              <w:marLeft w:val="0"/>
              <w:marRight w:val="0"/>
              <w:marTop w:val="0"/>
              <w:marBottom w:val="0"/>
              <w:divBdr>
                <w:top w:val="none" w:sz="0" w:space="0" w:color="auto"/>
                <w:left w:val="none" w:sz="0" w:space="0" w:color="auto"/>
                <w:bottom w:val="none" w:sz="0" w:space="0" w:color="auto"/>
                <w:right w:val="none" w:sz="0" w:space="0" w:color="auto"/>
              </w:divBdr>
            </w:div>
            <w:div w:id="207114017">
              <w:marLeft w:val="0"/>
              <w:marRight w:val="0"/>
              <w:marTop w:val="0"/>
              <w:marBottom w:val="0"/>
              <w:divBdr>
                <w:top w:val="none" w:sz="0" w:space="0" w:color="auto"/>
                <w:left w:val="none" w:sz="0" w:space="0" w:color="auto"/>
                <w:bottom w:val="none" w:sz="0" w:space="0" w:color="auto"/>
                <w:right w:val="none" w:sz="0" w:space="0" w:color="auto"/>
              </w:divBdr>
            </w:div>
          </w:divsChild>
        </w:div>
        <w:div w:id="1678843484">
          <w:marLeft w:val="0"/>
          <w:marRight w:val="0"/>
          <w:marTop w:val="0"/>
          <w:marBottom w:val="0"/>
          <w:divBdr>
            <w:top w:val="none" w:sz="0" w:space="0" w:color="auto"/>
            <w:left w:val="none" w:sz="0" w:space="0" w:color="auto"/>
            <w:bottom w:val="none" w:sz="0" w:space="0" w:color="auto"/>
            <w:right w:val="none" w:sz="0" w:space="0" w:color="auto"/>
          </w:divBdr>
        </w:div>
      </w:divsChild>
    </w:div>
    <w:div w:id="901141799">
      <w:bodyDiv w:val="1"/>
      <w:marLeft w:val="0"/>
      <w:marRight w:val="0"/>
      <w:marTop w:val="0"/>
      <w:marBottom w:val="0"/>
      <w:divBdr>
        <w:top w:val="none" w:sz="0" w:space="0" w:color="auto"/>
        <w:left w:val="none" w:sz="0" w:space="0" w:color="auto"/>
        <w:bottom w:val="none" w:sz="0" w:space="0" w:color="auto"/>
        <w:right w:val="none" w:sz="0" w:space="0" w:color="auto"/>
      </w:divBdr>
    </w:div>
    <w:div w:id="929628763">
      <w:bodyDiv w:val="1"/>
      <w:marLeft w:val="0"/>
      <w:marRight w:val="0"/>
      <w:marTop w:val="0"/>
      <w:marBottom w:val="0"/>
      <w:divBdr>
        <w:top w:val="none" w:sz="0" w:space="0" w:color="auto"/>
        <w:left w:val="none" w:sz="0" w:space="0" w:color="auto"/>
        <w:bottom w:val="none" w:sz="0" w:space="0" w:color="auto"/>
        <w:right w:val="none" w:sz="0" w:space="0" w:color="auto"/>
      </w:divBdr>
    </w:div>
    <w:div w:id="932013136">
      <w:bodyDiv w:val="1"/>
      <w:marLeft w:val="0"/>
      <w:marRight w:val="0"/>
      <w:marTop w:val="0"/>
      <w:marBottom w:val="0"/>
      <w:divBdr>
        <w:top w:val="none" w:sz="0" w:space="0" w:color="auto"/>
        <w:left w:val="none" w:sz="0" w:space="0" w:color="auto"/>
        <w:bottom w:val="none" w:sz="0" w:space="0" w:color="auto"/>
        <w:right w:val="none" w:sz="0" w:space="0" w:color="auto"/>
      </w:divBdr>
    </w:div>
    <w:div w:id="942419711">
      <w:bodyDiv w:val="1"/>
      <w:marLeft w:val="0"/>
      <w:marRight w:val="0"/>
      <w:marTop w:val="0"/>
      <w:marBottom w:val="0"/>
      <w:divBdr>
        <w:top w:val="none" w:sz="0" w:space="0" w:color="auto"/>
        <w:left w:val="none" w:sz="0" w:space="0" w:color="auto"/>
        <w:bottom w:val="none" w:sz="0" w:space="0" w:color="auto"/>
        <w:right w:val="none" w:sz="0" w:space="0" w:color="auto"/>
      </w:divBdr>
    </w:div>
    <w:div w:id="944729323">
      <w:bodyDiv w:val="1"/>
      <w:marLeft w:val="0"/>
      <w:marRight w:val="0"/>
      <w:marTop w:val="0"/>
      <w:marBottom w:val="0"/>
      <w:divBdr>
        <w:top w:val="none" w:sz="0" w:space="0" w:color="auto"/>
        <w:left w:val="none" w:sz="0" w:space="0" w:color="auto"/>
        <w:bottom w:val="none" w:sz="0" w:space="0" w:color="auto"/>
        <w:right w:val="none" w:sz="0" w:space="0" w:color="auto"/>
      </w:divBdr>
      <w:divsChild>
        <w:div w:id="1673681210">
          <w:marLeft w:val="0"/>
          <w:marRight w:val="0"/>
          <w:marTop w:val="0"/>
          <w:marBottom w:val="0"/>
          <w:divBdr>
            <w:top w:val="none" w:sz="0" w:space="0" w:color="auto"/>
            <w:left w:val="none" w:sz="0" w:space="0" w:color="auto"/>
            <w:bottom w:val="none" w:sz="0" w:space="0" w:color="auto"/>
            <w:right w:val="none" w:sz="0" w:space="0" w:color="auto"/>
          </w:divBdr>
        </w:div>
      </w:divsChild>
    </w:div>
    <w:div w:id="955866080">
      <w:bodyDiv w:val="1"/>
      <w:marLeft w:val="0"/>
      <w:marRight w:val="0"/>
      <w:marTop w:val="0"/>
      <w:marBottom w:val="0"/>
      <w:divBdr>
        <w:top w:val="none" w:sz="0" w:space="0" w:color="auto"/>
        <w:left w:val="none" w:sz="0" w:space="0" w:color="auto"/>
        <w:bottom w:val="none" w:sz="0" w:space="0" w:color="auto"/>
        <w:right w:val="none" w:sz="0" w:space="0" w:color="auto"/>
      </w:divBdr>
    </w:div>
    <w:div w:id="964310389">
      <w:bodyDiv w:val="1"/>
      <w:marLeft w:val="0"/>
      <w:marRight w:val="0"/>
      <w:marTop w:val="0"/>
      <w:marBottom w:val="0"/>
      <w:divBdr>
        <w:top w:val="none" w:sz="0" w:space="0" w:color="auto"/>
        <w:left w:val="none" w:sz="0" w:space="0" w:color="auto"/>
        <w:bottom w:val="none" w:sz="0" w:space="0" w:color="auto"/>
        <w:right w:val="none" w:sz="0" w:space="0" w:color="auto"/>
      </w:divBdr>
      <w:divsChild>
        <w:div w:id="1171678506">
          <w:marLeft w:val="0"/>
          <w:marRight w:val="0"/>
          <w:marTop w:val="0"/>
          <w:marBottom w:val="0"/>
          <w:divBdr>
            <w:top w:val="none" w:sz="0" w:space="0" w:color="auto"/>
            <w:left w:val="none" w:sz="0" w:space="0" w:color="auto"/>
            <w:bottom w:val="none" w:sz="0" w:space="0" w:color="auto"/>
            <w:right w:val="none" w:sz="0" w:space="0" w:color="auto"/>
          </w:divBdr>
        </w:div>
        <w:div w:id="305471811">
          <w:marLeft w:val="0"/>
          <w:marRight w:val="0"/>
          <w:marTop w:val="0"/>
          <w:marBottom w:val="0"/>
          <w:divBdr>
            <w:top w:val="none" w:sz="0" w:space="0" w:color="auto"/>
            <w:left w:val="none" w:sz="0" w:space="0" w:color="auto"/>
            <w:bottom w:val="none" w:sz="0" w:space="0" w:color="auto"/>
            <w:right w:val="none" w:sz="0" w:space="0" w:color="auto"/>
          </w:divBdr>
        </w:div>
        <w:div w:id="1406564397">
          <w:marLeft w:val="0"/>
          <w:marRight w:val="0"/>
          <w:marTop w:val="0"/>
          <w:marBottom w:val="0"/>
          <w:divBdr>
            <w:top w:val="none" w:sz="0" w:space="0" w:color="auto"/>
            <w:left w:val="none" w:sz="0" w:space="0" w:color="auto"/>
            <w:bottom w:val="none" w:sz="0" w:space="0" w:color="auto"/>
            <w:right w:val="none" w:sz="0" w:space="0" w:color="auto"/>
          </w:divBdr>
          <w:divsChild>
            <w:div w:id="348408347">
              <w:marLeft w:val="0"/>
              <w:marRight w:val="0"/>
              <w:marTop w:val="0"/>
              <w:marBottom w:val="0"/>
              <w:divBdr>
                <w:top w:val="none" w:sz="0" w:space="0" w:color="auto"/>
                <w:left w:val="none" w:sz="0" w:space="0" w:color="auto"/>
                <w:bottom w:val="none" w:sz="0" w:space="0" w:color="auto"/>
                <w:right w:val="none" w:sz="0" w:space="0" w:color="auto"/>
              </w:divBdr>
            </w:div>
            <w:div w:id="455174726">
              <w:marLeft w:val="0"/>
              <w:marRight w:val="0"/>
              <w:marTop w:val="0"/>
              <w:marBottom w:val="0"/>
              <w:divBdr>
                <w:top w:val="none" w:sz="0" w:space="0" w:color="auto"/>
                <w:left w:val="none" w:sz="0" w:space="0" w:color="auto"/>
                <w:bottom w:val="none" w:sz="0" w:space="0" w:color="auto"/>
                <w:right w:val="none" w:sz="0" w:space="0" w:color="auto"/>
              </w:divBdr>
            </w:div>
            <w:div w:id="680662382">
              <w:marLeft w:val="0"/>
              <w:marRight w:val="0"/>
              <w:marTop w:val="0"/>
              <w:marBottom w:val="0"/>
              <w:divBdr>
                <w:top w:val="none" w:sz="0" w:space="0" w:color="auto"/>
                <w:left w:val="none" w:sz="0" w:space="0" w:color="auto"/>
                <w:bottom w:val="none" w:sz="0" w:space="0" w:color="auto"/>
                <w:right w:val="none" w:sz="0" w:space="0" w:color="auto"/>
              </w:divBdr>
            </w:div>
            <w:div w:id="806243214">
              <w:marLeft w:val="0"/>
              <w:marRight w:val="0"/>
              <w:marTop w:val="0"/>
              <w:marBottom w:val="0"/>
              <w:divBdr>
                <w:top w:val="none" w:sz="0" w:space="0" w:color="auto"/>
                <w:left w:val="none" w:sz="0" w:space="0" w:color="auto"/>
                <w:bottom w:val="none" w:sz="0" w:space="0" w:color="auto"/>
                <w:right w:val="none" w:sz="0" w:space="0" w:color="auto"/>
              </w:divBdr>
            </w:div>
            <w:div w:id="607353119">
              <w:marLeft w:val="0"/>
              <w:marRight w:val="0"/>
              <w:marTop w:val="0"/>
              <w:marBottom w:val="0"/>
              <w:divBdr>
                <w:top w:val="none" w:sz="0" w:space="0" w:color="auto"/>
                <w:left w:val="none" w:sz="0" w:space="0" w:color="auto"/>
                <w:bottom w:val="none" w:sz="0" w:space="0" w:color="auto"/>
                <w:right w:val="none" w:sz="0" w:space="0" w:color="auto"/>
              </w:divBdr>
            </w:div>
          </w:divsChild>
        </w:div>
        <w:div w:id="349307262">
          <w:marLeft w:val="0"/>
          <w:marRight w:val="0"/>
          <w:marTop w:val="0"/>
          <w:marBottom w:val="0"/>
          <w:divBdr>
            <w:top w:val="none" w:sz="0" w:space="0" w:color="auto"/>
            <w:left w:val="none" w:sz="0" w:space="0" w:color="auto"/>
            <w:bottom w:val="none" w:sz="0" w:space="0" w:color="auto"/>
            <w:right w:val="none" w:sz="0" w:space="0" w:color="auto"/>
          </w:divBdr>
        </w:div>
        <w:div w:id="874075378">
          <w:marLeft w:val="0"/>
          <w:marRight w:val="0"/>
          <w:marTop w:val="0"/>
          <w:marBottom w:val="0"/>
          <w:divBdr>
            <w:top w:val="none" w:sz="0" w:space="0" w:color="auto"/>
            <w:left w:val="none" w:sz="0" w:space="0" w:color="auto"/>
            <w:bottom w:val="none" w:sz="0" w:space="0" w:color="auto"/>
            <w:right w:val="none" w:sz="0" w:space="0" w:color="auto"/>
          </w:divBdr>
        </w:div>
        <w:div w:id="1901134611">
          <w:marLeft w:val="0"/>
          <w:marRight w:val="0"/>
          <w:marTop w:val="0"/>
          <w:marBottom w:val="0"/>
          <w:divBdr>
            <w:top w:val="none" w:sz="0" w:space="0" w:color="auto"/>
            <w:left w:val="none" w:sz="0" w:space="0" w:color="auto"/>
            <w:bottom w:val="none" w:sz="0" w:space="0" w:color="auto"/>
            <w:right w:val="none" w:sz="0" w:space="0" w:color="auto"/>
          </w:divBdr>
        </w:div>
        <w:div w:id="178660231">
          <w:marLeft w:val="0"/>
          <w:marRight w:val="0"/>
          <w:marTop w:val="0"/>
          <w:marBottom w:val="0"/>
          <w:divBdr>
            <w:top w:val="none" w:sz="0" w:space="0" w:color="auto"/>
            <w:left w:val="none" w:sz="0" w:space="0" w:color="auto"/>
            <w:bottom w:val="none" w:sz="0" w:space="0" w:color="auto"/>
            <w:right w:val="none" w:sz="0" w:space="0" w:color="auto"/>
          </w:divBdr>
        </w:div>
        <w:div w:id="2021394593">
          <w:marLeft w:val="0"/>
          <w:marRight w:val="0"/>
          <w:marTop w:val="0"/>
          <w:marBottom w:val="0"/>
          <w:divBdr>
            <w:top w:val="none" w:sz="0" w:space="0" w:color="auto"/>
            <w:left w:val="none" w:sz="0" w:space="0" w:color="auto"/>
            <w:bottom w:val="none" w:sz="0" w:space="0" w:color="auto"/>
            <w:right w:val="none" w:sz="0" w:space="0" w:color="auto"/>
          </w:divBdr>
        </w:div>
        <w:div w:id="323706745">
          <w:marLeft w:val="0"/>
          <w:marRight w:val="0"/>
          <w:marTop w:val="0"/>
          <w:marBottom w:val="0"/>
          <w:divBdr>
            <w:top w:val="none" w:sz="0" w:space="0" w:color="auto"/>
            <w:left w:val="none" w:sz="0" w:space="0" w:color="auto"/>
            <w:bottom w:val="none" w:sz="0" w:space="0" w:color="auto"/>
            <w:right w:val="none" w:sz="0" w:space="0" w:color="auto"/>
          </w:divBdr>
        </w:div>
      </w:divsChild>
    </w:div>
    <w:div w:id="969819055">
      <w:bodyDiv w:val="1"/>
      <w:marLeft w:val="0"/>
      <w:marRight w:val="0"/>
      <w:marTop w:val="0"/>
      <w:marBottom w:val="0"/>
      <w:divBdr>
        <w:top w:val="none" w:sz="0" w:space="0" w:color="auto"/>
        <w:left w:val="none" w:sz="0" w:space="0" w:color="auto"/>
        <w:bottom w:val="none" w:sz="0" w:space="0" w:color="auto"/>
        <w:right w:val="none" w:sz="0" w:space="0" w:color="auto"/>
      </w:divBdr>
      <w:divsChild>
        <w:div w:id="192810565">
          <w:marLeft w:val="0"/>
          <w:marRight w:val="0"/>
          <w:marTop w:val="0"/>
          <w:marBottom w:val="0"/>
          <w:divBdr>
            <w:top w:val="none" w:sz="0" w:space="0" w:color="auto"/>
            <w:left w:val="none" w:sz="0" w:space="0" w:color="auto"/>
            <w:bottom w:val="none" w:sz="0" w:space="0" w:color="auto"/>
            <w:right w:val="none" w:sz="0" w:space="0" w:color="auto"/>
          </w:divBdr>
        </w:div>
        <w:div w:id="99029291">
          <w:marLeft w:val="0"/>
          <w:marRight w:val="0"/>
          <w:marTop w:val="0"/>
          <w:marBottom w:val="0"/>
          <w:divBdr>
            <w:top w:val="none" w:sz="0" w:space="0" w:color="auto"/>
            <w:left w:val="none" w:sz="0" w:space="0" w:color="auto"/>
            <w:bottom w:val="none" w:sz="0" w:space="0" w:color="auto"/>
            <w:right w:val="none" w:sz="0" w:space="0" w:color="auto"/>
          </w:divBdr>
        </w:div>
        <w:div w:id="760563047">
          <w:marLeft w:val="0"/>
          <w:marRight w:val="0"/>
          <w:marTop w:val="0"/>
          <w:marBottom w:val="0"/>
          <w:divBdr>
            <w:top w:val="none" w:sz="0" w:space="0" w:color="auto"/>
            <w:left w:val="none" w:sz="0" w:space="0" w:color="auto"/>
            <w:bottom w:val="none" w:sz="0" w:space="0" w:color="auto"/>
            <w:right w:val="none" w:sz="0" w:space="0" w:color="auto"/>
          </w:divBdr>
        </w:div>
        <w:div w:id="210502619">
          <w:marLeft w:val="0"/>
          <w:marRight w:val="0"/>
          <w:marTop w:val="0"/>
          <w:marBottom w:val="0"/>
          <w:divBdr>
            <w:top w:val="none" w:sz="0" w:space="0" w:color="auto"/>
            <w:left w:val="none" w:sz="0" w:space="0" w:color="auto"/>
            <w:bottom w:val="none" w:sz="0" w:space="0" w:color="auto"/>
            <w:right w:val="none" w:sz="0" w:space="0" w:color="auto"/>
          </w:divBdr>
        </w:div>
        <w:div w:id="1794594173">
          <w:marLeft w:val="0"/>
          <w:marRight w:val="0"/>
          <w:marTop w:val="0"/>
          <w:marBottom w:val="0"/>
          <w:divBdr>
            <w:top w:val="none" w:sz="0" w:space="0" w:color="auto"/>
            <w:left w:val="none" w:sz="0" w:space="0" w:color="auto"/>
            <w:bottom w:val="none" w:sz="0" w:space="0" w:color="auto"/>
            <w:right w:val="none" w:sz="0" w:space="0" w:color="auto"/>
          </w:divBdr>
        </w:div>
        <w:div w:id="6058673">
          <w:marLeft w:val="0"/>
          <w:marRight w:val="0"/>
          <w:marTop w:val="0"/>
          <w:marBottom w:val="0"/>
          <w:divBdr>
            <w:top w:val="none" w:sz="0" w:space="0" w:color="auto"/>
            <w:left w:val="none" w:sz="0" w:space="0" w:color="auto"/>
            <w:bottom w:val="none" w:sz="0" w:space="0" w:color="auto"/>
            <w:right w:val="none" w:sz="0" w:space="0" w:color="auto"/>
          </w:divBdr>
          <w:divsChild>
            <w:div w:id="1281767271">
              <w:marLeft w:val="0"/>
              <w:marRight w:val="0"/>
              <w:marTop w:val="0"/>
              <w:marBottom w:val="0"/>
              <w:divBdr>
                <w:top w:val="none" w:sz="0" w:space="0" w:color="auto"/>
                <w:left w:val="none" w:sz="0" w:space="0" w:color="auto"/>
                <w:bottom w:val="none" w:sz="0" w:space="0" w:color="auto"/>
                <w:right w:val="none" w:sz="0" w:space="0" w:color="auto"/>
              </w:divBdr>
            </w:div>
            <w:div w:id="278420084">
              <w:marLeft w:val="0"/>
              <w:marRight w:val="0"/>
              <w:marTop w:val="0"/>
              <w:marBottom w:val="0"/>
              <w:divBdr>
                <w:top w:val="none" w:sz="0" w:space="0" w:color="auto"/>
                <w:left w:val="none" w:sz="0" w:space="0" w:color="auto"/>
                <w:bottom w:val="none" w:sz="0" w:space="0" w:color="auto"/>
                <w:right w:val="none" w:sz="0" w:space="0" w:color="auto"/>
              </w:divBdr>
            </w:div>
            <w:div w:id="1062145108">
              <w:marLeft w:val="0"/>
              <w:marRight w:val="0"/>
              <w:marTop w:val="0"/>
              <w:marBottom w:val="0"/>
              <w:divBdr>
                <w:top w:val="none" w:sz="0" w:space="0" w:color="auto"/>
                <w:left w:val="none" w:sz="0" w:space="0" w:color="auto"/>
                <w:bottom w:val="none" w:sz="0" w:space="0" w:color="auto"/>
                <w:right w:val="none" w:sz="0" w:space="0" w:color="auto"/>
              </w:divBdr>
            </w:div>
          </w:divsChild>
        </w:div>
        <w:div w:id="392047570">
          <w:marLeft w:val="0"/>
          <w:marRight w:val="0"/>
          <w:marTop w:val="0"/>
          <w:marBottom w:val="0"/>
          <w:divBdr>
            <w:top w:val="none" w:sz="0" w:space="0" w:color="auto"/>
            <w:left w:val="none" w:sz="0" w:space="0" w:color="auto"/>
            <w:bottom w:val="none" w:sz="0" w:space="0" w:color="auto"/>
            <w:right w:val="none" w:sz="0" w:space="0" w:color="auto"/>
          </w:divBdr>
        </w:div>
        <w:div w:id="577591774">
          <w:marLeft w:val="0"/>
          <w:marRight w:val="0"/>
          <w:marTop w:val="0"/>
          <w:marBottom w:val="0"/>
          <w:divBdr>
            <w:top w:val="none" w:sz="0" w:space="0" w:color="auto"/>
            <w:left w:val="none" w:sz="0" w:space="0" w:color="auto"/>
            <w:bottom w:val="none" w:sz="0" w:space="0" w:color="auto"/>
            <w:right w:val="none" w:sz="0" w:space="0" w:color="auto"/>
          </w:divBdr>
        </w:div>
        <w:div w:id="1050156929">
          <w:marLeft w:val="0"/>
          <w:marRight w:val="0"/>
          <w:marTop w:val="0"/>
          <w:marBottom w:val="0"/>
          <w:divBdr>
            <w:top w:val="none" w:sz="0" w:space="0" w:color="auto"/>
            <w:left w:val="none" w:sz="0" w:space="0" w:color="auto"/>
            <w:bottom w:val="none" w:sz="0" w:space="0" w:color="auto"/>
            <w:right w:val="none" w:sz="0" w:space="0" w:color="auto"/>
          </w:divBdr>
        </w:div>
        <w:div w:id="568921693">
          <w:marLeft w:val="0"/>
          <w:marRight w:val="0"/>
          <w:marTop w:val="0"/>
          <w:marBottom w:val="0"/>
          <w:divBdr>
            <w:top w:val="none" w:sz="0" w:space="0" w:color="auto"/>
            <w:left w:val="none" w:sz="0" w:space="0" w:color="auto"/>
            <w:bottom w:val="none" w:sz="0" w:space="0" w:color="auto"/>
            <w:right w:val="none" w:sz="0" w:space="0" w:color="auto"/>
          </w:divBdr>
        </w:div>
        <w:div w:id="210189021">
          <w:marLeft w:val="0"/>
          <w:marRight w:val="0"/>
          <w:marTop w:val="0"/>
          <w:marBottom w:val="0"/>
          <w:divBdr>
            <w:top w:val="none" w:sz="0" w:space="0" w:color="auto"/>
            <w:left w:val="none" w:sz="0" w:space="0" w:color="auto"/>
            <w:bottom w:val="none" w:sz="0" w:space="0" w:color="auto"/>
            <w:right w:val="none" w:sz="0" w:space="0" w:color="auto"/>
          </w:divBdr>
        </w:div>
      </w:divsChild>
    </w:div>
    <w:div w:id="971980390">
      <w:bodyDiv w:val="1"/>
      <w:marLeft w:val="0"/>
      <w:marRight w:val="0"/>
      <w:marTop w:val="0"/>
      <w:marBottom w:val="0"/>
      <w:divBdr>
        <w:top w:val="none" w:sz="0" w:space="0" w:color="auto"/>
        <w:left w:val="none" w:sz="0" w:space="0" w:color="auto"/>
        <w:bottom w:val="none" w:sz="0" w:space="0" w:color="auto"/>
        <w:right w:val="none" w:sz="0" w:space="0" w:color="auto"/>
      </w:divBdr>
    </w:div>
    <w:div w:id="985739789">
      <w:bodyDiv w:val="1"/>
      <w:marLeft w:val="0"/>
      <w:marRight w:val="0"/>
      <w:marTop w:val="0"/>
      <w:marBottom w:val="0"/>
      <w:divBdr>
        <w:top w:val="none" w:sz="0" w:space="0" w:color="auto"/>
        <w:left w:val="none" w:sz="0" w:space="0" w:color="auto"/>
        <w:bottom w:val="none" w:sz="0" w:space="0" w:color="auto"/>
        <w:right w:val="none" w:sz="0" w:space="0" w:color="auto"/>
      </w:divBdr>
      <w:divsChild>
        <w:div w:id="1990404287">
          <w:marLeft w:val="0"/>
          <w:marRight w:val="0"/>
          <w:marTop w:val="0"/>
          <w:marBottom w:val="0"/>
          <w:divBdr>
            <w:top w:val="none" w:sz="0" w:space="0" w:color="auto"/>
            <w:left w:val="none" w:sz="0" w:space="0" w:color="auto"/>
            <w:bottom w:val="none" w:sz="0" w:space="0" w:color="auto"/>
            <w:right w:val="none" w:sz="0" w:space="0" w:color="auto"/>
          </w:divBdr>
          <w:divsChild>
            <w:div w:id="1401562948">
              <w:marLeft w:val="0"/>
              <w:marRight w:val="0"/>
              <w:marTop w:val="0"/>
              <w:marBottom w:val="0"/>
              <w:divBdr>
                <w:top w:val="none" w:sz="0" w:space="0" w:color="auto"/>
                <w:left w:val="none" w:sz="0" w:space="0" w:color="auto"/>
                <w:bottom w:val="none" w:sz="0" w:space="0" w:color="auto"/>
                <w:right w:val="none" w:sz="0" w:space="0" w:color="auto"/>
              </w:divBdr>
            </w:div>
          </w:divsChild>
        </w:div>
        <w:div w:id="359473406">
          <w:marLeft w:val="0"/>
          <w:marRight w:val="0"/>
          <w:marTop w:val="0"/>
          <w:marBottom w:val="0"/>
          <w:divBdr>
            <w:top w:val="none" w:sz="0" w:space="0" w:color="auto"/>
            <w:left w:val="none" w:sz="0" w:space="0" w:color="auto"/>
            <w:bottom w:val="none" w:sz="0" w:space="0" w:color="auto"/>
            <w:right w:val="none" w:sz="0" w:space="0" w:color="auto"/>
          </w:divBdr>
          <w:divsChild>
            <w:div w:id="1051347099">
              <w:marLeft w:val="0"/>
              <w:marRight w:val="0"/>
              <w:marTop w:val="0"/>
              <w:marBottom w:val="0"/>
              <w:divBdr>
                <w:top w:val="none" w:sz="0" w:space="0" w:color="auto"/>
                <w:left w:val="none" w:sz="0" w:space="0" w:color="auto"/>
                <w:bottom w:val="none" w:sz="0" w:space="0" w:color="auto"/>
                <w:right w:val="none" w:sz="0" w:space="0" w:color="auto"/>
              </w:divBdr>
            </w:div>
            <w:div w:id="2015499375">
              <w:marLeft w:val="0"/>
              <w:marRight w:val="0"/>
              <w:marTop w:val="0"/>
              <w:marBottom w:val="0"/>
              <w:divBdr>
                <w:top w:val="none" w:sz="0" w:space="0" w:color="auto"/>
                <w:left w:val="none" w:sz="0" w:space="0" w:color="auto"/>
                <w:bottom w:val="none" w:sz="0" w:space="0" w:color="auto"/>
                <w:right w:val="none" w:sz="0" w:space="0" w:color="auto"/>
              </w:divBdr>
            </w:div>
            <w:div w:id="1822236624">
              <w:marLeft w:val="0"/>
              <w:marRight w:val="0"/>
              <w:marTop w:val="0"/>
              <w:marBottom w:val="0"/>
              <w:divBdr>
                <w:top w:val="none" w:sz="0" w:space="0" w:color="auto"/>
                <w:left w:val="none" w:sz="0" w:space="0" w:color="auto"/>
                <w:bottom w:val="none" w:sz="0" w:space="0" w:color="auto"/>
                <w:right w:val="none" w:sz="0" w:space="0" w:color="auto"/>
              </w:divBdr>
            </w:div>
            <w:div w:id="4603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00096">
      <w:bodyDiv w:val="1"/>
      <w:marLeft w:val="0"/>
      <w:marRight w:val="0"/>
      <w:marTop w:val="0"/>
      <w:marBottom w:val="0"/>
      <w:divBdr>
        <w:top w:val="none" w:sz="0" w:space="0" w:color="auto"/>
        <w:left w:val="none" w:sz="0" w:space="0" w:color="auto"/>
        <w:bottom w:val="none" w:sz="0" w:space="0" w:color="auto"/>
        <w:right w:val="none" w:sz="0" w:space="0" w:color="auto"/>
      </w:divBdr>
      <w:divsChild>
        <w:div w:id="976103667">
          <w:marLeft w:val="0"/>
          <w:marRight w:val="0"/>
          <w:marTop w:val="0"/>
          <w:marBottom w:val="0"/>
          <w:divBdr>
            <w:top w:val="none" w:sz="0" w:space="0" w:color="auto"/>
            <w:left w:val="none" w:sz="0" w:space="0" w:color="auto"/>
            <w:bottom w:val="none" w:sz="0" w:space="0" w:color="auto"/>
            <w:right w:val="none" w:sz="0" w:space="0" w:color="auto"/>
          </w:divBdr>
        </w:div>
        <w:div w:id="395588329">
          <w:marLeft w:val="0"/>
          <w:marRight w:val="0"/>
          <w:marTop w:val="0"/>
          <w:marBottom w:val="0"/>
          <w:divBdr>
            <w:top w:val="none" w:sz="0" w:space="0" w:color="auto"/>
            <w:left w:val="none" w:sz="0" w:space="0" w:color="auto"/>
            <w:bottom w:val="none" w:sz="0" w:space="0" w:color="auto"/>
            <w:right w:val="none" w:sz="0" w:space="0" w:color="auto"/>
          </w:divBdr>
        </w:div>
      </w:divsChild>
    </w:div>
    <w:div w:id="998776145">
      <w:bodyDiv w:val="1"/>
      <w:marLeft w:val="0"/>
      <w:marRight w:val="0"/>
      <w:marTop w:val="0"/>
      <w:marBottom w:val="0"/>
      <w:divBdr>
        <w:top w:val="none" w:sz="0" w:space="0" w:color="auto"/>
        <w:left w:val="none" w:sz="0" w:space="0" w:color="auto"/>
        <w:bottom w:val="none" w:sz="0" w:space="0" w:color="auto"/>
        <w:right w:val="none" w:sz="0" w:space="0" w:color="auto"/>
      </w:divBdr>
    </w:div>
    <w:div w:id="1001617938">
      <w:bodyDiv w:val="1"/>
      <w:marLeft w:val="0"/>
      <w:marRight w:val="0"/>
      <w:marTop w:val="0"/>
      <w:marBottom w:val="0"/>
      <w:divBdr>
        <w:top w:val="none" w:sz="0" w:space="0" w:color="auto"/>
        <w:left w:val="none" w:sz="0" w:space="0" w:color="auto"/>
        <w:bottom w:val="none" w:sz="0" w:space="0" w:color="auto"/>
        <w:right w:val="none" w:sz="0" w:space="0" w:color="auto"/>
      </w:divBdr>
    </w:div>
    <w:div w:id="1004554467">
      <w:bodyDiv w:val="1"/>
      <w:marLeft w:val="0"/>
      <w:marRight w:val="0"/>
      <w:marTop w:val="0"/>
      <w:marBottom w:val="0"/>
      <w:divBdr>
        <w:top w:val="none" w:sz="0" w:space="0" w:color="auto"/>
        <w:left w:val="none" w:sz="0" w:space="0" w:color="auto"/>
        <w:bottom w:val="none" w:sz="0" w:space="0" w:color="auto"/>
        <w:right w:val="none" w:sz="0" w:space="0" w:color="auto"/>
      </w:divBdr>
    </w:div>
    <w:div w:id="1017804785">
      <w:bodyDiv w:val="1"/>
      <w:marLeft w:val="0"/>
      <w:marRight w:val="0"/>
      <w:marTop w:val="0"/>
      <w:marBottom w:val="0"/>
      <w:divBdr>
        <w:top w:val="none" w:sz="0" w:space="0" w:color="auto"/>
        <w:left w:val="none" w:sz="0" w:space="0" w:color="auto"/>
        <w:bottom w:val="none" w:sz="0" w:space="0" w:color="auto"/>
        <w:right w:val="none" w:sz="0" w:space="0" w:color="auto"/>
      </w:divBdr>
    </w:div>
    <w:div w:id="1026366436">
      <w:bodyDiv w:val="1"/>
      <w:marLeft w:val="0"/>
      <w:marRight w:val="0"/>
      <w:marTop w:val="0"/>
      <w:marBottom w:val="0"/>
      <w:divBdr>
        <w:top w:val="none" w:sz="0" w:space="0" w:color="auto"/>
        <w:left w:val="none" w:sz="0" w:space="0" w:color="auto"/>
        <w:bottom w:val="none" w:sz="0" w:space="0" w:color="auto"/>
        <w:right w:val="none" w:sz="0" w:space="0" w:color="auto"/>
      </w:divBdr>
      <w:divsChild>
        <w:div w:id="1368411082">
          <w:marLeft w:val="0"/>
          <w:marRight w:val="0"/>
          <w:marTop w:val="0"/>
          <w:marBottom w:val="0"/>
          <w:divBdr>
            <w:top w:val="none" w:sz="0" w:space="0" w:color="auto"/>
            <w:left w:val="none" w:sz="0" w:space="0" w:color="auto"/>
            <w:bottom w:val="none" w:sz="0" w:space="0" w:color="auto"/>
            <w:right w:val="none" w:sz="0" w:space="0" w:color="auto"/>
          </w:divBdr>
        </w:div>
        <w:div w:id="898369822">
          <w:marLeft w:val="0"/>
          <w:marRight w:val="0"/>
          <w:marTop w:val="0"/>
          <w:marBottom w:val="0"/>
          <w:divBdr>
            <w:top w:val="none" w:sz="0" w:space="0" w:color="auto"/>
            <w:left w:val="none" w:sz="0" w:space="0" w:color="auto"/>
            <w:bottom w:val="none" w:sz="0" w:space="0" w:color="auto"/>
            <w:right w:val="none" w:sz="0" w:space="0" w:color="auto"/>
          </w:divBdr>
        </w:div>
      </w:divsChild>
    </w:div>
    <w:div w:id="1043597590">
      <w:bodyDiv w:val="1"/>
      <w:marLeft w:val="0"/>
      <w:marRight w:val="0"/>
      <w:marTop w:val="0"/>
      <w:marBottom w:val="0"/>
      <w:divBdr>
        <w:top w:val="none" w:sz="0" w:space="0" w:color="auto"/>
        <w:left w:val="none" w:sz="0" w:space="0" w:color="auto"/>
        <w:bottom w:val="none" w:sz="0" w:space="0" w:color="auto"/>
        <w:right w:val="none" w:sz="0" w:space="0" w:color="auto"/>
      </w:divBdr>
    </w:div>
    <w:div w:id="1043598323">
      <w:bodyDiv w:val="1"/>
      <w:marLeft w:val="0"/>
      <w:marRight w:val="0"/>
      <w:marTop w:val="0"/>
      <w:marBottom w:val="0"/>
      <w:divBdr>
        <w:top w:val="none" w:sz="0" w:space="0" w:color="auto"/>
        <w:left w:val="none" w:sz="0" w:space="0" w:color="auto"/>
        <w:bottom w:val="none" w:sz="0" w:space="0" w:color="auto"/>
        <w:right w:val="none" w:sz="0" w:space="0" w:color="auto"/>
      </w:divBdr>
      <w:divsChild>
        <w:div w:id="95250661">
          <w:marLeft w:val="0"/>
          <w:marRight w:val="0"/>
          <w:marTop w:val="0"/>
          <w:marBottom w:val="0"/>
          <w:divBdr>
            <w:top w:val="none" w:sz="0" w:space="0" w:color="auto"/>
            <w:left w:val="none" w:sz="0" w:space="0" w:color="auto"/>
            <w:bottom w:val="none" w:sz="0" w:space="0" w:color="auto"/>
            <w:right w:val="none" w:sz="0" w:space="0" w:color="auto"/>
          </w:divBdr>
        </w:div>
        <w:div w:id="1371565519">
          <w:marLeft w:val="0"/>
          <w:marRight w:val="0"/>
          <w:marTop w:val="0"/>
          <w:marBottom w:val="0"/>
          <w:divBdr>
            <w:top w:val="none" w:sz="0" w:space="0" w:color="auto"/>
            <w:left w:val="none" w:sz="0" w:space="0" w:color="auto"/>
            <w:bottom w:val="none" w:sz="0" w:space="0" w:color="auto"/>
            <w:right w:val="none" w:sz="0" w:space="0" w:color="auto"/>
          </w:divBdr>
        </w:div>
      </w:divsChild>
    </w:div>
    <w:div w:id="1051029983">
      <w:bodyDiv w:val="1"/>
      <w:marLeft w:val="0"/>
      <w:marRight w:val="0"/>
      <w:marTop w:val="0"/>
      <w:marBottom w:val="0"/>
      <w:divBdr>
        <w:top w:val="none" w:sz="0" w:space="0" w:color="auto"/>
        <w:left w:val="none" w:sz="0" w:space="0" w:color="auto"/>
        <w:bottom w:val="none" w:sz="0" w:space="0" w:color="auto"/>
        <w:right w:val="none" w:sz="0" w:space="0" w:color="auto"/>
      </w:divBdr>
    </w:div>
    <w:div w:id="1057896578">
      <w:bodyDiv w:val="1"/>
      <w:marLeft w:val="0"/>
      <w:marRight w:val="0"/>
      <w:marTop w:val="0"/>
      <w:marBottom w:val="0"/>
      <w:divBdr>
        <w:top w:val="none" w:sz="0" w:space="0" w:color="auto"/>
        <w:left w:val="none" w:sz="0" w:space="0" w:color="auto"/>
        <w:bottom w:val="none" w:sz="0" w:space="0" w:color="auto"/>
        <w:right w:val="none" w:sz="0" w:space="0" w:color="auto"/>
      </w:divBdr>
    </w:div>
    <w:div w:id="1059327283">
      <w:bodyDiv w:val="1"/>
      <w:marLeft w:val="0"/>
      <w:marRight w:val="0"/>
      <w:marTop w:val="0"/>
      <w:marBottom w:val="0"/>
      <w:divBdr>
        <w:top w:val="none" w:sz="0" w:space="0" w:color="auto"/>
        <w:left w:val="none" w:sz="0" w:space="0" w:color="auto"/>
        <w:bottom w:val="none" w:sz="0" w:space="0" w:color="auto"/>
        <w:right w:val="none" w:sz="0" w:space="0" w:color="auto"/>
      </w:divBdr>
    </w:div>
    <w:div w:id="1085808308">
      <w:bodyDiv w:val="1"/>
      <w:marLeft w:val="0"/>
      <w:marRight w:val="0"/>
      <w:marTop w:val="0"/>
      <w:marBottom w:val="0"/>
      <w:divBdr>
        <w:top w:val="none" w:sz="0" w:space="0" w:color="auto"/>
        <w:left w:val="none" w:sz="0" w:space="0" w:color="auto"/>
        <w:bottom w:val="none" w:sz="0" w:space="0" w:color="auto"/>
        <w:right w:val="none" w:sz="0" w:space="0" w:color="auto"/>
      </w:divBdr>
    </w:div>
    <w:div w:id="1095594126">
      <w:bodyDiv w:val="1"/>
      <w:marLeft w:val="0"/>
      <w:marRight w:val="0"/>
      <w:marTop w:val="0"/>
      <w:marBottom w:val="0"/>
      <w:divBdr>
        <w:top w:val="none" w:sz="0" w:space="0" w:color="auto"/>
        <w:left w:val="none" w:sz="0" w:space="0" w:color="auto"/>
        <w:bottom w:val="none" w:sz="0" w:space="0" w:color="auto"/>
        <w:right w:val="none" w:sz="0" w:space="0" w:color="auto"/>
      </w:divBdr>
    </w:div>
    <w:div w:id="1117942554">
      <w:bodyDiv w:val="1"/>
      <w:marLeft w:val="0"/>
      <w:marRight w:val="0"/>
      <w:marTop w:val="0"/>
      <w:marBottom w:val="0"/>
      <w:divBdr>
        <w:top w:val="none" w:sz="0" w:space="0" w:color="auto"/>
        <w:left w:val="none" w:sz="0" w:space="0" w:color="auto"/>
        <w:bottom w:val="none" w:sz="0" w:space="0" w:color="auto"/>
        <w:right w:val="none" w:sz="0" w:space="0" w:color="auto"/>
      </w:divBdr>
      <w:divsChild>
        <w:div w:id="1401755524">
          <w:marLeft w:val="0"/>
          <w:marRight w:val="0"/>
          <w:marTop w:val="0"/>
          <w:marBottom w:val="0"/>
          <w:divBdr>
            <w:top w:val="none" w:sz="0" w:space="0" w:color="auto"/>
            <w:left w:val="none" w:sz="0" w:space="0" w:color="auto"/>
            <w:bottom w:val="none" w:sz="0" w:space="0" w:color="auto"/>
            <w:right w:val="none" w:sz="0" w:space="0" w:color="auto"/>
          </w:divBdr>
        </w:div>
        <w:div w:id="1119835041">
          <w:marLeft w:val="0"/>
          <w:marRight w:val="0"/>
          <w:marTop w:val="0"/>
          <w:marBottom w:val="0"/>
          <w:divBdr>
            <w:top w:val="none" w:sz="0" w:space="0" w:color="auto"/>
            <w:left w:val="none" w:sz="0" w:space="0" w:color="auto"/>
            <w:bottom w:val="none" w:sz="0" w:space="0" w:color="auto"/>
            <w:right w:val="none" w:sz="0" w:space="0" w:color="auto"/>
          </w:divBdr>
        </w:div>
        <w:div w:id="1557398175">
          <w:marLeft w:val="0"/>
          <w:marRight w:val="0"/>
          <w:marTop w:val="0"/>
          <w:marBottom w:val="0"/>
          <w:divBdr>
            <w:top w:val="none" w:sz="0" w:space="0" w:color="auto"/>
            <w:left w:val="none" w:sz="0" w:space="0" w:color="auto"/>
            <w:bottom w:val="none" w:sz="0" w:space="0" w:color="auto"/>
            <w:right w:val="none" w:sz="0" w:space="0" w:color="auto"/>
          </w:divBdr>
        </w:div>
        <w:div w:id="242959129">
          <w:marLeft w:val="0"/>
          <w:marRight w:val="0"/>
          <w:marTop w:val="0"/>
          <w:marBottom w:val="0"/>
          <w:divBdr>
            <w:top w:val="none" w:sz="0" w:space="0" w:color="auto"/>
            <w:left w:val="none" w:sz="0" w:space="0" w:color="auto"/>
            <w:bottom w:val="none" w:sz="0" w:space="0" w:color="auto"/>
            <w:right w:val="none" w:sz="0" w:space="0" w:color="auto"/>
          </w:divBdr>
        </w:div>
      </w:divsChild>
    </w:div>
    <w:div w:id="1124075201">
      <w:bodyDiv w:val="1"/>
      <w:marLeft w:val="0"/>
      <w:marRight w:val="0"/>
      <w:marTop w:val="0"/>
      <w:marBottom w:val="0"/>
      <w:divBdr>
        <w:top w:val="none" w:sz="0" w:space="0" w:color="auto"/>
        <w:left w:val="none" w:sz="0" w:space="0" w:color="auto"/>
        <w:bottom w:val="none" w:sz="0" w:space="0" w:color="auto"/>
        <w:right w:val="none" w:sz="0" w:space="0" w:color="auto"/>
      </w:divBdr>
    </w:div>
    <w:div w:id="1126050582">
      <w:bodyDiv w:val="1"/>
      <w:marLeft w:val="0"/>
      <w:marRight w:val="0"/>
      <w:marTop w:val="0"/>
      <w:marBottom w:val="0"/>
      <w:divBdr>
        <w:top w:val="none" w:sz="0" w:space="0" w:color="auto"/>
        <w:left w:val="none" w:sz="0" w:space="0" w:color="auto"/>
        <w:bottom w:val="none" w:sz="0" w:space="0" w:color="auto"/>
        <w:right w:val="none" w:sz="0" w:space="0" w:color="auto"/>
      </w:divBdr>
    </w:div>
    <w:div w:id="1132092356">
      <w:bodyDiv w:val="1"/>
      <w:marLeft w:val="0"/>
      <w:marRight w:val="0"/>
      <w:marTop w:val="0"/>
      <w:marBottom w:val="0"/>
      <w:divBdr>
        <w:top w:val="none" w:sz="0" w:space="0" w:color="auto"/>
        <w:left w:val="none" w:sz="0" w:space="0" w:color="auto"/>
        <w:bottom w:val="none" w:sz="0" w:space="0" w:color="auto"/>
        <w:right w:val="none" w:sz="0" w:space="0" w:color="auto"/>
      </w:divBdr>
    </w:div>
    <w:div w:id="1155298988">
      <w:bodyDiv w:val="1"/>
      <w:marLeft w:val="0"/>
      <w:marRight w:val="0"/>
      <w:marTop w:val="0"/>
      <w:marBottom w:val="0"/>
      <w:divBdr>
        <w:top w:val="none" w:sz="0" w:space="0" w:color="auto"/>
        <w:left w:val="none" w:sz="0" w:space="0" w:color="auto"/>
        <w:bottom w:val="none" w:sz="0" w:space="0" w:color="auto"/>
        <w:right w:val="none" w:sz="0" w:space="0" w:color="auto"/>
      </w:divBdr>
    </w:div>
    <w:div w:id="1212577287">
      <w:bodyDiv w:val="1"/>
      <w:marLeft w:val="0"/>
      <w:marRight w:val="0"/>
      <w:marTop w:val="0"/>
      <w:marBottom w:val="0"/>
      <w:divBdr>
        <w:top w:val="none" w:sz="0" w:space="0" w:color="auto"/>
        <w:left w:val="none" w:sz="0" w:space="0" w:color="auto"/>
        <w:bottom w:val="none" w:sz="0" w:space="0" w:color="auto"/>
        <w:right w:val="none" w:sz="0" w:space="0" w:color="auto"/>
      </w:divBdr>
      <w:divsChild>
        <w:div w:id="286861036">
          <w:marLeft w:val="0"/>
          <w:marRight w:val="0"/>
          <w:marTop w:val="0"/>
          <w:marBottom w:val="0"/>
          <w:divBdr>
            <w:top w:val="none" w:sz="0" w:space="0" w:color="auto"/>
            <w:left w:val="none" w:sz="0" w:space="0" w:color="auto"/>
            <w:bottom w:val="none" w:sz="0" w:space="0" w:color="auto"/>
            <w:right w:val="none" w:sz="0" w:space="0" w:color="auto"/>
          </w:divBdr>
        </w:div>
      </w:divsChild>
    </w:div>
    <w:div w:id="1218517910">
      <w:bodyDiv w:val="1"/>
      <w:marLeft w:val="0"/>
      <w:marRight w:val="0"/>
      <w:marTop w:val="0"/>
      <w:marBottom w:val="0"/>
      <w:divBdr>
        <w:top w:val="none" w:sz="0" w:space="0" w:color="auto"/>
        <w:left w:val="none" w:sz="0" w:space="0" w:color="auto"/>
        <w:bottom w:val="none" w:sz="0" w:space="0" w:color="auto"/>
        <w:right w:val="none" w:sz="0" w:space="0" w:color="auto"/>
      </w:divBdr>
    </w:div>
    <w:div w:id="1261523937">
      <w:bodyDiv w:val="1"/>
      <w:marLeft w:val="0"/>
      <w:marRight w:val="0"/>
      <w:marTop w:val="0"/>
      <w:marBottom w:val="0"/>
      <w:divBdr>
        <w:top w:val="none" w:sz="0" w:space="0" w:color="auto"/>
        <w:left w:val="none" w:sz="0" w:space="0" w:color="auto"/>
        <w:bottom w:val="none" w:sz="0" w:space="0" w:color="auto"/>
        <w:right w:val="none" w:sz="0" w:space="0" w:color="auto"/>
      </w:divBdr>
    </w:div>
    <w:div w:id="1263224589">
      <w:bodyDiv w:val="1"/>
      <w:marLeft w:val="0"/>
      <w:marRight w:val="0"/>
      <w:marTop w:val="0"/>
      <w:marBottom w:val="0"/>
      <w:divBdr>
        <w:top w:val="none" w:sz="0" w:space="0" w:color="auto"/>
        <w:left w:val="none" w:sz="0" w:space="0" w:color="auto"/>
        <w:bottom w:val="none" w:sz="0" w:space="0" w:color="auto"/>
        <w:right w:val="none" w:sz="0" w:space="0" w:color="auto"/>
      </w:divBdr>
      <w:divsChild>
        <w:div w:id="496653422">
          <w:marLeft w:val="0"/>
          <w:marRight w:val="0"/>
          <w:marTop w:val="0"/>
          <w:marBottom w:val="0"/>
          <w:divBdr>
            <w:top w:val="none" w:sz="0" w:space="0" w:color="auto"/>
            <w:left w:val="none" w:sz="0" w:space="0" w:color="auto"/>
            <w:bottom w:val="none" w:sz="0" w:space="0" w:color="auto"/>
            <w:right w:val="none" w:sz="0" w:space="0" w:color="auto"/>
          </w:divBdr>
        </w:div>
      </w:divsChild>
    </w:div>
    <w:div w:id="1269772554">
      <w:bodyDiv w:val="1"/>
      <w:marLeft w:val="0"/>
      <w:marRight w:val="0"/>
      <w:marTop w:val="0"/>
      <w:marBottom w:val="0"/>
      <w:divBdr>
        <w:top w:val="none" w:sz="0" w:space="0" w:color="auto"/>
        <w:left w:val="none" w:sz="0" w:space="0" w:color="auto"/>
        <w:bottom w:val="none" w:sz="0" w:space="0" w:color="auto"/>
        <w:right w:val="none" w:sz="0" w:space="0" w:color="auto"/>
      </w:divBdr>
    </w:div>
    <w:div w:id="1279677544">
      <w:bodyDiv w:val="1"/>
      <w:marLeft w:val="0"/>
      <w:marRight w:val="0"/>
      <w:marTop w:val="0"/>
      <w:marBottom w:val="0"/>
      <w:divBdr>
        <w:top w:val="none" w:sz="0" w:space="0" w:color="auto"/>
        <w:left w:val="none" w:sz="0" w:space="0" w:color="auto"/>
        <w:bottom w:val="none" w:sz="0" w:space="0" w:color="auto"/>
        <w:right w:val="none" w:sz="0" w:space="0" w:color="auto"/>
      </w:divBdr>
    </w:div>
    <w:div w:id="1330135549">
      <w:bodyDiv w:val="1"/>
      <w:marLeft w:val="0"/>
      <w:marRight w:val="0"/>
      <w:marTop w:val="0"/>
      <w:marBottom w:val="0"/>
      <w:divBdr>
        <w:top w:val="none" w:sz="0" w:space="0" w:color="auto"/>
        <w:left w:val="none" w:sz="0" w:space="0" w:color="auto"/>
        <w:bottom w:val="none" w:sz="0" w:space="0" w:color="auto"/>
        <w:right w:val="none" w:sz="0" w:space="0" w:color="auto"/>
      </w:divBdr>
      <w:divsChild>
        <w:div w:id="1713769094">
          <w:marLeft w:val="0"/>
          <w:marRight w:val="0"/>
          <w:marTop w:val="0"/>
          <w:marBottom w:val="0"/>
          <w:divBdr>
            <w:top w:val="none" w:sz="0" w:space="0" w:color="auto"/>
            <w:left w:val="none" w:sz="0" w:space="0" w:color="auto"/>
            <w:bottom w:val="none" w:sz="0" w:space="0" w:color="auto"/>
            <w:right w:val="none" w:sz="0" w:space="0" w:color="auto"/>
          </w:divBdr>
        </w:div>
        <w:div w:id="1232235451">
          <w:marLeft w:val="0"/>
          <w:marRight w:val="0"/>
          <w:marTop w:val="0"/>
          <w:marBottom w:val="0"/>
          <w:divBdr>
            <w:top w:val="none" w:sz="0" w:space="0" w:color="auto"/>
            <w:left w:val="none" w:sz="0" w:space="0" w:color="auto"/>
            <w:bottom w:val="none" w:sz="0" w:space="0" w:color="auto"/>
            <w:right w:val="none" w:sz="0" w:space="0" w:color="auto"/>
          </w:divBdr>
        </w:div>
        <w:div w:id="245848893">
          <w:marLeft w:val="0"/>
          <w:marRight w:val="0"/>
          <w:marTop w:val="0"/>
          <w:marBottom w:val="0"/>
          <w:divBdr>
            <w:top w:val="none" w:sz="0" w:space="0" w:color="auto"/>
            <w:left w:val="none" w:sz="0" w:space="0" w:color="auto"/>
            <w:bottom w:val="none" w:sz="0" w:space="0" w:color="auto"/>
            <w:right w:val="none" w:sz="0" w:space="0" w:color="auto"/>
          </w:divBdr>
        </w:div>
      </w:divsChild>
    </w:div>
    <w:div w:id="1338312350">
      <w:bodyDiv w:val="1"/>
      <w:marLeft w:val="0"/>
      <w:marRight w:val="0"/>
      <w:marTop w:val="0"/>
      <w:marBottom w:val="0"/>
      <w:divBdr>
        <w:top w:val="none" w:sz="0" w:space="0" w:color="auto"/>
        <w:left w:val="none" w:sz="0" w:space="0" w:color="auto"/>
        <w:bottom w:val="none" w:sz="0" w:space="0" w:color="auto"/>
        <w:right w:val="none" w:sz="0" w:space="0" w:color="auto"/>
      </w:divBdr>
    </w:div>
    <w:div w:id="1361007445">
      <w:bodyDiv w:val="1"/>
      <w:marLeft w:val="0"/>
      <w:marRight w:val="0"/>
      <w:marTop w:val="0"/>
      <w:marBottom w:val="0"/>
      <w:divBdr>
        <w:top w:val="none" w:sz="0" w:space="0" w:color="auto"/>
        <w:left w:val="none" w:sz="0" w:space="0" w:color="auto"/>
        <w:bottom w:val="none" w:sz="0" w:space="0" w:color="auto"/>
        <w:right w:val="none" w:sz="0" w:space="0" w:color="auto"/>
      </w:divBdr>
    </w:div>
    <w:div w:id="1363092697">
      <w:bodyDiv w:val="1"/>
      <w:marLeft w:val="0"/>
      <w:marRight w:val="0"/>
      <w:marTop w:val="0"/>
      <w:marBottom w:val="0"/>
      <w:divBdr>
        <w:top w:val="none" w:sz="0" w:space="0" w:color="auto"/>
        <w:left w:val="none" w:sz="0" w:space="0" w:color="auto"/>
        <w:bottom w:val="none" w:sz="0" w:space="0" w:color="auto"/>
        <w:right w:val="none" w:sz="0" w:space="0" w:color="auto"/>
      </w:divBdr>
    </w:div>
    <w:div w:id="1386103988">
      <w:bodyDiv w:val="1"/>
      <w:marLeft w:val="0"/>
      <w:marRight w:val="0"/>
      <w:marTop w:val="0"/>
      <w:marBottom w:val="0"/>
      <w:divBdr>
        <w:top w:val="none" w:sz="0" w:space="0" w:color="auto"/>
        <w:left w:val="none" w:sz="0" w:space="0" w:color="auto"/>
        <w:bottom w:val="none" w:sz="0" w:space="0" w:color="auto"/>
        <w:right w:val="none" w:sz="0" w:space="0" w:color="auto"/>
      </w:divBdr>
    </w:div>
    <w:div w:id="1389845548">
      <w:bodyDiv w:val="1"/>
      <w:marLeft w:val="0"/>
      <w:marRight w:val="0"/>
      <w:marTop w:val="0"/>
      <w:marBottom w:val="0"/>
      <w:divBdr>
        <w:top w:val="none" w:sz="0" w:space="0" w:color="auto"/>
        <w:left w:val="none" w:sz="0" w:space="0" w:color="auto"/>
        <w:bottom w:val="none" w:sz="0" w:space="0" w:color="auto"/>
        <w:right w:val="none" w:sz="0" w:space="0" w:color="auto"/>
      </w:divBdr>
    </w:div>
    <w:div w:id="1398671727">
      <w:marLeft w:val="0"/>
      <w:marRight w:val="0"/>
      <w:marTop w:val="0"/>
      <w:marBottom w:val="0"/>
      <w:divBdr>
        <w:top w:val="none" w:sz="0" w:space="0" w:color="auto"/>
        <w:left w:val="none" w:sz="0" w:space="0" w:color="auto"/>
        <w:bottom w:val="none" w:sz="0" w:space="0" w:color="auto"/>
        <w:right w:val="none" w:sz="0" w:space="0" w:color="auto"/>
      </w:divBdr>
    </w:div>
    <w:div w:id="1398671728">
      <w:marLeft w:val="0"/>
      <w:marRight w:val="0"/>
      <w:marTop w:val="0"/>
      <w:marBottom w:val="0"/>
      <w:divBdr>
        <w:top w:val="none" w:sz="0" w:space="0" w:color="auto"/>
        <w:left w:val="none" w:sz="0" w:space="0" w:color="auto"/>
        <w:bottom w:val="none" w:sz="0" w:space="0" w:color="auto"/>
        <w:right w:val="none" w:sz="0" w:space="0" w:color="auto"/>
      </w:divBdr>
    </w:div>
    <w:div w:id="1398671729">
      <w:marLeft w:val="0"/>
      <w:marRight w:val="0"/>
      <w:marTop w:val="0"/>
      <w:marBottom w:val="0"/>
      <w:divBdr>
        <w:top w:val="none" w:sz="0" w:space="0" w:color="auto"/>
        <w:left w:val="none" w:sz="0" w:space="0" w:color="auto"/>
        <w:bottom w:val="none" w:sz="0" w:space="0" w:color="auto"/>
        <w:right w:val="none" w:sz="0" w:space="0" w:color="auto"/>
      </w:divBdr>
    </w:div>
    <w:div w:id="1398671730">
      <w:marLeft w:val="0"/>
      <w:marRight w:val="0"/>
      <w:marTop w:val="0"/>
      <w:marBottom w:val="0"/>
      <w:divBdr>
        <w:top w:val="none" w:sz="0" w:space="0" w:color="auto"/>
        <w:left w:val="none" w:sz="0" w:space="0" w:color="auto"/>
        <w:bottom w:val="none" w:sz="0" w:space="0" w:color="auto"/>
        <w:right w:val="none" w:sz="0" w:space="0" w:color="auto"/>
      </w:divBdr>
    </w:div>
    <w:div w:id="1398671731">
      <w:marLeft w:val="0"/>
      <w:marRight w:val="0"/>
      <w:marTop w:val="0"/>
      <w:marBottom w:val="0"/>
      <w:divBdr>
        <w:top w:val="none" w:sz="0" w:space="0" w:color="auto"/>
        <w:left w:val="none" w:sz="0" w:space="0" w:color="auto"/>
        <w:bottom w:val="none" w:sz="0" w:space="0" w:color="auto"/>
        <w:right w:val="none" w:sz="0" w:space="0" w:color="auto"/>
      </w:divBdr>
    </w:div>
    <w:div w:id="1398671732">
      <w:marLeft w:val="0"/>
      <w:marRight w:val="0"/>
      <w:marTop w:val="0"/>
      <w:marBottom w:val="0"/>
      <w:divBdr>
        <w:top w:val="none" w:sz="0" w:space="0" w:color="auto"/>
        <w:left w:val="none" w:sz="0" w:space="0" w:color="auto"/>
        <w:bottom w:val="none" w:sz="0" w:space="0" w:color="auto"/>
        <w:right w:val="none" w:sz="0" w:space="0" w:color="auto"/>
      </w:divBdr>
    </w:div>
    <w:div w:id="1398671733">
      <w:marLeft w:val="0"/>
      <w:marRight w:val="0"/>
      <w:marTop w:val="0"/>
      <w:marBottom w:val="0"/>
      <w:divBdr>
        <w:top w:val="none" w:sz="0" w:space="0" w:color="auto"/>
        <w:left w:val="none" w:sz="0" w:space="0" w:color="auto"/>
        <w:bottom w:val="none" w:sz="0" w:space="0" w:color="auto"/>
        <w:right w:val="none" w:sz="0" w:space="0" w:color="auto"/>
      </w:divBdr>
    </w:div>
    <w:div w:id="1398671734">
      <w:marLeft w:val="0"/>
      <w:marRight w:val="0"/>
      <w:marTop w:val="0"/>
      <w:marBottom w:val="0"/>
      <w:divBdr>
        <w:top w:val="none" w:sz="0" w:space="0" w:color="auto"/>
        <w:left w:val="none" w:sz="0" w:space="0" w:color="auto"/>
        <w:bottom w:val="none" w:sz="0" w:space="0" w:color="auto"/>
        <w:right w:val="none" w:sz="0" w:space="0" w:color="auto"/>
      </w:divBdr>
    </w:div>
    <w:div w:id="1398671735">
      <w:marLeft w:val="0"/>
      <w:marRight w:val="0"/>
      <w:marTop w:val="0"/>
      <w:marBottom w:val="0"/>
      <w:divBdr>
        <w:top w:val="none" w:sz="0" w:space="0" w:color="auto"/>
        <w:left w:val="none" w:sz="0" w:space="0" w:color="auto"/>
        <w:bottom w:val="none" w:sz="0" w:space="0" w:color="auto"/>
        <w:right w:val="none" w:sz="0" w:space="0" w:color="auto"/>
      </w:divBdr>
    </w:div>
    <w:div w:id="1398671736">
      <w:marLeft w:val="0"/>
      <w:marRight w:val="0"/>
      <w:marTop w:val="0"/>
      <w:marBottom w:val="0"/>
      <w:divBdr>
        <w:top w:val="none" w:sz="0" w:space="0" w:color="auto"/>
        <w:left w:val="none" w:sz="0" w:space="0" w:color="auto"/>
        <w:bottom w:val="none" w:sz="0" w:space="0" w:color="auto"/>
        <w:right w:val="none" w:sz="0" w:space="0" w:color="auto"/>
      </w:divBdr>
    </w:div>
    <w:div w:id="1398671737">
      <w:marLeft w:val="0"/>
      <w:marRight w:val="0"/>
      <w:marTop w:val="0"/>
      <w:marBottom w:val="0"/>
      <w:divBdr>
        <w:top w:val="none" w:sz="0" w:space="0" w:color="auto"/>
        <w:left w:val="none" w:sz="0" w:space="0" w:color="auto"/>
        <w:bottom w:val="none" w:sz="0" w:space="0" w:color="auto"/>
        <w:right w:val="none" w:sz="0" w:space="0" w:color="auto"/>
      </w:divBdr>
    </w:div>
    <w:div w:id="1398671738">
      <w:marLeft w:val="0"/>
      <w:marRight w:val="0"/>
      <w:marTop w:val="0"/>
      <w:marBottom w:val="0"/>
      <w:divBdr>
        <w:top w:val="none" w:sz="0" w:space="0" w:color="auto"/>
        <w:left w:val="none" w:sz="0" w:space="0" w:color="auto"/>
        <w:bottom w:val="none" w:sz="0" w:space="0" w:color="auto"/>
        <w:right w:val="none" w:sz="0" w:space="0" w:color="auto"/>
      </w:divBdr>
    </w:div>
    <w:div w:id="1398671739">
      <w:marLeft w:val="0"/>
      <w:marRight w:val="0"/>
      <w:marTop w:val="0"/>
      <w:marBottom w:val="0"/>
      <w:divBdr>
        <w:top w:val="none" w:sz="0" w:space="0" w:color="auto"/>
        <w:left w:val="none" w:sz="0" w:space="0" w:color="auto"/>
        <w:bottom w:val="none" w:sz="0" w:space="0" w:color="auto"/>
        <w:right w:val="none" w:sz="0" w:space="0" w:color="auto"/>
      </w:divBdr>
    </w:div>
    <w:div w:id="1398671740">
      <w:marLeft w:val="0"/>
      <w:marRight w:val="0"/>
      <w:marTop w:val="0"/>
      <w:marBottom w:val="0"/>
      <w:divBdr>
        <w:top w:val="none" w:sz="0" w:space="0" w:color="auto"/>
        <w:left w:val="none" w:sz="0" w:space="0" w:color="auto"/>
        <w:bottom w:val="none" w:sz="0" w:space="0" w:color="auto"/>
        <w:right w:val="none" w:sz="0" w:space="0" w:color="auto"/>
      </w:divBdr>
    </w:div>
    <w:div w:id="1398671741">
      <w:marLeft w:val="0"/>
      <w:marRight w:val="0"/>
      <w:marTop w:val="0"/>
      <w:marBottom w:val="0"/>
      <w:divBdr>
        <w:top w:val="none" w:sz="0" w:space="0" w:color="auto"/>
        <w:left w:val="none" w:sz="0" w:space="0" w:color="auto"/>
        <w:bottom w:val="none" w:sz="0" w:space="0" w:color="auto"/>
        <w:right w:val="none" w:sz="0" w:space="0" w:color="auto"/>
      </w:divBdr>
    </w:div>
    <w:div w:id="1398671742">
      <w:marLeft w:val="0"/>
      <w:marRight w:val="0"/>
      <w:marTop w:val="0"/>
      <w:marBottom w:val="0"/>
      <w:divBdr>
        <w:top w:val="none" w:sz="0" w:space="0" w:color="auto"/>
        <w:left w:val="none" w:sz="0" w:space="0" w:color="auto"/>
        <w:bottom w:val="none" w:sz="0" w:space="0" w:color="auto"/>
        <w:right w:val="none" w:sz="0" w:space="0" w:color="auto"/>
      </w:divBdr>
    </w:div>
    <w:div w:id="1398671743">
      <w:marLeft w:val="0"/>
      <w:marRight w:val="0"/>
      <w:marTop w:val="0"/>
      <w:marBottom w:val="0"/>
      <w:divBdr>
        <w:top w:val="none" w:sz="0" w:space="0" w:color="auto"/>
        <w:left w:val="none" w:sz="0" w:space="0" w:color="auto"/>
        <w:bottom w:val="none" w:sz="0" w:space="0" w:color="auto"/>
        <w:right w:val="none" w:sz="0" w:space="0" w:color="auto"/>
      </w:divBdr>
    </w:div>
    <w:div w:id="1398671744">
      <w:marLeft w:val="0"/>
      <w:marRight w:val="0"/>
      <w:marTop w:val="0"/>
      <w:marBottom w:val="0"/>
      <w:divBdr>
        <w:top w:val="none" w:sz="0" w:space="0" w:color="auto"/>
        <w:left w:val="none" w:sz="0" w:space="0" w:color="auto"/>
        <w:bottom w:val="none" w:sz="0" w:space="0" w:color="auto"/>
        <w:right w:val="none" w:sz="0" w:space="0" w:color="auto"/>
      </w:divBdr>
    </w:div>
    <w:div w:id="1398671745">
      <w:marLeft w:val="0"/>
      <w:marRight w:val="0"/>
      <w:marTop w:val="0"/>
      <w:marBottom w:val="0"/>
      <w:divBdr>
        <w:top w:val="none" w:sz="0" w:space="0" w:color="auto"/>
        <w:left w:val="none" w:sz="0" w:space="0" w:color="auto"/>
        <w:bottom w:val="none" w:sz="0" w:space="0" w:color="auto"/>
        <w:right w:val="none" w:sz="0" w:space="0" w:color="auto"/>
      </w:divBdr>
    </w:div>
    <w:div w:id="1398671746">
      <w:marLeft w:val="0"/>
      <w:marRight w:val="0"/>
      <w:marTop w:val="0"/>
      <w:marBottom w:val="0"/>
      <w:divBdr>
        <w:top w:val="none" w:sz="0" w:space="0" w:color="auto"/>
        <w:left w:val="none" w:sz="0" w:space="0" w:color="auto"/>
        <w:bottom w:val="none" w:sz="0" w:space="0" w:color="auto"/>
        <w:right w:val="none" w:sz="0" w:space="0" w:color="auto"/>
      </w:divBdr>
    </w:div>
    <w:div w:id="1398671747">
      <w:marLeft w:val="0"/>
      <w:marRight w:val="0"/>
      <w:marTop w:val="0"/>
      <w:marBottom w:val="0"/>
      <w:divBdr>
        <w:top w:val="none" w:sz="0" w:space="0" w:color="auto"/>
        <w:left w:val="none" w:sz="0" w:space="0" w:color="auto"/>
        <w:bottom w:val="none" w:sz="0" w:space="0" w:color="auto"/>
        <w:right w:val="none" w:sz="0" w:space="0" w:color="auto"/>
      </w:divBdr>
    </w:div>
    <w:div w:id="1398671748">
      <w:marLeft w:val="0"/>
      <w:marRight w:val="0"/>
      <w:marTop w:val="0"/>
      <w:marBottom w:val="0"/>
      <w:divBdr>
        <w:top w:val="none" w:sz="0" w:space="0" w:color="auto"/>
        <w:left w:val="none" w:sz="0" w:space="0" w:color="auto"/>
        <w:bottom w:val="none" w:sz="0" w:space="0" w:color="auto"/>
        <w:right w:val="none" w:sz="0" w:space="0" w:color="auto"/>
      </w:divBdr>
    </w:div>
    <w:div w:id="1398671749">
      <w:marLeft w:val="0"/>
      <w:marRight w:val="0"/>
      <w:marTop w:val="0"/>
      <w:marBottom w:val="0"/>
      <w:divBdr>
        <w:top w:val="none" w:sz="0" w:space="0" w:color="auto"/>
        <w:left w:val="none" w:sz="0" w:space="0" w:color="auto"/>
        <w:bottom w:val="none" w:sz="0" w:space="0" w:color="auto"/>
        <w:right w:val="none" w:sz="0" w:space="0" w:color="auto"/>
      </w:divBdr>
    </w:div>
    <w:div w:id="1398671750">
      <w:marLeft w:val="0"/>
      <w:marRight w:val="0"/>
      <w:marTop w:val="0"/>
      <w:marBottom w:val="0"/>
      <w:divBdr>
        <w:top w:val="none" w:sz="0" w:space="0" w:color="auto"/>
        <w:left w:val="none" w:sz="0" w:space="0" w:color="auto"/>
        <w:bottom w:val="none" w:sz="0" w:space="0" w:color="auto"/>
        <w:right w:val="none" w:sz="0" w:space="0" w:color="auto"/>
      </w:divBdr>
    </w:div>
    <w:div w:id="1398671751">
      <w:marLeft w:val="0"/>
      <w:marRight w:val="0"/>
      <w:marTop w:val="0"/>
      <w:marBottom w:val="0"/>
      <w:divBdr>
        <w:top w:val="none" w:sz="0" w:space="0" w:color="auto"/>
        <w:left w:val="none" w:sz="0" w:space="0" w:color="auto"/>
        <w:bottom w:val="none" w:sz="0" w:space="0" w:color="auto"/>
        <w:right w:val="none" w:sz="0" w:space="0" w:color="auto"/>
      </w:divBdr>
    </w:div>
    <w:div w:id="1398671752">
      <w:marLeft w:val="0"/>
      <w:marRight w:val="0"/>
      <w:marTop w:val="0"/>
      <w:marBottom w:val="0"/>
      <w:divBdr>
        <w:top w:val="none" w:sz="0" w:space="0" w:color="auto"/>
        <w:left w:val="none" w:sz="0" w:space="0" w:color="auto"/>
        <w:bottom w:val="none" w:sz="0" w:space="0" w:color="auto"/>
        <w:right w:val="none" w:sz="0" w:space="0" w:color="auto"/>
      </w:divBdr>
    </w:div>
    <w:div w:id="1398671753">
      <w:marLeft w:val="0"/>
      <w:marRight w:val="0"/>
      <w:marTop w:val="0"/>
      <w:marBottom w:val="0"/>
      <w:divBdr>
        <w:top w:val="none" w:sz="0" w:space="0" w:color="auto"/>
        <w:left w:val="none" w:sz="0" w:space="0" w:color="auto"/>
        <w:bottom w:val="none" w:sz="0" w:space="0" w:color="auto"/>
        <w:right w:val="none" w:sz="0" w:space="0" w:color="auto"/>
      </w:divBdr>
    </w:div>
    <w:div w:id="1398671754">
      <w:marLeft w:val="0"/>
      <w:marRight w:val="0"/>
      <w:marTop w:val="0"/>
      <w:marBottom w:val="0"/>
      <w:divBdr>
        <w:top w:val="none" w:sz="0" w:space="0" w:color="auto"/>
        <w:left w:val="none" w:sz="0" w:space="0" w:color="auto"/>
        <w:bottom w:val="none" w:sz="0" w:space="0" w:color="auto"/>
        <w:right w:val="none" w:sz="0" w:space="0" w:color="auto"/>
      </w:divBdr>
    </w:div>
    <w:div w:id="1408844529">
      <w:bodyDiv w:val="1"/>
      <w:marLeft w:val="0"/>
      <w:marRight w:val="0"/>
      <w:marTop w:val="0"/>
      <w:marBottom w:val="0"/>
      <w:divBdr>
        <w:top w:val="none" w:sz="0" w:space="0" w:color="auto"/>
        <w:left w:val="none" w:sz="0" w:space="0" w:color="auto"/>
        <w:bottom w:val="none" w:sz="0" w:space="0" w:color="auto"/>
        <w:right w:val="none" w:sz="0" w:space="0" w:color="auto"/>
      </w:divBdr>
      <w:divsChild>
        <w:div w:id="1295719715">
          <w:marLeft w:val="0"/>
          <w:marRight w:val="0"/>
          <w:marTop w:val="0"/>
          <w:marBottom w:val="0"/>
          <w:divBdr>
            <w:top w:val="none" w:sz="0" w:space="0" w:color="auto"/>
            <w:left w:val="none" w:sz="0" w:space="0" w:color="auto"/>
            <w:bottom w:val="none" w:sz="0" w:space="0" w:color="auto"/>
            <w:right w:val="none" w:sz="0" w:space="0" w:color="auto"/>
          </w:divBdr>
        </w:div>
        <w:div w:id="1768962825">
          <w:marLeft w:val="0"/>
          <w:marRight w:val="0"/>
          <w:marTop w:val="0"/>
          <w:marBottom w:val="0"/>
          <w:divBdr>
            <w:top w:val="none" w:sz="0" w:space="0" w:color="auto"/>
            <w:left w:val="none" w:sz="0" w:space="0" w:color="auto"/>
            <w:bottom w:val="none" w:sz="0" w:space="0" w:color="auto"/>
            <w:right w:val="none" w:sz="0" w:space="0" w:color="auto"/>
          </w:divBdr>
        </w:div>
      </w:divsChild>
    </w:div>
    <w:div w:id="1415006096">
      <w:bodyDiv w:val="1"/>
      <w:marLeft w:val="0"/>
      <w:marRight w:val="0"/>
      <w:marTop w:val="0"/>
      <w:marBottom w:val="0"/>
      <w:divBdr>
        <w:top w:val="none" w:sz="0" w:space="0" w:color="auto"/>
        <w:left w:val="none" w:sz="0" w:space="0" w:color="auto"/>
        <w:bottom w:val="none" w:sz="0" w:space="0" w:color="auto"/>
        <w:right w:val="none" w:sz="0" w:space="0" w:color="auto"/>
      </w:divBdr>
      <w:divsChild>
        <w:div w:id="371148287">
          <w:marLeft w:val="0"/>
          <w:marRight w:val="0"/>
          <w:marTop w:val="0"/>
          <w:marBottom w:val="0"/>
          <w:divBdr>
            <w:top w:val="none" w:sz="0" w:space="0" w:color="auto"/>
            <w:left w:val="none" w:sz="0" w:space="0" w:color="auto"/>
            <w:bottom w:val="none" w:sz="0" w:space="0" w:color="auto"/>
            <w:right w:val="none" w:sz="0" w:space="0" w:color="auto"/>
          </w:divBdr>
        </w:div>
        <w:div w:id="1454979165">
          <w:marLeft w:val="0"/>
          <w:marRight w:val="0"/>
          <w:marTop w:val="0"/>
          <w:marBottom w:val="0"/>
          <w:divBdr>
            <w:top w:val="none" w:sz="0" w:space="0" w:color="auto"/>
            <w:left w:val="none" w:sz="0" w:space="0" w:color="auto"/>
            <w:bottom w:val="none" w:sz="0" w:space="0" w:color="auto"/>
            <w:right w:val="none" w:sz="0" w:space="0" w:color="auto"/>
          </w:divBdr>
        </w:div>
      </w:divsChild>
    </w:div>
    <w:div w:id="1432774632">
      <w:bodyDiv w:val="1"/>
      <w:marLeft w:val="0"/>
      <w:marRight w:val="0"/>
      <w:marTop w:val="0"/>
      <w:marBottom w:val="0"/>
      <w:divBdr>
        <w:top w:val="none" w:sz="0" w:space="0" w:color="auto"/>
        <w:left w:val="none" w:sz="0" w:space="0" w:color="auto"/>
        <w:bottom w:val="none" w:sz="0" w:space="0" w:color="auto"/>
        <w:right w:val="none" w:sz="0" w:space="0" w:color="auto"/>
      </w:divBdr>
      <w:divsChild>
        <w:div w:id="1172259668">
          <w:marLeft w:val="0"/>
          <w:marRight w:val="0"/>
          <w:marTop w:val="0"/>
          <w:marBottom w:val="0"/>
          <w:divBdr>
            <w:top w:val="none" w:sz="0" w:space="0" w:color="auto"/>
            <w:left w:val="none" w:sz="0" w:space="0" w:color="auto"/>
            <w:bottom w:val="none" w:sz="0" w:space="0" w:color="auto"/>
            <w:right w:val="none" w:sz="0" w:space="0" w:color="auto"/>
          </w:divBdr>
        </w:div>
        <w:div w:id="224032967">
          <w:marLeft w:val="0"/>
          <w:marRight w:val="0"/>
          <w:marTop w:val="0"/>
          <w:marBottom w:val="0"/>
          <w:divBdr>
            <w:top w:val="none" w:sz="0" w:space="0" w:color="auto"/>
            <w:left w:val="none" w:sz="0" w:space="0" w:color="auto"/>
            <w:bottom w:val="none" w:sz="0" w:space="0" w:color="auto"/>
            <w:right w:val="none" w:sz="0" w:space="0" w:color="auto"/>
          </w:divBdr>
        </w:div>
        <w:div w:id="229657467">
          <w:marLeft w:val="0"/>
          <w:marRight w:val="0"/>
          <w:marTop w:val="0"/>
          <w:marBottom w:val="0"/>
          <w:divBdr>
            <w:top w:val="none" w:sz="0" w:space="0" w:color="auto"/>
            <w:left w:val="none" w:sz="0" w:space="0" w:color="auto"/>
            <w:bottom w:val="none" w:sz="0" w:space="0" w:color="auto"/>
            <w:right w:val="none" w:sz="0" w:space="0" w:color="auto"/>
          </w:divBdr>
        </w:div>
      </w:divsChild>
    </w:div>
    <w:div w:id="1442652051">
      <w:bodyDiv w:val="1"/>
      <w:marLeft w:val="0"/>
      <w:marRight w:val="0"/>
      <w:marTop w:val="0"/>
      <w:marBottom w:val="0"/>
      <w:divBdr>
        <w:top w:val="none" w:sz="0" w:space="0" w:color="auto"/>
        <w:left w:val="none" w:sz="0" w:space="0" w:color="auto"/>
        <w:bottom w:val="none" w:sz="0" w:space="0" w:color="auto"/>
        <w:right w:val="none" w:sz="0" w:space="0" w:color="auto"/>
      </w:divBdr>
    </w:div>
    <w:div w:id="1474564293">
      <w:bodyDiv w:val="1"/>
      <w:marLeft w:val="0"/>
      <w:marRight w:val="0"/>
      <w:marTop w:val="0"/>
      <w:marBottom w:val="0"/>
      <w:divBdr>
        <w:top w:val="none" w:sz="0" w:space="0" w:color="auto"/>
        <w:left w:val="none" w:sz="0" w:space="0" w:color="auto"/>
        <w:bottom w:val="none" w:sz="0" w:space="0" w:color="auto"/>
        <w:right w:val="none" w:sz="0" w:space="0" w:color="auto"/>
      </w:divBdr>
    </w:div>
    <w:div w:id="1536650583">
      <w:bodyDiv w:val="1"/>
      <w:marLeft w:val="0"/>
      <w:marRight w:val="0"/>
      <w:marTop w:val="0"/>
      <w:marBottom w:val="0"/>
      <w:divBdr>
        <w:top w:val="none" w:sz="0" w:space="0" w:color="auto"/>
        <w:left w:val="none" w:sz="0" w:space="0" w:color="auto"/>
        <w:bottom w:val="none" w:sz="0" w:space="0" w:color="auto"/>
        <w:right w:val="none" w:sz="0" w:space="0" w:color="auto"/>
      </w:divBdr>
    </w:div>
    <w:div w:id="1549491569">
      <w:bodyDiv w:val="1"/>
      <w:marLeft w:val="0"/>
      <w:marRight w:val="0"/>
      <w:marTop w:val="0"/>
      <w:marBottom w:val="0"/>
      <w:divBdr>
        <w:top w:val="none" w:sz="0" w:space="0" w:color="auto"/>
        <w:left w:val="none" w:sz="0" w:space="0" w:color="auto"/>
        <w:bottom w:val="none" w:sz="0" w:space="0" w:color="auto"/>
        <w:right w:val="none" w:sz="0" w:space="0" w:color="auto"/>
      </w:divBdr>
      <w:divsChild>
        <w:div w:id="1097405158">
          <w:marLeft w:val="0"/>
          <w:marRight w:val="0"/>
          <w:marTop w:val="0"/>
          <w:marBottom w:val="0"/>
          <w:divBdr>
            <w:top w:val="none" w:sz="0" w:space="0" w:color="auto"/>
            <w:left w:val="none" w:sz="0" w:space="0" w:color="auto"/>
            <w:bottom w:val="none" w:sz="0" w:space="0" w:color="auto"/>
            <w:right w:val="none" w:sz="0" w:space="0" w:color="auto"/>
          </w:divBdr>
        </w:div>
        <w:div w:id="305820453">
          <w:marLeft w:val="0"/>
          <w:marRight w:val="0"/>
          <w:marTop w:val="0"/>
          <w:marBottom w:val="0"/>
          <w:divBdr>
            <w:top w:val="none" w:sz="0" w:space="0" w:color="auto"/>
            <w:left w:val="none" w:sz="0" w:space="0" w:color="auto"/>
            <w:bottom w:val="none" w:sz="0" w:space="0" w:color="auto"/>
            <w:right w:val="none" w:sz="0" w:space="0" w:color="auto"/>
          </w:divBdr>
        </w:div>
        <w:div w:id="1773625793">
          <w:marLeft w:val="0"/>
          <w:marRight w:val="0"/>
          <w:marTop w:val="0"/>
          <w:marBottom w:val="0"/>
          <w:divBdr>
            <w:top w:val="none" w:sz="0" w:space="0" w:color="auto"/>
            <w:left w:val="none" w:sz="0" w:space="0" w:color="auto"/>
            <w:bottom w:val="none" w:sz="0" w:space="0" w:color="auto"/>
            <w:right w:val="none" w:sz="0" w:space="0" w:color="auto"/>
          </w:divBdr>
        </w:div>
      </w:divsChild>
    </w:div>
    <w:div w:id="1564485354">
      <w:bodyDiv w:val="1"/>
      <w:marLeft w:val="0"/>
      <w:marRight w:val="0"/>
      <w:marTop w:val="0"/>
      <w:marBottom w:val="0"/>
      <w:divBdr>
        <w:top w:val="none" w:sz="0" w:space="0" w:color="auto"/>
        <w:left w:val="none" w:sz="0" w:space="0" w:color="auto"/>
        <w:bottom w:val="none" w:sz="0" w:space="0" w:color="auto"/>
        <w:right w:val="none" w:sz="0" w:space="0" w:color="auto"/>
      </w:divBdr>
    </w:div>
    <w:div w:id="1578199893">
      <w:bodyDiv w:val="1"/>
      <w:marLeft w:val="0"/>
      <w:marRight w:val="0"/>
      <w:marTop w:val="0"/>
      <w:marBottom w:val="0"/>
      <w:divBdr>
        <w:top w:val="none" w:sz="0" w:space="0" w:color="auto"/>
        <w:left w:val="none" w:sz="0" w:space="0" w:color="auto"/>
        <w:bottom w:val="none" w:sz="0" w:space="0" w:color="auto"/>
        <w:right w:val="none" w:sz="0" w:space="0" w:color="auto"/>
      </w:divBdr>
    </w:div>
    <w:div w:id="1606040761">
      <w:bodyDiv w:val="1"/>
      <w:marLeft w:val="0"/>
      <w:marRight w:val="0"/>
      <w:marTop w:val="0"/>
      <w:marBottom w:val="0"/>
      <w:divBdr>
        <w:top w:val="none" w:sz="0" w:space="0" w:color="auto"/>
        <w:left w:val="none" w:sz="0" w:space="0" w:color="auto"/>
        <w:bottom w:val="none" w:sz="0" w:space="0" w:color="auto"/>
        <w:right w:val="none" w:sz="0" w:space="0" w:color="auto"/>
      </w:divBdr>
    </w:div>
    <w:div w:id="1628857360">
      <w:bodyDiv w:val="1"/>
      <w:marLeft w:val="0"/>
      <w:marRight w:val="0"/>
      <w:marTop w:val="0"/>
      <w:marBottom w:val="0"/>
      <w:divBdr>
        <w:top w:val="none" w:sz="0" w:space="0" w:color="auto"/>
        <w:left w:val="none" w:sz="0" w:space="0" w:color="auto"/>
        <w:bottom w:val="none" w:sz="0" w:space="0" w:color="auto"/>
        <w:right w:val="none" w:sz="0" w:space="0" w:color="auto"/>
      </w:divBdr>
    </w:div>
    <w:div w:id="1654719549">
      <w:bodyDiv w:val="1"/>
      <w:marLeft w:val="0"/>
      <w:marRight w:val="0"/>
      <w:marTop w:val="0"/>
      <w:marBottom w:val="0"/>
      <w:divBdr>
        <w:top w:val="none" w:sz="0" w:space="0" w:color="auto"/>
        <w:left w:val="none" w:sz="0" w:space="0" w:color="auto"/>
        <w:bottom w:val="none" w:sz="0" w:space="0" w:color="auto"/>
        <w:right w:val="none" w:sz="0" w:space="0" w:color="auto"/>
      </w:divBdr>
    </w:div>
    <w:div w:id="1672558181">
      <w:bodyDiv w:val="1"/>
      <w:marLeft w:val="0"/>
      <w:marRight w:val="0"/>
      <w:marTop w:val="0"/>
      <w:marBottom w:val="0"/>
      <w:divBdr>
        <w:top w:val="none" w:sz="0" w:space="0" w:color="auto"/>
        <w:left w:val="none" w:sz="0" w:space="0" w:color="auto"/>
        <w:bottom w:val="none" w:sz="0" w:space="0" w:color="auto"/>
        <w:right w:val="none" w:sz="0" w:space="0" w:color="auto"/>
      </w:divBdr>
    </w:div>
    <w:div w:id="1679769660">
      <w:bodyDiv w:val="1"/>
      <w:marLeft w:val="0"/>
      <w:marRight w:val="0"/>
      <w:marTop w:val="0"/>
      <w:marBottom w:val="0"/>
      <w:divBdr>
        <w:top w:val="none" w:sz="0" w:space="0" w:color="auto"/>
        <w:left w:val="none" w:sz="0" w:space="0" w:color="auto"/>
        <w:bottom w:val="none" w:sz="0" w:space="0" w:color="auto"/>
        <w:right w:val="none" w:sz="0" w:space="0" w:color="auto"/>
      </w:divBdr>
    </w:div>
    <w:div w:id="1698383415">
      <w:bodyDiv w:val="1"/>
      <w:marLeft w:val="0"/>
      <w:marRight w:val="0"/>
      <w:marTop w:val="0"/>
      <w:marBottom w:val="0"/>
      <w:divBdr>
        <w:top w:val="none" w:sz="0" w:space="0" w:color="auto"/>
        <w:left w:val="none" w:sz="0" w:space="0" w:color="auto"/>
        <w:bottom w:val="none" w:sz="0" w:space="0" w:color="auto"/>
        <w:right w:val="none" w:sz="0" w:space="0" w:color="auto"/>
      </w:divBdr>
    </w:div>
    <w:div w:id="1740782636">
      <w:bodyDiv w:val="1"/>
      <w:marLeft w:val="0"/>
      <w:marRight w:val="0"/>
      <w:marTop w:val="0"/>
      <w:marBottom w:val="0"/>
      <w:divBdr>
        <w:top w:val="none" w:sz="0" w:space="0" w:color="auto"/>
        <w:left w:val="none" w:sz="0" w:space="0" w:color="auto"/>
        <w:bottom w:val="none" w:sz="0" w:space="0" w:color="auto"/>
        <w:right w:val="none" w:sz="0" w:space="0" w:color="auto"/>
      </w:divBdr>
    </w:div>
    <w:div w:id="1765108768">
      <w:bodyDiv w:val="1"/>
      <w:marLeft w:val="0"/>
      <w:marRight w:val="0"/>
      <w:marTop w:val="0"/>
      <w:marBottom w:val="0"/>
      <w:divBdr>
        <w:top w:val="none" w:sz="0" w:space="0" w:color="auto"/>
        <w:left w:val="none" w:sz="0" w:space="0" w:color="auto"/>
        <w:bottom w:val="none" w:sz="0" w:space="0" w:color="auto"/>
        <w:right w:val="none" w:sz="0" w:space="0" w:color="auto"/>
      </w:divBdr>
    </w:div>
    <w:div w:id="1771044981">
      <w:bodyDiv w:val="1"/>
      <w:marLeft w:val="0"/>
      <w:marRight w:val="0"/>
      <w:marTop w:val="0"/>
      <w:marBottom w:val="0"/>
      <w:divBdr>
        <w:top w:val="none" w:sz="0" w:space="0" w:color="auto"/>
        <w:left w:val="none" w:sz="0" w:space="0" w:color="auto"/>
        <w:bottom w:val="none" w:sz="0" w:space="0" w:color="auto"/>
        <w:right w:val="none" w:sz="0" w:space="0" w:color="auto"/>
      </w:divBdr>
      <w:divsChild>
        <w:div w:id="1591935390">
          <w:marLeft w:val="0"/>
          <w:marRight w:val="0"/>
          <w:marTop w:val="0"/>
          <w:marBottom w:val="0"/>
          <w:divBdr>
            <w:top w:val="none" w:sz="0" w:space="0" w:color="auto"/>
            <w:left w:val="none" w:sz="0" w:space="0" w:color="auto"/>
            <w:bottom w:val="none" w:sz="0" w:space="0" w:color="auto"/>
            <w:right w:val="none" w:sz="0" w:space="0" w:color="auto"/>
          </w:divBdr>
          <w:divsChild>
            <w:div w:id="1478256891">
              <w:marLeft w:val="0"/>
              <w:marRight w:val="0"/>
              <w:marTop w:val="0"/>
              <w:marBottom w:val="0"/>
              <w:divBdr>
                <w:top w:val="none" w:sz="0" w:space="0" w:color="auto"/>
                <w:left w:val="none" w:sz="0" w:space="0" w:color="auto"/>
                <w:bottom w:val="none" w:sz="0" w:space="0" w:color="auto"/>
                <w:right w:val="none" w:sz="0" w:space="0" w:color="auto"/>
              </w:divBdr>
            </w:div>
            <w:div w:id="96604384">
              <w:marLeft w:val="0"/>
              <w:marRight w:val="0"/>
              <w:marTop w:val="0"/>
              <w:marBottom w:val="0"/>
              <w:divBdr>
                <w:top w:val="none" w:sz="0" w:space="0" w:color="auto"/>
                <w:left w:val="none" w:sz="0" w:space="0" w:color="auto"/>
                <w:bottom w:val="none" w:sz="0" w:space="0" w:color="auto"/>
                <w:right w:val="none" w:sz="0" w:space="0" w:color="auto"/>
              </w:divBdr>
            </w:div>
          </w:divsChild>
        </w:div>
        <w:div w:id="393698473">
          <w:marLeft w:val="0"/>
          <w:marRight w:val="0"/>
          <w:marTop w:val="0"/>
          <w:marBottom w:val="0"/>
          <w:divBdr>
            <w:top w:val="none" w:sz="0" w:space="0" w:color="auto"/>
            <w:left w:val="none" w:sz="0" w:space="0" w:color="auto"/>
            <w:bottom w:val="none" w:sz="0" w:space="0" w:color="auto"/>
            <w:right w:val="none" w:sz="0" w:space="0" w:color="auto"/>
          </w:divBdr>
        </w:div>
      </w:divsChild>
    </w:div>
    <w:div w:id="1805539812">
      <w:bodyDiv w:val="1"/>
      <w:marLeft w:val="0"/>
      <w:marRight w:val="0"/>
      <w:marTop w:val="0"/>
      <w:marBottom w:val="0"/>
      <w:divBdr>
        <w:top w:val="none" w:sz="0" w:space="0" w:color="auto"/>
        <w:left w:val="none" w:sz="0" w:space="0" w:color="auto"/>
        <w:bottom w:val="none" w:sz="0" w:space="0" w:color="auto"/>
        <w:right w:val="none" w:sz="0" w:space="0" w:color="auto"/>
      </w:divBdr>
    </w:div>
    <w:div w:id="1808736792">
      <w:bodyDiv w:val="1"/>
      <w:marLeft w:val="0"/>
      <w:marRight w:val="0"/>
      <w:marTop w:val="0"/>
      <w:marBottom w:val="0"/>
      <w:divBdr>
        <w:top w:val="none" w:sz="0" w:space="0" w:color="auto"/>
        <w:left w:val="none" w:sz="0" w:space="0" w:color="auto"/>
        <w:bottom w:val="none" w:sz="0" w:space="0" w:color="auto"/>
        <w:right w:val="none" w:sz="0" w:space="0" w:color="auto"/>
      </w:divBdr>
      <w:divsChild>
        <w:div w:id="2121140894">
          <w:marLeft w:val="0"/>
          <w:marRight w:val="0"/>
          <w:marTop w:val="0"/>
          <w:marBottom w:val="0"/>
          <w:divBdr>
            <w:top w:val="none" w:sz="0" w:space="0" w:color="auto"/>
            <w:left w:val="none" w:sz="0" w:space="0" w:color="auto"/>
            <w:bottom w:val="none" w:sz="0" w:space="0" w:color="auto"/>
            <w:right w:val="none" w:sz="0" w:space="0" w:color="auto"/>
          </w:divBdr>
        </w:div>
        <w:div w:id="1768042381">
          <w:marLeft w:val="0"/>
          <w:marRight w:val="0"/>
          <w:marTop w:val="0"/>
          <w:marBottom w:val="0"/>
          <w:divBdr>
            <w:top w:val="none" w:sz="0" w:space="0" w:color="auto"/>
            <w:left w:val="none" w:sz="0" w:space="0" w:color="auto"/>
            <w:bottom w:val="none" w:sz="0" w:space="0" w:color="auto"/>
            <w:right w:val="none" w:sz="0" w:space="0" w:color="auto"/>
          </w:divBdr>
        </w:div>
        <w:div w:id="966202046">
          <w:marLeft w:val="0"/>
          <w:marRight w:val="0"/>
          <w:marTop w:val="0"/>
          <w:marBottom w:val="0"/>
          <w:divBdr>
            <w:top w:val="none" w:sz="0" w:space="0" w:color="auto"/>
            <w:left w:val="none" w:sz="0" w:space="0" w:color="auto"/>
            <w:bottom w:val="none" w:sz="0" w:space="0" w:color="auto"/>
            <w:right w:val="none" w:sz="0" w:space="0" w:color="auto"/>
          </w:divBdr>
        </w:div>
        <w:div w:id="80218572">
          <w:marLeft w:val="0"/>
          <w:marRight w:val="0"/>
          <w:marTop w:val="0"/>
          <w:marBottom w:val="0"/>
          <w:divBdr>
            <w:top w:val="none" w:sz="0" w:space="0" w:color="auto"/>
            <w:left w:val="none" w:sz="0" w:space="0" w:color="auto"/>
            <w:bottom w:val="none" w:sz="0" w:space="0" w:color="auto"/>
            <w:right w:val="none" w:sz="0" w:space="0" w:color="auto"/>
          </w:divBdr>
        </w:div>
        <w:div w:id="1489590107">
          <w:marLeft w:val="0"/>
          <w:marRight w:val="0"/>
          <w:marTop w:val="0"/>
          <w:marBottom w:val="0"/>
          <w:divBdr>
            <w:top w:val="none" w:sz="0" w:space="0" w:color="auto"/>
            <w:left w:val="none" w:sz="0" w:space="0" w:color="auto"/>
            <w:bottom w:val="none" w:sz="0" w:space="0" w:color="auto"/>
            <w:right w:val="none" w:sz="0" w:space="0" w:color="auto"/>
          </w:divBdr>
        </w:div>
        <w:div w:id="1334719497">
          <w:marLeft w:val="0"/>
          <w:marRight w:val="0"/>
          <w:marTop w:val="0"/>
          <w:marBottom w:val="0"/>
          <w:divBdr>
            <w:top w:val="none" w:sz="0" w:space="0" w:color="auto"/>
            <w:left w:val="none" w:sz="0" w:space="0" w:color="auto"/>
            <w:bottom w:val="none" w:sz="0" w:space="0" w:color="auto"/>
            <w:right w:val="none" w:sz="0" w:space="0" w:color="auto"/>
          </w:divBdr>
        </w:div>
        <w:div w:id="1179153398">
          <w:marLeft w:val="0"/>
          <w:marRight w:val="0"/>
          <w:marTop w:val="0"/>
          <w:marBottom w:val="0"/>
          <w:divBdr>
            <w:top w:val="none" w:sz="0" w:space="0" w:color="auto"/>
            <w:left w:val="none" w:sz="0" w:space="0" w:color="auto"/>
            <w:bottom w:val="none" w:sz="0" w:space="0" w:color="auto"/>
            <w:right w:val="none" w:sz="0" w:space="0" w:color="auto"/>
          </w:divBdr>
        </w:div>
        <w:div w:id="1086879838">
          <w:marLeft w:val="0"/>
          <w:marRight w:val="0"/>
          <w:marTop w:val="0"/>
          <w:marBottom w:val="0"/>
          <w:divBdr>
            <w:top w:val="none" w:sz="0" w:space="0" w:color="auto"/>
            <w:left w:val="none" w:sz="0" w:space="0" w:color="auto"/>
            <w:bottom w:val="none" w:sz="0" w:space="0" w:color="auto"/>
            <w:right w:val="none" w:sz="0" w:space="0" w:color="auto"/>
          </w:divBdr>
        </w:div>
        <w:div w:id="1608586285">
          <w:marLeft w:val="0"/>
          <w:marRight w:val="0"/>
          <w:marTop w:val="0"/>
          <w:marBottom w:val="0"/>
          <w:divBdr>
            <w:top w:val="none" w:sz="0" w:space="0" w:color="auto"/>
            <w:left w:val="none" w:sz="0" w:space="0" w:color="auto"/>
            <w:bottom w:val="none" w:sz="0" w:space="0" w:color="auto"/>
            <w:right w:val="none" w:sz="0" w:space="0" w:color="auto"/>
          </w:divBdr>
        </w:div>
        <w:div w:id="366301423">
          <w:marLeft w:val="0"/>
          <w:marRight w:val="0"/>
          <w:marTop w:val="0"/>
          <w:marBottom w:val="0"/>
          <w:divBdr>
            <w:top w:val="none" w:sz="0" w:space="0" w:color="auto"/>
            <w:left w:val="none" w:sz="0" w:space="0" w:color="auto"/>
            <w:bottom w:val="none" w:sz="0" w:space="0" w:color="auto"/>
            <w:right w:val="none" w:sz="0" w:space="0" w:color="auto"/>
          </w:divBdr>
        </w:div>
        <w:div w:id="332029424">
          <w:marLeft w:val="0"/>
          <w:marRight w:val="0"/>
          <w:marTop w:val="0"/>
          <w:marBottom w:val="0"/>
          <w:divBdr>
            <w:top w:val="none" w:sz="0" w:space="0" w:color="auto"/>
            <w:left w:val="none" w:sz="0" w:space="0" w:color="auto"/>
            <w:bottom w:val="none" w:sz="0" w:space="0" w:color="auto"/>
            <w:right w:val="none" w:sz="0" w:space="0" w:color="auto"/>
          </w:divBdr>
        </w:div>
      </w:divsChild>
    </w:div>
    <w:div w:id="1820922187">
      <w:bodyDiv w:val="1"/>
      <w:marLeft w:val="0"/>
      <w:marRight w:val="0"/>
      <w:marTop w:val="0"/>
      <w:marBottom w:val="0"/>
      <w:divBdr>
        <w:top w:val="none" w:sz="0" w:space="0" w:color="auto"/>
        <w:left w:val="none" w:sz="0" w:space="0" w:color="auto"/>
        <w:bottom w:val="none" w:sz="0" w:space="0" w:color="auto"/>
        <w:right w:val="none" w:sz="0" w:space="0" w:color="auto"/>
      </w:divBdr>
      <w:divsChild>
        <w:div w:id="260071487">
          <w:marLeft w:val="0"/>
          <w:marRight w:val="0"/>
          <w:marTop w:val="0"/>
          <w:marBottom w:val="0"/>
          <w:divBdr>
            <w:top w:val="none" w:sz="0" w:space="0" w:color="auto"/>
            <w:left w:val="none" w:sz="0" w:space="0" w:color="auto"/>
            <w:bottom w:val="none" w:sz="0" w:space="0" w:color="auto"/>
            <w:right w:val="none" w:sz="0" w:space="0" w:color="auto"/>
          </w:divBdr>
        </w:div>
      </w:divsChild>
    </w:div>
    <w:div w:id="1855067606">
      <w:bodyDiv w:val="1"/>
      <w:marLeft w:val="0"/>
      <w:marRight w:val="0"/>
      <w:marTop w:val="0"/>
      <w:marBottom w:val="0"/>
      <w:divBdr>
        <w:top w:val="none" w:sz="0" w:space="0" w:color="auto"/>
        <w:left w:val="none" w:sz="0" w:space="0" w:color="auto"/>
        <w:bottom w:val="none" w:sz="0" w:space="0" w:color="auto"/>
        <w:right w:val="none" w:sz="0" w:space="0" w:color="auto"/>
      </w:divBdr>
    </w:div>
    <w:div w:id="1877085171">
      <w:bodyDiv w:val="1"/>
      <w:marLeft w:val="0"/>
      <w:marRight w:val="0"/>
      <w:marTop w:val="0"/>
      <w:marBottom w:val="0"/>
      <w:divBdr>
        <w:top w:val="none" w:sz="0" w:space="0" w:color="auto"/>
        <w:left w:val="none" w:sz="0" w:space="0" w:color="auto"/>
        <w:bottom w:val="none" w:sz="0" w:space="0" w:color="auto"/>
        <w:right w:val="none" w:sz="0" w:space="0" w:color="auto"/>
      </w:divBdr>
    </w:div>
    <w:div w:id="1878543340">
      <w:bodyDiv w:val="1"/>
      <w:marLeft w:val="0"/>
      <w:marRight w:val="0"/>
      <w:marTop w:val="0"/>
      <w:marBottom w:val="0"/>
      <w:divBdr>
        <w:top w:val="none" w:sz="0" w:space="0" w:color="auto"/>
        <w:left w:val="none" w:sz="0" w:space="0" w:color="auto"/>
        <w:bottom w:val="none" w:sz="0" w:space="0" w:color="auto"/>
        <w:right w:val="none" w:sz="0" w:space="0" w:color="auto"/>
      </w:divBdr>
    </w:div>
    <w:div w:id="1882588948">
      <w:bodyDiv w:val="1"/>
      <w:marLeft w:val="0"/>
      <w:marRight w:val="0"/>
      <w:marTop w:val="0"/>
      <w:marBottom w:val="0"/>
      <w:divBdr>
        <w:top w:val="none" w:sz="0" w:space="0" w:color="auto"/>
        <w:left w:val="none" w:sz="0" w:space="0" w:color="auto"/>
        <w:bottom w:val="none" w:sz="0" w:space="0" w:color="auto"/>
        <w:right w:val="none" w:sz="0" w:space="0" w:color="auto"/>
      </w:divBdr>
      <w:divsChild>
        <w:div w:id="1641153196">
          <w:marLeft w:val="0"/>
          <w:marRight w:val="0"/>
          <w:marTop w:val="0"/>
          <w:marBottom w:val="0"/>
          <w:divBdr>
            <w:top w:val="none" w:sz="0" w:space="0" w:color="auto"/>
            <w:left w:val="none" w:sz="0" w:space="0" w:color="auto"/>
            <w:bottom w:val="none" w:sz="0" w:space="0" w:color="auto"/>
            <w:right w:val="none" w:sz="0" w:space="0" w:color="auto"/>
          </w:divBdr>
          <w:divsChild>
            <w:div w:id="501896309">
              <w:marLeft w:val="0"/>
              <w:marRight w:val="0"/>
              <w:marTop w:val="0"/>
              <w:marBottom w:val="0"/>
              <w:divBdr>
                <w:top w:val="none" w:sz="0" w:space="0" w:color="auto"/>
                <w:left w:val="none" w:sz="0" w:space="0" w:color="auto"/>
                <w:bottom w:val="none" w:sz="0" w:space="0" w:color="auto"/>
                <w:right w:val="none" w:sz="0" w:space="0" w:color="auto"/>
              </w:divBdr>
            </w:div>
            <w:div w:id="546256761">
              <w:marLeft w:val="0"/>
              <w:marRight w:val="0"/>
              <w:marTop w:val="0"/>
              <w:marBottom w:val="0"/>
              <w:divBdr>
                <w:top w:val="none" w:sz="0" w:space="0" w:color="auto"/>
                <w:left w:val="none" w:sz="0" w:space="0" w:color="auto"/>
                <w:bottom w:val="none" w:sz="0" w:space="0" w:color="auto"/>
                <w:right w:val="none" w:sz="0" w:space="0" w:color="auto"/>
              </w:divBdr>
            </w:div>
            <w:div w:id="839466428">
              <w:marLeft w:val="0"/>
              <w:marRight w:val="0"/>
              <w:marTop w:val="0"/>
              <w:marBottom w:val="0"/>
              <w:divBdr>
                <w:top w:val="none" w:sz="0" w:space="0" w:color="auto"/>
                <w:left w:val="none" w:sz="0" w:space="0" w:color="auto"/>
                <w:bottom w:val="none" w:sz="0" w:space="0" w:color="auto"/>
                <w:right w:val="none" w:sz="0" w:space="0" w:color="auto"/>
              </w:divBdr>
            </w:div>
          </w:divsChild>
        </w:div>
        <w:div w:id="108011428">
          <w:marLeft w:val="0"/>
          <w:marRight w:val="0"/>
          <w:marTop w:val="0"/>
          <w:marBottom w:val="0"/>
          <w:divBdr>
            <w:top w:val="none" w:sz="0" w:space="0" w:color="auto"/>
            <w:left w:val="none" w:sz="0" w:space="0" w:color="auto"/>
            <w:bottom w:val="none" w:sz="0" w:space="0" w:color="auto"/>
            <w:right w:val="none" w:sz="0" w:space="0" w:color="auto"/>
          </w:divBdr>
        </w:div>
      </w:divsChild>
    </w:div>
    <w:div w:id="1891840826">
      <w:bodyDiv w:val="1"/>
      <w:marLeft w:val="0"/>
      <w:marRight w:val="0"/>
      <w:marTop w:val="0"/>
      <w:marBottom w:val="0"/>
      <w:divBdr>
        <w:top w:val="none" w:sz="0" w:space="0" w:color="auto"/>
        <w:left w:val="none" w:sz="0" w:space="0" w:color="auto"/>
        <w:bottom w:val="none" w:sz="0" w:space="0" w:color="auto"/>
        <w:right w:val="none" w:sz="0" w:space="0" w:color="auto"/>
      </w:divBdr>
    </w:div>
    <w:div w:id="1900940769">
      <w:bodyDiv w:val="1"/>
      <w:marLeft w:val="0"/>
      <w:marRight w:val="0"/>
      <w:marTop w:val="0"/>
      <w:marBottom w:val="0"/>
      <w:divBdr>
        <w:top w:val="none" w:sz="0" w:space="0" w:color="auto"/>
        <w:left w:val="none" w:sz="0" w:space="0" w:color="auto"/>
        <w:bottom w:val="none" w:sz="0" w:space="0" w:color="auto"/>
        <w:right w:val="none" w:sz="0" w:space="0" w:color="auto"/>
      </w:divBdr>
    </w:div>
    <w:div w:id="1933051478">
      <w:bodyDiv w:val="1"/>
      <w:marLeft w:val="0"/>
      <w:marRight w:val="0"/>
      <w:marTop w:val="0"/>
      <w:marBottom w:val="0"/>
      <w:divBdr>
        <w:top w:val="none" w:sz="0" w:space="0" w:color="auto"/>
        <w:left w:val="none" w:sz="0" w:space="0" w:color="auto"/>
        <w:bottom w:val="none" w:sz="0" w:space="0" w:color="auto"/>
        <w:right w:val="none" w:sz="0" w:space="0" w:color="auto"/>
      </w:divBdr>
    </w:div>
    <w:div w:id="1941182501">
      <w:bodyDiv w:val="1"/>
      <w:marLeft w:val="0"/>
      <w:marRight w:val="0"/>
      <w:marTop w:val="0"/>
      <w:marBottom w:val="0"/>
      <w:divBdr>
        <w:top w:val="none" w:sz="0" w:space="0" w:color="auto"/>
        <w:left w:val="none" w:sz="0" w:space="0" w:color="auto"/>
        <w:bottom w:val="none" w:sz="0" w:space="0" w:color="auto"/>
        <w:right w:val="none" w:sz="0" w:space="0" w:color="auto"/>
      </w:divBdr>
      <w:divsChild>
        <w:div w:id="468863004">
          <w:marLeft w:val="0"/>
          <w:marRight w:val="0"/>
          <w:marTop w:val="0"/>
          <w:marBottom w:val="0"/>
          <w:divBdr>
            <w:top w:val="none" w:sz="0" w:space="0" w:color="auto"/>
            <w:left w:val="none" w:sz="0" w:space="0" w:color="auto"/>
            <w:bottom w:val="none" w:sz="0" w:space="0" w:color="auto"/>
            <w:right w:val="none" w:sz="0" w:space="0" w:color="auto"/>
          </w:divBdr>
          <w:divsChild>
            <w:div w:id="1127970736">
              <w:marLeft w:val="0"/>
              <w:marRight w:val="0"/>
              <w:marTop w:val="0"/>
              <w:marBottom w:val="0"/>
              <w:divBdr>
                <w:top w:val="none" w:sz="0" w:space="0" w:color="auto"/>
                <w:left w:val="none" w:sz="0" w:space="0" w:color="auto"/>
                <w:bottom w:val="none" w:sz="0" w:space="0" w:color="auto"/>
                <w:right w:val="none" w:sz="0" w:space="0" w:color="auto"/>
              </w:divBdr>
            </w:div>
            <w:div w:id="1079910186">
              <w:marLeft w:val="0"/>
              <w:marRight w:val="0"/>
              <w:marTop w:val="0"/>
              <w:marBottom w:val="0"/>
              <w:divBdr>
                <w:top w:val="none" w:sz="0" w:space="0" w:color="auto"/>
                <w:left w:val="none" w:sz="0" w:space="0" w:color="auto"/>
                <w:bottom w:val="none" w:sz="0" w:space="0" w:color="auto"/>
                <w:right w:val="none" w:sz="0" w:space="0" w:color="auto"/>
              </w:divBdr>
            </w:div>
            <w:div w:id="580797463">
              <w:marLeft w:val="0"/>
              <w:marRight w:val="0"/>
              <w:marTop w:val="0"/>
              <w:marBottom w:val="0"/>
              <w:divBdr>
                <w:top w:val="none" w:sz="0" w:space="0" w:color="auto"/>
                <w:left w:val="none" w:sz="0" w:space="0" w:color="auto"/>
                <w:bottom w:val="none" w:sz="0" w:space="0" w:color="auto"/>
                <w:right w:val="none" w:sz="0" w:space="0" w:color="auto"/>
              </w:divBdr>
            </w:div>
            <w:div w:id="1164466994">
              <w:marLeft w:val="0"/>
              <w:marRight w:val="0"/>
              <w:marTop w:val="0"/>
              <w:marBottom w:val="0"/>
              <w:divBdr>
                <w:top w:val="none" w:sz="0" w:space="0" w:color="auto"/>
                <w:left w:val="none" w:sz="0" w:space="0" w:color="auto"/>
                <w:bottom w:val="none" w:sz="0" w:space="0" w:color="auto"/>
                <w:right w:val="none" w:sz="0" w:space="0" w:color="auto"/>
              </w:divBdr>
            </w:div>
            <w:div w:id="788934116">
              <w:marLeft w:val="0"/>
              <w:marRight w:val="0"/>
              <w:marTop w:val="0"/>
              <w:marBottom w:val="0"/>
              <w:divBdr>
                <w:top w:val="none" w:sz="0" w:space="0" w:color="auto"/>
                <w:left w:val="none" w:sz="0" w:space="0" w:color="auto"/>
                <w:bottom w:val="none" w:sz="0" w:space="0" w:color="auto"/>
                <w:right w:val="none" w:sz="0" w:space="0" w:color="auto"/>
              </w:divBdr>
            </w:div>
          </w:divsChild>
        </w:div>
        <w:div w:id="1059790176">
          <w:marLeft w:val="0"/>
          <w:marRight w:val="0"/>
          <w:marTop w:val="0"/>
          <w:marBottom w:val="0"/>
          <w:divBdr>
            <w:top w:val="none" w:sz="0" w:space="0" w:color="auto"/>
            <w:left w:val="none" w:sz="0" w:space="0" w:color="auto"/>
            <w:bottom w:val="none" w:sz="0" w:space="0" w:color="auto"/>
            <w:right w:val="none" w:sz="0" w:space="0" w:color="auto"/>
          </w:divBdr>
          <w:divsChild>
            <w:div w:id="85156258">
              <w:marLeft w:val="0"/>
              <w:marRight w:val="0"/>
              <w:marTop w:val="0"/>
              <w:marBottom w:val="0"/>
              <w:divBdr>
                <w:top w:val="none" w:sz="0" w:space="0" w:color="auto"/>
                <w:left w:val="none" w:sz="0" w:space="0" w:color="auto"/>
                <w:bottom w:val="none" w:sz="0" w:space="0" w:color="auto"/>
                <w:right w:val="none" w:sz="0" w:space="0" w:color="auto"/>
              </w:divBdr>
              <w:divsChild>
                <w:div w:id="1980442">
                  <w:marLeft w:val="0"/>
                  <w:marRight w:val="0"/>
                  <w:marTop w:val="0"/>
                  <w:marBottom w:val="0"/>
                  <w:divBdr>
                    <w:top w:val="none" w:sz="0" w:space="0" w:color="auto"/>
                    <w:left w:val="none" w:sz="0" w:space="0" w:color="auto"/>
                    <w:bottom w:val="none" w:sz="0" w:space="0" w:color="auto"/>
                    <w:right w:val="none" w:sz="0" w:space="0" w:color="auto"/>
                  </w:divBdr>
                </w:div>
                <w:div w:id="1375470372">
                  <w:marLeft w:val="0"/>
                  <w:marRight w:val="0"/>
                  <w:marTop w:val="0"/>
                  <w:marBottom w:val="0"/>
                  <w:divBdr>
                    <w:top w:val="none" w:sz="0" w:space="0" w:color="auto"/>
                    <w:left w:val="none" w:sz="0" w:space="0" w:color="auto"/>
                    <w:bottom w:val="none" w:sz="0" w:space="0" w:color="auto"/>
                    <w:right w:val="none" w:sz="0" w:space="0" w:color="auto"/>
                  </w:divBdr>
                </w:div>
              </w:divsChild>
            </w:div>
            <w:div w:id="999698645">
              <w:marLeft w:val="0"/>
              <w:marRight w:val="0"/>
              <w:marTop w:val="0"/>
              <w:marBottom w:val="0"/>
              <w:divBdr>
                <w:top w:val="none" w:sz="0" w:space="0" w:color="auto"/>
                <w:left w:val="none" w:sz="0" w:space="0" w:color="auto"/>
                <w:bottom w:val="none" w:sz="0" w:space="0" w:color="auto"/>
                <w:right w:val="none" w:sz="0" w:space="0" w:color="auto"/>
              </w:divBdr>
            </w:div>
            <w:div w:id="1682587209">
              <w:marLeft w:val="0"/>
              <w:marRight w:val="0"/>
              <w:marTop w:val="0"/>
              <w:marBottom w:val="0"/>
              <w:divBdr>
                <w:top w:val="none" w:sz="0" w:space="0" w:color="auto"/>
                <w:left w:val="none" w:sz="0" w:space="0" w:color="auto"/>
                <w:bottom w:val="none" w:sz="0" w:space="0" w:color="auto"/>
                <w:right w:val="none" w:sz="0" w:space="0" w:color="auto"/>
              </w:divBdr>
            </w:div>
            <w:div w:id="359011023">
              <w:marLeft w:val="0"/>
              <w:marRight w:val="0"/>
              <w:marTop w:val="0"/>
              <w:marBottom w:val="0"/>
              <w:divBdr>
                <w:top w:val="none" w:sz="0" w:space="0" w:color="auto"/>
                <w:left w:val="none" w:sz="0" w:space="0" w:color="auto"/>
                <w:bottom w:val="none" w:sz="0" w:space="0" w:color="auto"/>
                <w:right w:val="none" w:sz="0" w:space="0" w:color="auto"/>
              </w:divBdr>
            </w:div>
            <w:div w:id="56141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57895">
      <w:bodyDiv w:val="1"/>
      <w:marLeft w:val="0"/>
      <w:marRight w:val="0"/>
      <w:marTop w:val="0"/>
      <w:marBottom w:val="0"/>
      <w:divBdr>
        <w:top w:val="none" w:sz="0" w:space="0" w:color="auto"/>
        <w:left w:val="none" w:sz="0" w:space="0" w:color="auto"/>
        <w:bottom w:val="none" w:sz="0" w:space="0" w:color="auto"/>
        <w:right w:val="none" w:sz="0" w:space="0" w:color="auto"/>
      </w:divBdr>
    </w:div>
    <w:div w:id="1971860993">
      <w:bodyDiv w:val="1"/>
      <w:marLeft w:val="0"/>
      <w:marRight w:val="0"/>
      <w:marTop w:val="0"/>
      <w:marBottom w:val="0"/>
      <w:divBdr>
        <w:top w:val="none" w:sz="0" w:space="0" w:color="auto"/>
        <w:left w:val="none" w:sz="0" w:space="0" w:color="auto"/>
        <w:bottom w:val="none" w:sz="0" w:space="0" w:color="auto"/>
        <w:right w:val="none" w:sz="0" w:space="0" w:color="auto"/>
      </w:divBdr>
    </w:div>
    <w:div w:id="1981957008">
      <w:bodyDiv w:val="1"/>
      <w:marLeft w:val="0"/>
      <w:marRight w:val="0"/>
      <w:marTop w:val="0"/>
      <w:marBottom w:val="0"/>
      <w:divBdr>
        <w:top w:val="none" w:sz="0" w:space="0" w:color="auto"/>
        <w:left w:val="none" w:sz="0" w:space="0" w:color="auto"/>
        <w:bottom w:val="none" w:sz="0" w:space="0" w:color="auto"/>
        <w:right w:val="none" w:sz="0" w:space="0" w:color="auto"/>
      </w:divBdr>
    </w:div>
    <w:div w:id="1986735373">
      <w:bodyDiv w:val="1"/>
      <w:marLeft w:val="0"/>
      <w:marRight w:val="0"/>
      <w:marTop w:val="0"/>
      <w:marBottom w:val="0"/>
      <w:divBdr>
        <w:top w:val="none" w:sz="0" w:space="0" w:color="auto"/>
        <w:left w:val="none" w:sz="0" w:space="0" w:color="auto"/>
        <w:bottom w:val="none" w:sz="0" w:space="0" w:color="auto"/>
        <w:right w:val="none" w:sz="0" w:space="0" w:color="auto"/>
      </w:divBdr>
      <w:divsChild>
        <w:div w:id="1140225289">
          <w:marLeft w:val="0"/>
          <w:marRight w:val="0"/>
          <w:marTop w:val="0"/>
          <w:marBottom w:val="0"/>
          <w:divBdr>
            <w:top w:val="none" w:sz="0" w:space="0" w:color="auto"/>
            <w:left w:val="none" w:sz="0" w:space="0" w:color="auto"/>
            <w:bottom w:val="none" w:sz="0" w:space="0" w:color="auto"/>
            <w:right w:val="none" w:sz="0" w:space="0" w:color="auto"/>
          </w:divBdr>
          <w:divsChild>
            <w:div w:id="250703731">
              <w:marLeft w:val="0"/>
              <w:marRight w:val="0"/>
              <w:marTop w:val="0"/>
              <w:marBottom w:val="0"/>
              <w:divBdr>
                <w:top w:val="none" w:sz="0" w:space="0" w:color="auto"/>
                <w:left w:val="none" w:sz="0" w:space="0" w:color="auto"/>
                <w:bottom w:val="none" w:sz="0" w:space="0" w:color="auto"/>
                <w:right w:val="none" w:sz="0" w:space="0" w:color="auto"/>
              </w:divBdr>
              <w:divsChild>
                <w:div w:id="868958800">
                  <w:marLeft w:val="0"/>
                  <w:marRight w:val="0"/>
                  <w:marTop w:val="0"/>
                  <w:marBottom w:val="0"/>
                  <w:divBdr>
                    <w:top w:val="none" w:sz="0" w:space="0" w:color="auto"/>
                    <w:left w:val="none" w:sz="0" w:space="0" w:color="auto"/>
                    <w:bottom w:val="none" w:sz="0" w:space="0" w:color="auto"/>
                    <w:right w:val="none" w:sz="0" w:space="0" w:color="auto"/>
                  </w:divBdr>
                </w:div>
                <w:div w:id="325090780">
                  <w:marLeft w:val="0"/>
                  <w:marRight w:val="0"/>
                  <w:marTop w:val="0"/>
                  <w:marBottom w:val="0"/>
                  <w:divBdr>
                    <w:top w:val="none" w:sz="0" w:space="0" w:color="auto"/>
                    <w:left w:val="none" w:sz="0" w:space="0" w:color="auto"/>
                    <w:bottom w:val="none" w:sz="0" w:space="0" w:color="auto"/>
                    <w:right w:val="none" w:sz="0" w:space="0" w:color="auto"/>
                  </w:divBdr>
                </w:div>
              </w:divsChild>
            </w:div>
            <w:div w:id="670909721">
              <w:marLeft w:val="0"/>
              <w:marRight w:val="0"/>
              <w:marTop w:val="0"/>
              <w:marBottom w:val="0"/>
              <w:divBdr>
                <w:top w:val="none" w:sz="0" w:space="0" w:color="auto"/>
                <w:left w:val="none" w:sz="0" w:space="0" w:color="auto"/>
                <w:bottom w:val="none" w:sz="0" w:space="0" w:color="auto"/>
                <w:right w:val="none" w:sz="0" w:space="0" w:color="auto"/>
              </w:divBdr>
            </w:div>
            <w:div w:id="1784887171">
              <w:marLeft w:val="0"/>
              <w:marRight w:val="0"/>
              <w:marTop w:val="0"/>
              <w:marBottom w:val="0"/>
              <w:divBdr>
                <w:top w:val="none" w:sz="0" w:space="0" w:color="auto"/>
                <w:left w:val="none" w:sz="0" w:space="0" w:color="auto"/>
                <w:bottom w:val="none" w:sz="0" w:space="0" w:color="auto"/>
                <w:right w:val="none" w:sz="0" w:space="0" w:color="auto"/>
              </w:divBdr>
            </w:div>
          </w:divsChild>
        </w:div>
        <w:div w:id="1450125619">
          <w:marLeft w:val="0"/>
          <w:marRight w:val="0"/>
          <w:marTop w:val="0"/>
          <w:marBottom w:val="0"/>
          <w:divBdr>
            <w:top w:val="none" w:sz="0" w:space="0" w:color="auto"/>
            <w:left w:val="none" w:sz="0" w:space="0" w:color="auto"/>
            <w:bottom w:val="none" w:sz="0" w:space="0" w:color="auto"/>
            <w:right w:val="none" w:sz="0" w:space="0" w:color="auto"/>
          </w:divBdr>
          <w:divsChild>
            <w:div w:id="1972245569">
              <w:marLeft w:val="0"/>
              <w:marRight w:val="0"/>
              <w:marTop w:val="0"/>
              <w:marBottom w:val="0"/>
              <w:divBdr>
                <w:top w:val="none" w:sz="0" w:space="0" w:color="auto"/>
                <w:left w:val="none" w:sz="0" w:space="0" w:color="auto"/>
                <w:bottom w:val="none" w:sz="0" w:space="0" w:color="auto"/>
                <w:right w:val="none" w:sz="0" w:space="0" w:color="auto"/>
              </w:divBdr>
            </w:div>
            <w:div w:id="888878185">
              <w:marLeft w:val="0"/>
              <w:marRight w:val="0"/>
              <w:marTop w:val="0"/>
              <w:marBottom w:val="0"/>
              <w:divBdr>
                <w:top w:val="none" w:sz="0" w:space="0" w:color="auto"/>
                <w:left w:val="none" w:sz="0" w:space="0" w:color="auto"/>
                <w:bottom w:val="none" w:sz="0" w:space="0" w:color="auto"/>
                <w:right w:val="none" w:sz="0" w:space="0" w:color="auto"/>
              </w:divBdr>
              <w:divsChild>
                <w:div w:id="153643082">
                  <w:marLeft w:val="0"/>
                  <w:marRight w:val="0"/>
                  <w:marTop w:val="0"/>
                  <w:marBottom w:val="0"/>
                  <w:divBdr>
                    <w:top w:val="none" w:sz="0" w:space="0" w:color="auto"/>
                    <w:left w:val="none" w:sz="0" w:space="0" w:color="auto"/>
                    <w:bottom w:val="none" w:sz="0" w:space="0" w:color="auto"/>
                    <w:right w:val="none" w:sz="0" w:space="0" w:color="auto"/>
                  </w:divBdr>
                </w:div>
                <w:div w:id="410931751">
                  <w:marLeft w:val="0"/>
                  <w:marRight w:val="0"/>
                  <w:marTop w:val="0"/>
                  <w:marBottom w:val="0"/>
                  <w:divBdr>
                    <w:top w:val="none" w:sz="0" w:space="0" w:color="auto"/>
                    <w:left w:val="none" w:sz="0" w:space="0" w:color="auto"/>
                    <w:bottom w:val="none" w:sz="0" w:space="0" w:color="auto"/>
                    <w:right w:val="none" w:sz="0" w:space="0" w:color="auto"/>
                  </w:divBdr>
                </w:div>
                <w:div w:id="1401560737">
                  <w:marLeft w:val="0"/>
                  <w:marRight w:val="0"/>
                  <w:marTop w:val="0"/>
                  <w:marBottom w:val="0"/>
                  <w:divBdr>
                    <w:top w:val="none" w:sz="0" w:space="0" w:color="auto"/>
                    <w:left w:val="none" w:sz="0" w:space="0" w:color="auto"/>
                    <w:bottom w:val="none" w:sz="0" w:space="0" w:color="auto"/>
                    <w:right w:val="none" w:sz="0" w:space="0" w:color="auto"/>
                  </w:divBdr>
                </w:div>
                <w:div w:id="360663983">
                  <w:marLeft w:val="0"/>
                  <w:marRight w:val="0"/>
                  <w:marTop w:val="0"/>
                  <w:marBottom w:val="0"/>
                  <w:divBdr>
                    <w:top w:val="none" w:sz="0" w:space="0" w:color="auto"/>
                    <w:left w:val="none" w:sz="0" w:space="0" w:color="auto"/>
                    <w:bottom w:val="none" w:sz="0" w:space="0" w:color="auto"/>
                    <w:right w:val="none" w:sz="0" w:space="0" w:color="auto"/>
                  </w:divBdr>
                </w:div>
                <w:div w:id="180706692">
                  <w:marLeft w:val="0"/>
                  <w:marRight w:val="0"/>
                  <w:marTop w:val="0"/>
                  <w:marBottom w:val="0"/>
                  <w:divBdr>
                    <w:top w:val="none" w:sz="0" w:space="0" w:color="auto"/>
                    <w:left w:val="none" w:sz="0" w:space="0" w:color="auto"/>
                    <w:bottom w:val="none" w:sz="0" w:space="0" w:color="auto"/>
                    <w:right w:val="none" w:sz="0" w:space="0" w:color="auto"/>
                  </w:divBdr>
                </w:div>
              </w:divsChild>
            </w:div>
            <w:div w:id="953172357">
              <w:marLeft w:val="0"/>
              <w:marRight w:val="0"/>
              <w:marTop w:val="0"/>
              <w:marBottom w:val="0"/>
              <w:divBdr>
                <w:top w:val="none" w:sz="0" w:space="0" w:color="auto"/>
                <w:left w:val="none" w:sz="0" w:space="0" w:color="auto"/>
                <w:bottom w:val="none" w:sz="0" w:space="0" w:color="auto"/>
                <w:right w:val="none" w:sz="0" w:space="0" w:color="auto"/>
              </w:divBdr>
            </w:div>
            <w:div w:id="900822940">
              <w:marLeft w:val="0"/>
              <w:marRight w:val="0"/>
              <w:marTop w:val="0"/>
              <w:marBottom w:val="0"/>
              <w:divBdr>
                <w:top w:val="none" w:sz="0" w:space="0" w:color="auto"/>
                <w:left w:val="none" w:sz="0" w:space="0" w:color="auto"/>
                <w:bottom w:val="none" w:sz="0" w:space="0" w:color="auto"/>
                <w:right w:val="none" w:sz="0" w:space="0" w:color="auto"/>
              </w:divBdr>
            </w:div>
          </w:divsChild>
        </w:div>
        <w:div w:id="1092707130">
          <w:marLeft w:val="0"/>
          <w:marRight w:val="0"/>
          <w:marTop w:val="0"/>
          <w:marBottom w:val="0"/>
          <w:divBdr>
            <w:top w:val="none" w:sz="0" w:space="0" w:color="auto"/>
            <w:left w:val="none" w:sz="0" w:space="0" w:color="auto"/>
            <w:bottom w:val="none" w:sz="0" w:space="0" w:color="auto"/>
            <w:right w:val="none" w:sz="0" w:space="0" w:color="auto"/>
          </w:divBdr>
          <w:divsChild>
            <w:div w:id="2063629515">
              <w:marLeft w:val="0"/>
              <w:marRight w:val="0"/>
              <w:marTop w:val="0"/>
              <w:marBottom w:val="0"/>
              <w:divBdr>
                <w:top w:val="none" w:sz="0" w:space="0" w:color="auto"/>
                <w:left w:val="none" w:sz="0" w:space="0" w:color="auto"/>
                <w:bottom w:val="none" w:sz="0" w:space="0" w:color="auto"/>
                <w:right w:val="none" w:sz="0" w:space="0" w:color="auto"/>
              </w:divBdr>
              <w:divsChild>
                <w:div w:id="563177891">
                  <w:marLeft w:val="0"/>
                  <w:marRight w:val="0"/>
                  <w:marTop w:val="0"/>
                  <w:marBottom w:val="0"/>
                  <w:divBdr>
                    <w:top w:val="none" w:sz="0" w:space="0" w:color="auto"/>
                    <w:left w:val="none" w:sz="0" w:space="0" w:color="auto"/>
                    <w:bottom w:val="none" w:sz="0" w:space="0" w:color="auto"/>
                    <w:right w:val="none" w:sz="0" w:space="0" w:color="auto"/>
                  </w:divBdr>
                </w:div>
                <w:div w:id="1048649999">
                  <w:marLeft w:val="0"/>
                  <w:marRight w:val="0"/>
                  <w:marTop w:val="0"/>
                  <w:marBottom w:val="0"/>
                  <w:divBdr>
                    <w:top w:val="none" w:sz="0" w:space="0" w:color="auto"/>
                    <w:left w:val="none" w:sz="0" w:space="0" w:color="auto"/>
                    <w:bottom w:val="none" w:sz="0" w:space="0" w:color="auto"/>
                    <w:right w:val="none" w:sz="0" w:space="0" w:color="auto"/>
                  </w:divBdr>
                </w:div>
                <w:div w:id="1293830916">
                  <w:marLeft w:val="0"/>
                  <w:marRight w:val="0"/>
                  <w:marTop w:val="0"/>
                  <w:marBottom w:val="0"/>
                  <w:divBdr>
                    <w:top w:val="none" w:sz="0" w:space="0" w:color="auto"/>
                    <w:left w:val="none" w:sz="0" w:space="0" w:color="auto"/>
                    <w:bottom w:val="none" w:sz="0" w:space="0" w:color="auto"/>
                    <w:right w:val="none" w:sz="0" w:space="0" w:color="auto"/>
                  </w:divBdr>
                </w:div>
                <w:div w:id="54817726">
                  <w:marLeft w:val="0"/>
                  <w:marRight w:val="0"/>
                  <w:marTop w:val="0"/>
                  <w:marBottom w:val="0"/>
                  <w:divBdr>
                    <w:top w:val="none" w:sz="0" w:space="0" w:color="auto"/>
                    <w:left w:val="none" w:sz="0" w:space="0" w:color="auto"/>
                    <w:bottom w:val="none" w:sz="0" w:space="0" w:color="auto"/>
                    <w:right w:val="none" w:sz="0" w:space="0" w:color="auto"/>
                  </w:divBdr>
                </w:div>
              </w:divsChild>
            </w:div>
            <w:div w:id="305937934">
              <w:marLeft w:val="0"/>
              <w:marRight w:val="0"/>
              <w:marTop w:val="0"/>
              <w:marBottom w:val="0"/>
              <w:divBdr>
                <w:top w:val="none" w:sz="0" w:space="0" w:color="auto"/>
                <w:left w:val="none" w:sz="0" w:space="0" w:color="auto"/>
                <w:bottom w:val="none" w:sz="0" w:space="0" w:color="auto"/>
                <w:right w:val="none" w:sz="0" w:space="0" w:color="auto"/>
              </w:divBdr>
            </w:div>
          </w:divsChild>
        </w:div>
        <w:div w:id="267280284">
          <w:marLeft w:val="0"/>
          <w:marRight w:val="0"/>
          <w:marTop w:val="0"/>
          <w:marBottom w:val="0"/>
          <w:divBdr>
            <w:top w:val="none" w:sz="0" w:space="0" w:color="auto"/>
            <w:left w:val="none" w:sz="0" w:space="0" w:color="auto"/>
            <w:bottom w:val="none" w:sz="0" w:space="0" w:color="auto"/>
            <w:right w:val="none" w:sz="0" w:space="0" w:color="auto"/>
          </w:divBdr>
          <w:divsChild>
            <w:div w:id="1051031420">
              <w:marLeft w:val="0"/>
              <w:marRight w:val="0"/>
              <w:marTop w:val="0"/>
              <w:marBottom w:val="0"/>
              <w:divBdr>
                <w:top w:val="none" w:sz="0" w:space="0" w:color="auto"/>
                <w:left w:val="none" w:sz="0" w:space="0" w:color="auto"/>
                <w:bottom w:val="none" w:sz="0" w:space="0" w:color="auto"/>
                <w:right w:val="none" w:sz="0" w:space="0" w:color="auto"/>
              </w:divBdr>
            </w:div>
            <w:div w:id="2084139595">
              <w:marLeft w:val="0"/>
              <w:marRight w:val="0"/>
              <w:marTop w:val="0"/>
              <w:marBottom w:val="0"/>
              <w:divBdr>
                <w:top w:val="none" w:sz="0" w:space="0" w:color="auto"/>
                <w:left w:val="none" w:sz="0" w:space="0" w:color="auto"/>
                <w:bottom w:val="none" w:sz="0" w:space="0" w:color="auto"/>
                <w:right w:val="none" w:sz="0" w:space="0" w:color="auto"/>
              </w:divBdr>
            </w:div>
            <w:div w:id="1640527907">
              <w:marLeft w:val="0"/>
              <w:marRight w:val="0"/>
              <w:marTop w:val="0"/>
              <w:marBottom w:val="0"/>
              <w:divBdr>
                <w:top w:val="none" w:sz="0" w:space="0" w:color="auto"/>
                <w:left w:val="none" w:sz="0" w:space="0" w:color="auto"/>
                <w:bottom w:val="none" w:sz="0" w:space="0" w:color="auto"/>
                <w:right w:val="none" w:sz="0" w:space="0" w:color="auto"/>
              </w:divBdr>
            </w:div>
            <w:div w:id="98843796">
              <w:marLeft w:val="0"/>
              <w:marRight w:val="0"/>
              <w:marTop w:val="0"/>
              <w:marBottom w:val="0"/>
              <w:divBdr>
                <w:top w:val="none" w:sz="0" w:space="0" w:color="auto"/>
                <w:left w:val="none" w:sz="0" w:space="0" w:color="auto"/>
                <w:bottom w:val="none" w:sz="0" w:space="0" w:color="auto"/>
                <w:right w:val="none" w:sz="0" w:space="0" w:color="auto"/>
              </w:divBdr>
              <w:divsChild>
                <w:div w:id="286862781">
                  <w:marLeft w:val="0"/>
                  <w:marRight w:val="0"/>
                  <w:marTop w:val="0"/>
                  <w:marBottom w:val="0"/>
                  <w:divBdr>
                    <w:top w:val="none" w:sz="0" w:space="0" w:color="auto"/>
                    <w:left w:val="none" w:sz="0" w:space="0" w:color="auto"/>
                    <w:bottom w:val="none" w:sz="0" w:space="0" w:color="auto"/>
                    <w:right w:val="none" w:sz="0" w:space="0" w:color="auto"/>
                  </w:divBdr>
                </w:div>
                <w:div w:id="1374891911">
                  <w:marLeft w:val="0"/>
                  <w:marRight w:val="0"/>
                  <w:marTop w:val="0"/>
                  <w:marBottom w:val="0"/>
                  <w:divBdr>
                    <w:top w:val="none" w:sz="0" w:space="0" w:color="auto"/>
                    <w:left w:val="none" w:sz="0" w:space="0" w:color="auto"/>
                    <w:bottom w:val="none" w:sz="0" w:space="0" w:color="auto"/>
                    <w:right w:val="none" w:sz="0" w:space="0" w:color="auto"/>
                  </w:divBdr>
                </w:div>
                <w:div w:id="1953586049">
                  <w:marLeft w:val="0"/>
                  <w:marRight w:val="0"/>
                  <w:marTop w:val="0"/>
                  <w:marBottom w:val="0"/>
                  <w:divBdr>
                    <w:top w:val="none" w:sz="0" w:space="0" w:color="auto"/>
                    <w:left w:val="none" w:sz="0" w:space="0" w:color="auto"/>
                    <w:bottom w:val="none" w:sz="0" w:space="0" w:color="auto"/>
                    <w:right w:val="none" w:sz="0" w:space="0" w:color="auto"/>
                  </w:divBdr>
                </w:div>
                <w:div w:id="257716128">
                  <w:marLeft w:val="0"/>
                  <w:marRight w:val="0"/>
                  <w:marTop w:val="0"/>
                  <w:marBottom w:val="0"/>
                  <w:divBdr>
                    <w:top w:val="none" w:sz="0" w:space="0" w:color="auto"/>
                    <w:left w:val="none" w:sz="0" w:space="0" w:color="auto"/>
                    <w:bottom w:val="none" w:sz="0" w:space="0" w:color="auto"/>
                    <w:right w:val="none" w:sz="0" w:space="0" w:color="auto"/>
                  </w:divBdr>
                </w:div>
                <w:div w:id="2124768202">
                  <w:marLeft w:val="0"/>
                  <w:marRight w:val="0"/>
                  <w:marTop w:val="0"/>
                  <w:marBottom w:val="0"/>
                  <w:divBdr>
                    <w:top w:val="none" w:sz="0" w:space="0" w:color="auto"/>
                    <w:left w:val="none" w:sz="0" w:space="0" w:color="auto"/>
                    <w:bottom w:val="none" w:sz="0" w:space="0" w:color="auto"/>
                    <w:right w:val="none" w:sz="0" w:space="0" w:color="auto"/>
                  </w:divBdr>
                </w:div>
                <w:div w:id="1893423323">
                  <w:marLeft w:val="0"/>
                  <w:marRight w:val="0"/>
                  <w:marTop w:val="0"/>
                  <w:marBottom w:val="0"/>
                  <w:divBdr>
                    <w:top w:val="none" w:sz="0" w:space="0" w:color="auto"/>
                    <w:left w:val="none" w:sz="0" w:space="0" w:color="auto"/>
                    <w:bottom w:val="none" w:sz="0" w:space="0" w:color="auto"/>
                    <w:right w:val="none" w:sz="0" w:space="0" w:color="auto"/>
                  </w:divBdr>
                </w:div>
                <w:div w:id="1929078751">
                  <w:marLeft w:val="0"/>
                  <w:marRight w:val="0"/>
                  <w:marTop w:val="0"/>
                  <w:marBottom w:val="0"/>
                  <w:divBdr>
                    <w:top w:val="none" w:sz="0" w:space="0" w:color="auto"/>
                    <w:left w:val="none" w:sz="0" w:space="0" w:color="auto"/>
                    <w:bottom w:val="none" w:sz="0" w:space="0" w:color="auto"/>
                    <w:right w:val="none" w:sz="0" w:space="0" w:color="auto"/>
                  </w:divBdr>
                </w:div>
              </w:divsChild>
            </w:div>
            <w:div w:id="612901305">
              <w:marLeft w:val="0"/>
              <w:marRight w:val="0"/>
              <w:marTop w:val="0"/>
              <w:marBottom w:val="0"/>
              <w:divBdr>
                <w:top w:val="none" w:sz="0" w:space="0" w:color="auto"/>
                <w:left w:val="none" w:sz="0" w:space="0" w:color="auto"/>
                <w:bottom w:val="none" w:sz="0" w:space="0" w:color="auto"/>
                <w:right w:val="none" w:sz="0" w:space="0" w:color="auto"/>
              </w:divBdr>
            </w:div>
            <w:div w:id="981614530">
              <w:marLeft w:val="0"/>
              <w:marRight w:val="0"/>
              <w:marTop w:val="0"/>
              <w:marBottom w:val="0"/>
              <w:divBdr>
                <w:top w:val="none" w:sz="0" w:space="0" w:color="auto"/>
                <w:left w:val="none" w:sz="0" w:space="0" w:color="auto"/>
                <w:bottom w:val="none" w:sz="0" w:space="0" w:color="auto"/>
                <w:right w:val="none" w:sz="0" w:space="0" w:color="auto"/>
              </w:divBdr>
            </w:div>
            <w:div w:id="118423701">
              <w:marLeft w:val="0"/>
              <w:marRight w:val="0"/>
              <w:marTop w:val="0"/>
              <w:marBottom w:val="0"/>
              <w:divBdr>
                <w:top w:val="none" w:sz="0" w:space="0" w:color="auto"/>
                <w:left w:val="none" w:sz="0" w:space="0" w:color="auto"/>
                <w:bottom w:val="none" w:sz="0" w:space="0" w:color="auto"/>
                <w:right w:val="none" w:sz="0" w:space="0" w:color="auto"/>
              </w:divBdr>
            </w:div>
            <w:div w:id="183757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566680">
      <w:bodyDiv w:val="1"/>
      <w:marLeft w:val="0"/>
      <w:marRight w:val="0"/>
      <w:marTop w:val="0"/>
      <w:marBottom w:val="0"/>
      <w:divBdr>
        <w:top w:val="none" w:sz="0" w:space="0" w:color="auto"/>
        <w:left w:val="none" w:sz="0" w:space="0" w:color="auto"/>
        <w:bottom w:val="none" w:sz="0" w:space="0" w:color="auto"/>
        <w:right w:val="none" w:sz="0" w:space="0" w:color="auto"/>
      </w:divBdr>
    </w:div>
    <w:div w:id="2002073748">
      <w:bodyDiv w:val="1"/>
      <w:marLeft w:val="0"/>
      <w:marRight w:val="0"/>
      <w:marTop w:val="0"/>
      <w:marBottom w:val="0"/>
      <w:divBdr>
        <w:top w:val="none" w:sz="0" w:space="0" w:color="auto"/>
        <w:left w:val="none" w:sz="0" w:space="0" w:color="auto"/>
        <w:bottom w:val="none" w:sz="0" w:space="0" w:color="auto"/>
        <w:right w:val="none" w:sz="0" w:space="0" w:color="auto"/>
      </w:divBdr>
      <w:divsChild>
        <w:div w:id="1943800472">
          <w:marLeft w:val="0"/>
          <w:marRight w:val="0"/>
          <w:marTop w:val="0"/>
          <w:marBottom w:val="0"/>
          <w:divBdr>
            <w:top w:val="none" w:sz="0" w:space="0" w:color="auto"/>
            <w:left w:val="none" w:sz="0" w:space="0" w:color="auto"/>
            <w:bottom w:val="none" w:sz="0" w:space="0" w:color="auto"/>
            <w:right w:val="none" w:sz="0" w:space="0" w:color="auto"/>
          </w:divBdr>
        </w:div>
      </w:divsChild>
    </w:div>
    <w:div w:id="2004965081">
      <w:bodyDiv w:val="1"/>
      <w:marLeft w:val="0"/>
      <w:marRight w:val="0"/>
      <w:marTop w:val="0"/>
      <w:marBottom w:val="0"/>
      <w:divBdr>
        <w:top w:val="none" w:sz="0" w:space="0" w:color="auto"/>
        <w:left w:val="none" w:sz="0" w:space="0" w:color="auto"/>
        <w:bottom w:val="none" w:sz="0" w:space="0" w:color="auto"/>
        <w:right w:val="none" w:sz="0" w:space="0" w:color="auto"/>
      </w:divBdr>
    </w:div>
    <w:div w:id="2032295011">
      <w:bodyDiv w:val="1"/>
      <w:marLeft w:val="0"/>
      <w:marRight w:val="0"/>
      <w:marTop w:val="0"/>
      <w:marBottom w:val="0"/>
      <w:divBdr>
        <w:top w:val="none" w:sz="0" w:space="0" w:color="auto"/>
        <w:left w:val="none" w:sz="0" w:space="0" w:color="auto"/>
        <w:bottom w:val="none" w:sz="0" w:space="0" w:color="auto"/>
        <w:right w:val="none" w:sz="0" w:space="0" w:color="auto"/>
      </w:divBdr>
    </w:div>
    <w:div w:id="2043162363">
      <w:bodyDiv w:val="1"/>
      <w:marLeft w:val="0"/>
      <w:marRight w:val="0"/>
      <w:marTop w:val="0"/>
      <w:marBottom w:val="0"/>
      <w:divBdr>
        <w:top w:val="none" w:sz="0" w:space="0" w:color="auto"/>
        <w:left w:val="none" w:sz="0" w:space="0" w:color="auto"/>
        <w:bottom w:val="none" w:sz="0" w:space="0" w:color="auto"/>
        <w:right w:val="none" w:sz="0" w:space="0" w:color="auto"/>
      </w:divBdr>
    </w:div>
    <w:div w:id="2070574475">
      <w:bodyDiv w:val="1"/>
      <w:marLeft w:val="0"/>
      <w:marRight w:val="0"/>
      <w:marTop w:val="0"/>
      <w:marBottom w:val="0"/>
      <w:divBdr>
        <w:top w:val="none" w:sz="0" w:space="0" w:color="auto"/>
        <w:left w:val="none" w:sz="0" w:space="0" w:color="auto"/>
        <w:bottom w:val="none" w:sz="0" w:space="0" w:color="auto"/>
        <w:right w:val="none" w:sz="0" w:space="0" w:color="auto"/>
      </w:divBdr>
    </w:div>
    <w:div w:id="2081973520">
      <w:bodyDiv w:val="1"/>
      <w:marLeft w:val="0"/>
      <w:marRight w:val="0"/>
      <w:marTop w:val="0"/>
      <w:marBottom w:val="0"/>
      <w:divBdr>
        <w:top w:val="none" w:sz="0" w:space="0" w:color="auto"/>
        <w:left w:val="none" w:sz="0" w:space="0" w:color="auto"/>
        <w:bottom w:val="none" w:sz="0" w:space="0" w:color="auto"/>
        <w:right w:val="none" w:sz="0" w:space="0" w:color="auto"/>
      </w:divBdr>
    </w:div>
    <w:div w:id="2108696322">
      <w:bodyDiv w:val="1"/>
      <w:marLeft w:val="0"/>
      <w:marRight w:val="0"/>
      <w:marTop w:val="0"/>
      <w:marBottom w:val="0"/>
      <w:divBdr>
        <w:top w:val="none" w:sz="0" w:space="0" w:color="auto"/>
        <w:left w:val="none" w:sz="0" w:space="0" w:color="auto"/>
        <w:bottom w:val="none" w:sz="0" w:space="0" w:color="auto"/>
        <w:right w:val="none" w:sz="0" w:space="0" w:color="auto"/>
      </w:divBdr>
    </w:div>
    <w:div w:id="2139643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e-tar.lt/portal/legalAct.html?documentId=39961960696e11eca9ac839120d251c4" TargetMode="External"/><Relationship Id="rId21" Type="http://schemas.openxmlformats.org/officeDocument/2006/relationships/hyperlink" Target="https://www.e-tar.lt/portal/legalAct.html?documentId=39961960696e11eca9ac839120d251c4" TargetMode="External"/><Relationship Id="rId42" Type="http://schemas.openxmlformats.org/officeDocument/2006/relationships/hyperlink" Target="https://www.e-tar.lt/portal/legalAct.html?documentId=b3f79d409efb11e9878fc525390407ce" TargetMode="External"/><Relationship Id="rId63" Type="http://schemas.openxmlformats.org/officeDocument/2006/relationships/hyperlink" Target="https://www.e-tar.lt/portal/legalAct.html?documentId=4b3a37c0a19f11ea9515f752ff221ec9" TargetMode="External"/><Relationship Id="rId84" Type="http://schemas.openxmlformats.org/officeDocument/2006/relationships/hyperlink" Target="https://www.e-tar.lt/portal/legalAct.html?documentId=39961960696e11eca9ac839120d251c4" TargetMode="External"/><Relationship Id="rId138" Type="http://schemas.openxmlformats.org/officeDocument/2006/relationships/hyperlink" Target="https://www.e-tar.lt/portal/legalAct.html?documentId=e1ddc0a0131811e9b2b6e7cdb14007b4" TargetMode="External"/><Relationship Id="rId159" Type="http://schemas.openxmlformats.org/officeDocument/2006/relationships/hyperlink" Target="https://www.e-tar.lt/portal/legalAct.html?documentId=39961960696e11eca9ac839120d251c4" TargetMode="External"/><Relationship Id="rId170" Type="http://schemas.openxmlformats.org/officeDocument/2006/relationships/hyperlink" Target="https://www.e-tar.lt/portal/legalAct.html?documentId=1a105440640311eca9ac839120d251c4" TargetMode="External"/><Relationship Id="rId191" Type="http://schemas.openxmlformats.org/officeDocument/2006/relationships/hyperlink" Target="https://www.e-tar.lt/portal/legalAct.html?documentId=39961960696e11eca9ac839120d251c4" TargetMode="External"/><Relationship Id="rId205" Type="http://schemas.openxmlformats.org/officeDocument/2006/relationships/header" Target="header3.xml"/><Relationship Id="rId226" Type="http://schemas.openxmlformats.org/officeDocument/2006/relationships/hyperlink" Target="http://www3.lrs.lt/cgi-bin/preps2?a=400007&amp;b=" TargetMode="External"/><Relationship Id="rId247" Type="http://schemas.openxmlformats.org/officeDocument/2006/relationships/hyperlink" Target="https://www.e-tar.lt/portal/legalAct.html?documentId=1edb37d0604011edbc04912defe897d1" TargetMode="External"/><Relationship Id="rId107" Type="http://schemas.openxmlformats.org/officeDocument/2006/relationships/hyperlink" Target="https://www.e-tar.lt/portal/legalAct.html?documentId=39961960696e11eca9ac839120d251c4" TargetMode="External"/><Relationship Id="rId11" Type="http://schemas.openxmlformats.org/officeDocument/2006/relationships/hyperlink" Target="https://www.e-tar.lt/portal/legalAct.html?documentId=39961960696e11eca9ac839120d251c4" TargetMode="External"/><Relationship Id="rId32" Type="http://schemas.openxmlformats.org/officeDocument/2006/relationships/hyperlink" Target="https://www.e-tar.lt/portal/legalAct.html?documentId=39961960696e11eca9ac839120d251c4" TargetMode="External"/><Relationship Id="rId53" Type="http://schemas.openxmlformats.org/officeDocument/2006/relationships/hyperlink" Target="https://www.e-tar.lt/portal/legalAct.html?documentId=39961960696e11eca9ac839120d251c4" TargetMode="External"/><Relationship Id="rId74" Type="http://schemas.openxmlformats.org/officeDocument/2006/relationships/hyperlink" Target="https://www.e-tar.lt/portal/legalAct.html?documentId=39961960696e11eca9ac839120d251c4" TargetMode="External"/><Relationship Id="rId128" Type="http://schemas.openxmlformats.org/officeDocument/2006/relationships/hyperlink" Target="https://www.e-tar.lt/portal/legalAct.html?documentId=4b3a37c0a19f11ea9515f752ff221ec9" TargetMode="External"/><Relationship Id="rId149" Type="http://schemas.openxmlformats.org/officeDocument/2006/relationships/hyperlink" Target="https://www.e-tar.lt/portal/legalAct.html?documentId=14ae30305ea811edbc04912defe897d1" TargetMode="External"/><Relationship Id="rId5" Type="http://schemas.openxmlformats.org/officeDocument/2006/relationships/endnotes" Target="endnotes.xml"/><Relationship Id="rId95" Type="http://schemas.openxmlformats.org/officeDocument/2006/relationships/hyperlink" Target="https://www.e-tar.lt/portal/legalAct.html?documentId=39961960696e11eca9ac839120d251c4" TargetMode="External"/><Relationship Id="rId160" Type="http://schemas.openxmlformats.org/officeDocument/2006/relationships/hyperlink" Target="https://www.e-tar.lt/portal/legalAct.html?documentId=39961960696e11eca9ac839120d251c4" TargetMode="External"/><Relationship Id="rId181" Type="http://schemas.openxmlformats.org/officeDocument/2006/relationships/hyperlink" Target="https://www.e-tar.lt/portal/legalAct.html?documentId=39961960696e11eca9ac839120d251c4" TargetMode="External"/><Relationship Id="rId216" Type="http://schemas.openxmlformats.org/officeDocument/2006/relationships/hyperlink" Target="https://www.e-tar.lt/portal/legalAct.html?documentId=39961960696e11eca9ac839120d251c4" TargetMode="External"/><Relationship Id="rId237" Type="http://schemas.openxmlformats.org/officeDocument/2006/relationships/hyperlink" Target="https://www.e-tar.lt/portal/legalAct.html?documentId=f749ed906f0f11e8b83be60b2e217f90" TargetMode="External"/><Relationship Id="rId22" Type="http://schemas.openxmlformats.org/officeDocument/2006/relationships/hyperlink" Target="https://www.e-tar.lt/portal/legalAct.html?documentId=4b3a37c0a19f11ea9515f752ff221ec9" TargetMode="External"/><Relationship Id="rId43" Type="http://schemas.openxmlformats.org/officeDocument/2006/relationships/hyperlink" Target="https://www.e-tar.lt/portal/legalAct.html?documentId=39961960696e11eca9ac839120d251c4" TargetMode="External"/><Relationship Id="rId64" Type="http://schemas.openxmlformats.org/officeDocument/2006/relationships/hyperlink" Target="https://www.e-tar.lt/portal/legalAct.html?documentId=39961960696e11eca9ac839120d251c4" TargetMode="External"/><Relationship Id="rId118" Type="http://schemas.openxmlformats.org/officeDocument/2006/relationships/hyperlink" Target="https://www.e-tar.lt/portal/legalAct.html?documentId=39961960696e11eca9ac839120d251c4" TargetMode="External"/><Relationship Id="rId139" Type="http://schemas.openxmlformats.org/officeDocument/2006/relationships/hyperlink" Target="https://www.e-tar.lt/portal/legalAct.html?documentId=b3f79d409efb11e9878fc525390407ce" TargetMode="External"/><Relationship Id="rId85" Type="http://schemas.openxmlformats.org/officeDocument/2006/relationships/hyperlink" Target="https://www.e-tar.lt/portal/legalAct.html?documentId=39961960696e11eca9ac839120d251c4" TargetMode="External"/><Relationship Id="rId150" Type="http://schemas.openxmlformats.org/officeDocument/2006/relationships/hyperlink" Target="https://www.e-tar.lt/portal/legalAct.html?documentId=b3f79d409efb11e9878fc525390407ce" TargetMode="External"/><Relationship Id="rId171" Type="http://schemas.openxmlformats.org/officeDocument/2006/relationships/hyperlink" Target="https://www.e-tar.lt/portal/legalAct.html?documentId=39961960696e11eca9ac839120d251c4" TargetMode="External"/><Relationship Id="rId192" Type="http://schemas.openxmlformats.org/officeDocument/2006/relationships/hyperlink" Target="https://www.e-tar.lt/portal/legalAct.html?documentId=39961960696e11eca9ac839120d251c4" TargetMode="External"/><Relationship Id="rId206" Type="http://schemas.openxmlformats.org/officeDocument/2006/relationships/footer" Target="footer3.xml"/><Relationship Id="rId227" Type="http://schemas.openxmlformats.org/officeDocument/2006/relationships/hyperlink" Target="http://www3.lrs.lt/cgi-bin/preps2?a=412644&amp;b=" TargetMode="External"/><Relationship Id="rId248" Type="http://schemas.openxmlformats.org/officeDocument/2006/relationships/header" Target="header4.xml"/><Relationship Id="rId12" Type="http://schemas.openxmlformats.org/officeDocument/2006/relationships/hyperlink" Target="https://www.e-tar.lt/portal/legalAct.html?documentId=4b3a37c0a19f11ea9515f752ff221ec9" TargetMode="External"/><Relationship Id="rId17" Type="http://schemas.openxmlformats.org/officeDocument/2006/relationships/hyperlink" Target="https://www.e-tar.lt/portal/legalAct.html?documentId=14ae30305ea811edbc04912defe897d1" TargetMode="External"/><Relationship Id="rId33" Type="http://schemas.openxmlformats.org/officeDocument/2006/relationships/hyperlink" Target="https://www.e-tar.lt/portal/legalAct.html?documentId=39961960696e11eca9ac839120d251c4" TargetMode="External"/><Relationship Id="rId38" Type="http://schemas.openxmlformats.org/officeDocument/2006/relationships/hyperlink" Target="https://www.e-tar.lt/portal/legalAct.html?documentId=39961960696e11eca9ac839120d251c4" TargetMode="External"/><Relationship Id="rId59" Type="http://schemas.openxmlformats.org/officeDocument/2006/relationships/hyperlink" Target="https://www.e-tar.lt/portal/legalAct.html?documentId=39961960696e11eca9ac839120d251c4" TargetMode="External"/><Relationship Id="rId103" Type="http://schemas.openxmlformats.org/officeDocument/2006/relationships/hyperlink" Target="https://www.e-tar.lt/portal/legalAct.html?documentId=4b3a37c0a19f11ea9515f752ff221ec9" TargetMode="External"/><Relationship Id="rId108" Type="http://schemas.openxmlformats.org/officeDocument/2006/relationships/hyperlink" Target="https://www.e-tar.lt/portal/legalAct.html?documentId=39961960696e11eca9ac839120d251c4" TargetMode="External"/><Relationship Id="rId124" Type="http://schemas.openxmlformats.org/officeDocument/2006/relationships/hyperlink" Target="https://www.e-tar.lt/portal/legalAct.html?documentId=6fbb0bd0aa2211e9964cdd77475976b0" TargetMode="External"/><Relationship Id="rId129" Type="http://schemas.openxmlformats.org/officeDocument/2006/relationships/hyperlink" Target="https://www.e-tar.lt/portal/legalAct.html?documentId=6fbb0bd0aa2211e9964cdd77475976b0" TargetMode="External"/><Relationship Id="rId54" Type="http://schemas.openxmlformats.org/officeDocument/2006/relationships/hyperlink" Target="https://www.e-tar.lt/portal/legalAct.html?documentId=39961960696e11eca9ac839120d251c4" TargetMode="External"/><Relationship Id="rId70" Type="http://schemas.openxmlformats.org/officeDocument/2006/relationships/hyperlink" Target="https://www.e-tar.lt/portal/legalAct.html?documentId=39961960696e11eca9ac839120d251c4" TargetMode="External"/><Relationship Id="rId75" Type="http://schemas.openxmlformats.org/officeDocument/2006/relationships/hyperlink" Target="https://www.e-tar.lt/portal/legalAct.html?documentId=39961960696e11eca9ac839120d251c4" TargetMode="External"/><Relationship Id="rId91" Type="http://schemas.openxmlformats.org/officeDocument/2006/relationships/hyperlink" Target="https://www.e-tar.lt/portal/legalAct.html?documentId=39961960696e11eca9ac839120d251c4" TargetMode="External"/><Relationship Id="rId96" Type="http://schemas.openxmlformats.org/officeDocument/2006/relationships/hyperlink" Target="https://www.e-tar.lt/portal/legalAct.html?documentId=39961960696e11eca9ac839120d251c4" TargetMode="External"/><Relationship Id="rId140" Type="http://schemas.openxmlformats.org/officeDocument/2006/relationships/hyperlink" Target="https://www.e-tar.lt/portal/legalAct.html?documentId=b3f79d409efb11e9878fc525390407ce" TargetMode="External"/><Relationship Id="rId145" Type="http://schemas.openxmlformats.org/officeDocument/2006/relationships/hyperlink" Target="https://www.e-tar.lt/portal/legalAct.html?documentId=b3f79d409efb11e9878fc525390407ce" TargetMode="External"/><Relationship Id="rId161" Type="http://schemas.openxmlformats.org/officeDocument/2006/relationships/hyperlink" Target="https://www.e-tar.lt/portal/legalAct.html?documentId=39961960696e11eca9ac839120d251c4" TargetMode="External"/><Relationship Id="rId166" Type="http://schemas.openxmlformats.org/officeDocument/2006/relationships/hyperlink" Target="https://www.e-tar.lt/portal/legalAct.html?documentId=39961960696e11eca9ac839120d251c4" TargetMode="External"/><Relationship Id="rId182" Type="http://schemas.openxmlformats.org/officeDocument/2006/relationships/hyperlink" Target="https://www.e-tar.lt/portal/legalAct.html?documentId=39961960696e11eca9ac839120d251c4" TargetMode="External"/><Relationship Id="rId187" Type="http://schemas.openxmlformats.org/officeDocument/2006/relationships/hyperlink" Target="https://www.e-tar.lt/portal/legalAct.html?documentId=39961960696e11eca9ac839120d251c4" TargetMode="External"/><Relationship Id="rId217" Type="http://schemas.openxmlformats.org/officeDocument/2006/relationships/hyperlink" Target="https://www.e-tar.lt/portal/legalAct.html?documentId=39961960696e11eca9ac839120d251c4" TargetMode="External"/><Relationship Id="rId1" Type="http://schemas.openxmlformats.org/officeDocument/2006/relationships/styles" Target="styles.xml"/><Relationship Id="rId6" Type="http://schemas.openxmlformats.org/officeDocument/2006/relationships/hyperlink" Target="https://www.e-tar.lt/portal/legalAct.html?documentId=b3f79d409efb11e9878fc525390407ce" TargetMode="External"/><Relationship Id="rId212" Type="http://schemas.openxmlformats.org/officeDocument/2006/relationships/hyperlink" Target="https://www.e-tar.lt/portal/legalAct.html?documentId=39961960696e11eca9ac839120d251c4" TargetMode="External"/><Relationship Id="rId233" Type="http://schemas.openxmlformats.org/officeDocument/2006/relationships/hyperlink" Target="https://www.e-tar.lt/portal/legalAct.html?documentId=70b4de3098f111e58fd1fc0b9bba68a7" TargetMode="External"/><Relationship Id="rId238" Type="http://schemas.openxmlformats.org/officeDocument/2006/relationships/hyperlink" Target="https://www.e-tar.lt/portal/legalAct.html?documentId=e1ddc0a0131811e9b2b6e7cdb14007b4" TargetMode="External"/><Relationship Id="rId23" Type="http://schemas.openxmlformats.org/officeDocument/2006/relationships/hyperlink" Target="https://www.e-tar.lt/portal/legalAct.html?documentId=4b3a37c0a19f11ea9515f752ff221ec9" TargetMode="External"/><Relationship Id="rId28" Type="http://schemas.openxmlformats.org/officeDocument/2006/relationships/hyperlink" Target="https://www.e-tar.lt/portal/legalAct.html?documentId=4b3a37c0a19f11ea9515f752ff221ec9" TargetMode="External"/><Relationship Id="rId49" Type="http://schemas.openxmlformats.org/officeDocument/2006/relationships/hyperlink" Target="https://www.e-tar.lt/portal/legalAct.html?documentId=39961960696e11eca9ac839120d251c4" TargetMode="External"/><Relationship Id="rId114" Type="http://schemas.openxmlformats.org/officeDocument/2006/relationships/hyperlink" Target="https://www.e-tar.lt/portal/legalAct.html?documentId=b3f79d409efb11e9878fc525390407ce" TargetMode="External"/><Relationship Id="rId119" Type="http://schemas.openxmlformats.org/officeDocument/2006/relationships/hyperlink" Target="https://www.e-tar.lt/portal/legalAct.html?documentId=39961960696e11eca9ac839120d251c4" TargetMode="External"/><Relationship Id="rId44" Type="http://schemas.openxmlformats.org/officeDocument/2006/relationships/hyperlink" Target="https://www.e-tar.lt/portal/legalAct.html?documentId=39961960696e11eca9ac839120d251c4" TargetMode="External"/><Relationship Id="rId60" Type="http://schemas.openxmlformats.org/officeDocument/2006/relationships/hyperlink" Target="https://www.e-tar.lt/portal/legalAct.html?documentId=39961960696e11eca9ac839120d251c4" TargetMode="External"/><Relationship Id="rId65" Type="http://schemas.openxmlformats.org/officeDocument/2006/relationships/hyperlink" Target="https://www.e-tar.lt/portal/legalAct.html?documentId=b3f79d409efb11e9878fc525390407ce" TargetMode="External"/><Relationship Id="rId81" Type="http://schemas.openxmlformats.org/officeDocument/2006/relationships/hyperlink" Target="https://www.e-tar.lt/portal/legalAct.html?documentId=39961960696e11eca9ac839120d251c4" TargetMode="External"/><Relationship Id="rId86" Type="http://schemas.openxmlformats.org/officeDocument/2006/relationships/hyperlink" Target="https://www.e-tar.lt/portal/legalAct.html?documentId=39961960696e11eca9ac839120d251c4" TargetMode="External"/><Relationship Id="rId130" Type="http://schemas.openxmlformats.org/officeDocument/2006/relationships/hyperlink" Target="https://www.e-tar.lt/portal/legalAct.html?documentId=4b3a37c0a19f11ea9515f752ff221ec9" TargetMode="External"/><Relationship Id="rId135" Type="http://schemas.openxmlformats.org/officeDocument/2006/relationships/hyperlink" Target="https://www.e-tar.lt/portal/legalAct.html?documentId=39961960696e11eca9ac839120d251c4" TargetMode="External"/><Relationship Id="rId151" Type="http://schemas.openxmlformats.org/officeDocument/2006/relationships/hyperlink" Target="https://www.e-tar.lt/portal/legalAct.html?documentId=39961960696e11eca9ac839120d251c4" TargetMode="External"/><Relationship Id="rId156" Type="http://schemas.openxmlformats.org/officeDocument/2006/relationships/hyperlink" Target="https://www.e-tar.lt/portal/legalAct.html?documentId=39961960696e11eca9ac839120d251c4" TargetMode="External"/><Relationship Id="rId177" Type="http://schemas.openxmlformats.org/officeDocument/2006/relationships/hyperlink" Target="https://www.e-tar.lt/portal/legalAct.html?documentId=1a105440640311eca9ac839120d251c4" TargetMode="External"/><Relationship Id="rId198" Type="http://schemas.openxmlformats.org/officeDocument/2006/relationships/hyperlink" Target="https://www.e-tar.lt/portal/legalAct.html?documentId=39961960696e11eca9ac839120d251c4" TargetMode="External"/><Relationship Id="rId172" Type="http://schemas.openxmlformats.org/officeDocument/2006/relationships/hyperlink" Target="https://www.e-tar.lt/portal/legalAct.html?documentId=39961960696e11eca9ac839120d251c4" TargetMode="External"/><Relationship Id="rId193" Type="http://schemas.openxmlformats.org/officeDocument/2006/relationships/hyperlink" Target="https://www.e-tar.lt/portal/legalAct.html?documentId=39961960696e11eca9ac839120d251c4" TargetMode="External"/><Relationship Id="rId202" Type="http://schemas.openxmlformats.org/officeDocument/2006/relationships/header" Target="header2.xml"/><Relationship Id="rId207" Type="http://schemas.openxmlformats.org/officeDocument/2006/relationships/hyperlink" Target="https://www.e-tar.lt/portal/legalAct.html?documentId=1a105440640311eca9ac839120d251c4" TargetMode="External"/><Relationship Id="rId223" Type="http://schemas.openxmlformats.org/officeDocument/2006/relationships/hyperlink" Target="http://www3.lrs.lt/cgi-bin/preps2?a=330579&amp;b=" TargetMode="External"/><Relationship Id="rId228" Type="http://schemas.openxmlformats.org/officeDocument/2006/relationships/hyperlink" Target="http://www3.lrs.lt/cgi-bin/preps2?a=415769&amp;b=" TargetMode="External"/><Relationship Id="rId244" Type="http://schemas.openxmlformats.org/officeDocument/2006/relationships/hyperlink" Target="https://www.e-tar.lt/portal/legalAct.html?documentId=1a105440640311eca9ac839120d251c4" TargetMode="External"/><Relationship Id="rId249" Type="http://schemas.openxmlformats.org/officeDocument/2006/relationships/header" Target="header5.xml"/><Relationship Id="rId13" Type="http://schemas.openxmlformats.org/officeDocument/2006/relationships/hyperlink" Target="https://www.e-tar.lt/portal/legalAct.html?documentId=39961960696e11eca9ac839120d251c4" TargetMode="External"/><Relationship Id="rId18" Type="http://schemas.openxmlformats.org/officeDocument/2006/relationships/hyperlink" Target="https://www.e-tar.lt/portal/legalAct.html?documentId=39961960696e11eca9ac839120d251c4" TargetMode="External"/><Relationship Id="rId39" Type="http://schemas.openxmlformats.org/officeDocument/2006/relationships/hyperlink" Target="https://www.e-tar.lt/portal/legalAct.html?documentId=b3f79d409efb11e9878fc525390407ce" TargetMode="External"/><Relationship Id="rId109" Type="http://schemas.openxmlformats.org/officeDocument/2006/relationships/hyperlink" Target="https://www.e-tar.lt/portal/legalAct.html?documentId=39961960696e11eca9ac839120d251c4" TargetMode="External"/><Relationship Id="rId34" Type="http://schemas.openxmlformats.org/officeDocument/2006/relationships/hyperlink" Target="https://www.e-tar.lt/portal/legalAct.html?documentId=b3f79d409efb11e9878fc525390407ce" TargetMode="External"/><Relationship Id="rId50" Type="http://schemas.openxmlformats.org/officeDocument/2006/relationships/hyperlink" Target="https://www.e-tar.lt/portal/legalAct.html?documentId=39961960696e11eca9ac839120d251c4" TargetMode="External"/><Relationship Id="rId55" Type="http://schemas.openxmlformats.org/officeDocument/2006/relationships/hyperlink" Target="https://www.e-tar.lt/portal/legalAct.html?documentId=39961960696e11eca9ac839120d251c4" TargetMode="External"/><Relationship Id="rId76" Type="http://schemas.openxmlformats.org/officeDocument/2006/relationships/hyperlink" Target="https://www.e-tar.lt/portal/legalAct.html?documentId=39961960696e11eca9ac839120d251c4" TargetMode="External"/><Relationship Id="rId97" Type="http://schemas.openxmlformats.org/officeDocument/2006/relationships/hyperlink" Target="https://www.e-tar.lt/portal/legalAct.html?documentId=39961960696e11eca9ac839120d251c4" TargetMode="External"/><Relationship Id="rId104" Type="http://schemas.openxmlformats.org/officeDocument/2006/relationships/hyperlink" Target="https://www.e-tar.lt/portal/legalAct.html?documentId=39961960696e11eca9ac839120d251c4" TargetMode="External"/><Relationship Id="rId120" Type="http://schemas.openxmlformats.org/officeDocument/2006/relationships/hyperlink" Target="https://www.e-tar.lt/portal/legalAct.html?documentId=39961960696e11eca9ac839120d251c4" TargetMode="External"/><Relationship Id="rId125" Type="http://schemas.openxmlformats.org/officeDocument/2006/relationships/hyperlink" Target="https://www.e-tar.lt/portal/legalAct.html?documentId=6fbb0bd0aa2211e9964cdd77475976b0" TargetMode="External"/><Relationship Id="rId141" Type="http://schemas.openxmlformats.org/officeDocument/2006/relationships/hyperlink" Target="https://www.e-tar.lt/portal/legalAct.html?documentId=b3f79d409efb11e9878fc525390407ce" TargetMode="External"/><Relationship Id="rId146" Type="http://schemas.openxmlformats.org/officeDocument/2006/relationships/hyperlink" Target="https://www.e-tar.lt/portal/legalAct.html?documentId=b3f79d409efb11e9878fc525390407ce" TargetMode="External"/><Relationship Id="rId167" Type="http://schemas.openxmlformats.org/officeDocument/2006/relationships/hyperlink" Target="https://www.e-tar.lt/portal/legalAct.html?documentId=39961960696e11eca9ac839120d251c4" TargetMode="External"/><Relationship Id="rId188" Type="http://schemas.openxmlformats.org/officeDocument/2006/relationships/hyperlink" Target="https://www.e-tar.lt/portal/legalAct.html?documentId=6fbb0bd0aa2211e9964cdd77475976b0" TargetMode="External"/><Relationship Id="rId7" Type="http://schemas.openxmlformats.org/officeDocument/2006/relationships/hyperlink" Target="https://www.e-tar.lt/portal/legalAct.html?documentId=e1ddc0a0131811e9b2b6e7cdb14007b4" TargetMode="External"/><Relationship Id="rId71" Type="http://schemas.openxmlformats.org/officeDocument/2006/relationships/hyperlink" Target="https://www.e-tar.lt/portal/legalAct.html?documentId=39961960696e11eca9ac839120d251c4" TargetMode="External"/><Relationship Id="rId92" Type="http://schemas.openxmlformats.org/officeDocument/2006/relationships/hyperlink" Target="https://www.e-tar.lt/portal/legalAct.html?documentId=39961960696e11eca9ac839120d251c4" TargetMode="External"/><Relationship Id="rId162" Type="http://schemas.openxmlformats.org/officeDocument/2006/relationships/hyperlink" Target="https://www.e-tar.lt/portal/legalAct.html?documentId=39961960696e11eca9ac839120d251c4" TargetMode="External"/><Relationship Id="rId183" Type="http://schemas.openxmlformats.org/officeDocument/2006/relationships/hyperlink" Target="https://www.e-tar.lt/portal/legalAct.html?documentId=1a105440640311eca9ac839120d251c4" TargetMode="External"/><Relationship Id="rId213" Type="http://schemas.openxmlformats.org/officeDocument/2006/relationships/hyperlink" Target="https://www.e-tar.lt/portal/legalAct.html?documentId=39961960696e11eca9ac839120d251c4" TargetMode="External"/><Relationship Id="rId218" Type="http://schemas.openxmlformats.org/officeDocument/2006/relationships/hyperlink" Target="https://www.e-tar.lt/portal/legalAct.html?documentId=39961960696e11eca9ac839120d251c4" TargetMode="External"/><Relationship Id="rId234" Type="http://schemas.openxmlformats.org/officeDocument/2006/relationships/hyperlink" Target="https://www.e-tar.lt/portal/legalAct.html?documentId=6a6f6dd099c611e58fd1fc0b9bba68a7" TargetMode="External"/><Relationship Id="rId239" Type="http://schemas.openxmlformats.org/officeDocument/2006/relationships/hyperlink" Target="https://www.e-tar.lt/portal/legalAct.html?documentId=7143c27055d211e9975f9c35aedfe438" TargetMode="External"/><Relationship Id="rId2" Type="http://schemas.openxmlformats.org/officeDocument/2006/relationships/settings" Target="settings.xml"/><Relationship Id="rId29" Type="http://schemas.openxmlformats.org/officeDocument/2006/relationships/hyperlink" Target="https://www.e-tar.lt/portal/legalAct.html?documentId=39961960696e11eca9ac839120d251c4" TargetMode="External"/><Relationship Id="rId250" Type="http://schemas.openxmlformats.org/officeDocument/2006/relationships/footer" Target="footer4.xml"/><Relationship Id="rId24" Type="http://schemas.openxmlformats.org/officeDocument/2006/relationships/hyperlink" Target="https://www.e-tar.lt/portal/legalAct.html?documentId=39961960696e11eca9ac839120d251c4" TargetMode="External"/><Relationship Id="rId40" Type="http://schemas.openxmlformats.org/officeDocument/2006/relationships/hyperlink" Target="https://www.e-tar.lt/portal/legalAct.html?documentId=39961960696e11eca9ac839120d251c4" TargetMode="External"/><Relationship Id="rId45" Type="http://schemas.openxmlformats.org/officeDocument/2006/relationships/hyperlink" Target="https://www.e-tar.lt/portal/legalAct.html?documentId=39961960696e11eca9ac839120d251c4" TargetMode="External"/><Relationship Id="rId66" Type="http://schemas.openxmlformats.org/officeDocument/2006/relationships/hyperlink" Target="https://www.e-tar.lt/portal/legalAct.html?documentId=39961960696e11eca9ac839120d251c4" TargetMode="External"/><Relationship Id="rId87" Type="http://schemas.openxmlformats.org/officeDocument/2006/relationships/hyperlink" Target="https://www.e-tar.lt/portal/legalAct.html?documentId=39961960696e11eca9ac839120d251c4" TargetMode="External"/><Relationship Id="rId110" Type="http://schemas.openxmlformats.org/officeDocument/2006/relationships/hyperlink" Target="https://www.e-tar.lt/portal/legalAct.html?documentId=b3f79d409efb11e9878fc525390407ce" TargetMode="External"/><Relationship Id="rId115" Type="http://schemas.openxmlformats.org/officeDocument/2006/relationships/hyperlink" Target="https://www.e-tar.lt/portal/legalAct.html?documentId=39961960696e11eca9ac839120d251c4" TargetMode="External"/><Relationship Id="rId131" Type="http://schemas.openxmlformats.org/officeDocument/2006/relationships/hyperlink" Target="https://www.e-tar.lt/portal/legalAct.html?documentId=4b3a37c0a19f11ea9515f752ff221ec9" TargetMode="External"/><Relationship Id="rId136" Type="http://schemas.openxmlformats.org/officeDocument/2006/relationships/hyperlink" Target="https://www.e-tar.lt/portal/legalAct.html?documentId=39961960696e11eca9ac839120d251c4" TargetMode="External"/><Relationship Id="rId157" Type="http://schemas.openxmlformats.org/officeDocument/2006/relationships/hyperlink" Target="https://www.e-tar.lt/portal/legalAct.html?documentId=14ae30305ea811edbc04912defe897d1" TargetMode="External"/><Relationship Id="rId178" Type="http://schemas.openxmlformats.org/officeDocument/2006/relationships/hyperlink" Target="https://www.e-tar.lt/portal/legalAct.html?documentId=1a105440640311eca9ac839120d251c4" TargetMode="External"/><Relationship Id="rId61" Type="http://schemas.openxmlformats.org/officeDocument/2006/relationships/hyperlink" Target="https://www.e-tar.lt/portal/legalAct.html?documentId=6fbb0bd0aa2211e9964cdd77475976b0" TargetMode="External"/><Relationship Id="rId82" Type="http://schemas.openxmlformats.org/officeDocument/2006/relationships/hyperlink" Target="https://www.e-tar.lt/portal/legalAct.html?documentId=39961960696e11eca9ac839120d251c4" TargetMode="External"/><Relationship Id="rId152" Type="http://schemas.openxmlformats.org/officeDocument/2006/relationships/hyperlink" Target="https://www.e-tar.lt/portal/legalAct.html?documentId=14ae30305ea811edbc04912defe897d1" TargetMode="External"/><Relationship Id="rId173" Type="http://schemas.openxmlformats.org/officeDocument/2006/relationships/hyperlink" Target="https://www.e-tar.lt/portal/legalAct.html?documentId=39961960696e11eca9ac839120d251c4" TargetMode="External"/><Relationship Id="rId194" Type="http://schemas.openxmlformats.org/officeDocument/2006/relationships/hyperlink" Target="https://www.e-tar.lt/portal/legalAct.html?documentId=39961960696e11eca9ac839120d251c4" TargetMode="External"/><Relationship Id="rId199" Type="http://schemas.openxmlformats.org/officeDocument/2006/relationships/hyperlink" Target="https://www.e-tar.lt/portal/legalAct.html?documentId=39961960696e11eca9ac839120d251c4" TargetMode="External"/><Relationship Id="rId203" Type="http://schemas.openxmlformats.org/officeDocument/2006/relationships/footer" Target="footer1.xml"/><Relationship Id="rId208" Type="http://schemas.openxmlformats.org/officeDocument/2006/relationships/hyperlink" Target="https://www.e-tar.lt/portal/legalAct.html?documentId=39961960696e11eca9ac839120d251c4" TargetMode="External"/><Relationship Id="rId229" Type="http://schemas.openxmlformats.org/officeDocument/2006/relationships/hyperlink" Target="http://www3.lrs.lt/cgi-bin/preps2?a=450041&amp;b=" TargetMode="External"/><Relationship Id="rId19" Type="http://schemas.openxmlformats.org/officeDocument/2006/relationships/hyperlink" Target="https://www.e-tar.lt/portal/legalAct.html?documentId=39961960696e11eca9ac839120d251c4" TargetMode="External"/><Relationship Id="rId224" Type="http://schemas.openxmlformats.org/officeDocument/2006/relationships/hyperlink" Target="http://www3.lrs.lt/cgi-bin/preps2?a=340364&amp;b=" TargetMode="External"/><Relationship Id="rId240" Type="http://schemas.openxmlformats.org/officeDocument/2006/relationships/hyperlink" Target="https://www.e-tar.lt/portal/legalAct.html?documentId=b3f79d409efb11e9878fc525390407ce" TargetMode="External"/><Relationship Id="rId245" Type="http://schemas.openxmlformats.org/officeDocument/2006/relationships/hyperlink" Target="https://www.e-tar.lt/portal/legalAct.html?documentId=39961960696e11eca9ac839120d251c4" TargetMode="External"/><Relationship Id="rId14" Type="http://schemas.openxmlformats.org/officeDocument/2006/relationships/hyperlink" Target="https://www.e-tar.lt/portal/legalAct.html?documentId=39961960696e11eca9ac839120d251c4" TargetMode="External"/><Relationship Id="rId30" Type="http://schemas.openxmlformats.org/officeDocument/2006/relationships/hyperlink" Target="https://www.e-tar.lt/portal/legalAct.html?documentId=6fbb0bd0aa2211e9964cdd77475976b0" TargetMode="External"/><Relationship Id="rId35" Type="http://schemas.openxmlformats.org/officeDocument/2006/relationships/hyperlink" Target="https://www.e-tar.lt/portal/legalAct.html?documentId=39961960696e11eca9ac839120d251c4" TargetMode="External"/><Relationship Id="rId56" Type="http://schemas.openxmlformats.org/officeDocument/2006/relationships/hyperlink" Target="https://www.e-tar.lt/portal/legalAct.html?documentId=39961960696e11eca9ac839120d251c4" TargetMode="External"/><Relationship Id="rId77" Type="http://schemas.openxmlformats.org/officeDocument/2006/relationships/hyperlink" Target="https://www.e-tar.lt/portal/legalAct.html?documentId=39961960696e11eca9ac839120d251c4" TargetMode="External"/><Relationship Id="rId100" Type="http://schemas.openxmlformats.org/officeDocument/2006/relationships/hyperlink" Target="https://www.e-tar.lt/portal/legalAct.html?documentId=39961960696e11eca9ac839120d251c4" TargetMode="External"/><Relationship Id="rId105" Type="http://schemas.openxmlformats.org/officeDocument/2006/relationships/hyperlink" Target="https://www.e-tar.lt/portal/legalAct.html?documentId=39961960696e11eca9ac839120d251c4" TargetMode="External"/><Relationship Id="rId126" Type="http://schemas.openxmlformats.org/officeDocument/2006/relationships/hyperlink" Target="https://www.e-tar.lt/portal/legalAct.html?documentId=6fbb0bd0aa2211e9964cdd77475976b0" TargetMode="External"/><Relationship Id="rId147" Type="http://schemas.openxmlformats.org/officeDocument/2006/relationships/hyperlink" Target="https://www.e-tar.lt/portal/legalAct.html?documentId=b3f79d409efb11e9878fc525390407ce" TargetMode="External"/><Relationship Id="rId168" Type="http://schemas.openxmlformats.org/officeDocument/2006/relationships/hyperlink" Target="https://www.e-tar.lt/portal/legalAct.html?documentId=b3f79d409efb11e9878fc525390407ce" TargetMode="External"/><Relationship Id="rId8" Type="http://schemas.openxmlformats.org/officeDocument/2006/relationships/hyperlink" Target="https://www.e-tar.lt/portal/legalAct.html?documentId=b3f79d409efb11e9878fc525390407ce" TargetMode="External"/><Relationship Id="rId51" Type="http://schemas.openxmlformats.org/officeDocument/2006/relationships/hyperlink" Target="https://www.e-tar.lt/portal/legalAct.html?documentId=14ae30305ea811edbc04912defe897d1" TargetMode="External"/><Relationship Id="rId72" Type="http://schemas.openxmlformats.org/officeDocument/2006/relationships/hyperlink" Target="https://www.e-tar.lt/portal/legalAct.html?documentId=39961960696e11eca9ac839120d251c4" TargetMode="External"/><Relationship Id="rId93" Type="http://schemas.openxmlformats.org/officeDocument/2006/relationships/hyperlink" Target="https://www.e-tar.lt/portal/legalAct.html?documentId=39961960696e11eca9ac839120d251c4" TargetMode="External"/><Relationship Id="rId98" Type="http://schemas.openxmlformats.org/officeDocument/2006/relationships/hyperlink" Target="https://www.e-tar.lt/portal/legalAct.html?documentId=39961960696e11eca9ac839120d251c4" TargetMode="External"/><Relationship Id="rId121" Type="http://schemas.openxmlformats.org/officeDocument/2006/relationships/hyperlink" Target="https://www.e-tar.lt/portal/legalAct.html?documentId=6fbb0bd0aa2211e9964cdd77475976b0" TargetMode="External"/><Relationship Id="rId142" Type="http://schemas.openxmlformats.org/officeDocument/2006/relationships/hyperlink" Target="https://www.e-tar.lt/portal/legalAct.html?documentId=b3f79d409efb11e9878fc525390407ce" TargetMode="External"/><Relationship Id="rId163" Type="http://schemas.openxmlformats.org/officeDocument/2006/relationships/hyperlink" Target="https://www.e-tar.lt/portal/legalAct.html?documentId=39961960696e11eca9ac839120d251c4" TargetMode="External"/><Relationship Id="rId184" Type="http://schemas.openxmlformats.org/officeDocument/2006/relationships/hyperlink" Target="https://www.e-tar.lt/portal/legalAct.html?documentId=1a105440640311eca9ac839120d251c4" TargetMode="External"/><Relationship Id="rId189" Type="http://schemas.openxmlformats.org/officeDocument/2006/relationships/hyperlink" Target="https://www.e-tar.lt/portal/legalAct.html?documentId=39961960696e11eca9ac839120d251c4" TargetMode="External"/><Relationship Id="rId219" Type="http://schemas.openxmlformats.org/officeDocument/2006/relationships/hyperlink" Target="https://www.e-tar.lt/portal/legalAct.html?documentId=1edb37d0604011edbc04912defe897d1" TargetMode="External"/><Relationship Id="rId3" Type="http://schemas.openxmlformats.org/officeDocument/2006/relationships/webSettings" Target="webSettings.xml"/><Relationship Id="rId214" Type="http://schemas.openxmlformats.org/officeDocument/2006/relationships/hyperlink" Target="https://www.e-tar.lt/portal/legalAct.html?documentId=39961960696e11eca9ac839120d251c4" TargetMode="External"/><Relationship Id="rId230" Type="http://schemas.openxmlformats.org/officeDocument/2006/relationships/hyperlink" Target="https://www.e-tar.lt/portal/legalAct.html?documentId=005d33204a2911e483c6e89f9dba57fd" TargetMode="External"/><Relationship Id="rId235" Type="http://schemas.openxmlformats.org/officeDocument/2006/relationships/hyperlink" Target="https://www.e-tar.lt/portal/legalAct.html?documentId=77d4dc903c5e11e6bcc5c96b48152012" TargetMode="External"/><Relationship Id="rId251" Type="http://schemas.openxmlformats.org/officeDocument/2006/relationships/fontTable" Target="fontTable.xml"/><Relationship Id="rId25" Type="http://schemas.openxmlformats.org/officeDocument/2006/relationships/hyperlink" Target="https://www.e-tar.lt/portal/legalAct.html?documentId=39961960696e11eca9ac839120d251c4" TargetMode="External"/><Relationship Id="rId46" Type="http://schemas.openxmlformats.org/officeDocument/2006/relationships/hyperlink" Target="https://www.e-tar.lt/portal/legalAct.html?documentId=39961960696e11eca9ac839120d251c4" TargetMode="External"/><Relationship Id="rId67" Type="http://schemas.openxmlformats.org/officeDocument/2006/relationships/hyperlink" Target="https://www.e-tar.lt/portal/legalAct.html?documentId=39961960696e11eca9ac839120d251c4" TargetMode="External"/><Relationship Id="rId116" Type="http://schemas.openxmlformats.org/officeDocument/2006/relationships/hyperlink" Target="https://www.e-tar.lt/portal/legalAct.html?documentId=39961960696e11eca9ac839120d251c4" TargetMode="External"/><Relationship Id="rId137" Type="http://schemas.openxmlformats.org/officeDocument/2006/relationships/hyperlink" Target="https://www.e-tar.lt/portal/legalAct.html?documentId=b3f79d409efb11e9878fc525390407ce" TargetMode="External"/><Relationship Id="rId158" Type="http://schemas.openxmlformats.org/officeDocument/2006/relationships/hyperlink" Target="https://www.e-tar.lt/portal/legalAct.html?documentId=39961960696e11eca9ac839120d251c4" TargetMode="External"/><Relationship Id="rId20" Type="http://schemas.openxmlformats.org/officeDocument/2006/relationships/hyperlink" Target="https://www.e-tar.lt/portal/legalAct.html?documentId=4b3a37c0a19f11ea9515f752ff221ec9" TargetMode="External"/><Relationship Id="rId41" Type="http://schemas.openxmlformats.org/officeDocument/2006/relationships/hyperlink" Target="https://www.e-tar.lt/portal/legalAct.html?documentId=39961960696e11eca9ac839120d251c4" TargetMode="External"/><Relationship Id="rId62" Type="http://schemas.openxmlformats.org/officeDocument/2006/relationships/hyperlink" Target="https://www.e-tar.lt/portal/legalAct.html?documentId=39961960696e11eca9ac839120d251c4" TargetMode="External"/><Relationship Id="rId83" Type="http://schemas.openxmlformats.org/officeDocument/2006/relationships/hyperlink" Target="https://www.e-tar.lt/portal/legalAct.html?documentId=39961960696e11eca9ac839120d251c4" TargetMode="External"/><Relationship Id="rId88" Type="http://schemas.openxmlformats.org/officeDocument/2006/relationships/hyperlink" Target="https://www.e-tar.lt/portal/legalAct.html?documentId=39961960696e11eca9ac839120d251c4" TargetMode="External"/><Relationship Id="rId111" Type="http://schemas.openxmlformats.org/officeDocument/2006/relationships/hyperlink" Target="https://www.e-tar.lt/portal/legalAct.html?documentId=b3f79d409efb11e9878fc525390407ce" TargetMode="External"/><Relationship Id="rId132" Type="http://schemas.openxmlformats.org/officeDocument/2006/relationships/hyperlink" Target="https://www.e-tar.lt/portal/legalAct.html?documentId=39961960696e11eca9ac839120d251c4" TargetMode="External"/><Relationship Id="rId153" Type="http://schemas.openxmlformats.org/officeDocument/2006/relationships/hyperlink" Target="https://www.e-tar.lt/portal/legalAct.html?documentId=39961960696e11eca9ac839120d251c4" TargetMode="External"/><Relationship Id="rId174" Type="http://schemas.openxmlformats.org/officeDocument/2006/relationships/hyperlink" Target="https://www.e-tar.lt/portal/legalAct.html?documentId=39961960696e11eca9ac839120d251c4" TargetMode="External"/><Relationship Id="rId179" Type="http://schemas.openxmlformats.org/officeDocument/2006/relationships/hyperlink" Target="https://www.e-tar.lt/portal/legalAct.html?documentId=39961960696e11eca9ac839120d251c4" TargetMode="External"/><Relationship Id="rId195" Type="http://schemas.openxmlformats.org/officeDocument/2006/relationships/hyperlink" Target="https://www.e-tar.lt/portal/legalAct.html?documentId=39961960696e11eca9ac839120d251c4" TargetMode="External"/><Relationship Id="rId209" Type="http://schemas.openxmlformats.org/officeDocument/2006/relationships/hyperlink" Target="https://www.e-tar.lt/portal/legalAct.html?documentId=1a105440640311eca9ac839120d251c4" TargetMode="External"/><Relationship Id="rId190" Type="http://schemas.openxmlformats.org/officeDocument/2006/relationships/hyperlink" Target="https://www.e-tar.lt/portal/legalAct.html?documentId=14ae30305ea811edbc04912defe897d1" TargetMode="External"/><Relationship Id="rId204" Type="http://schemas.openxmlformats.org/officeDocument/2006/relationships/footer" Target="footer2.xml"/><Relationship Id="rId220" Type="http://schemas.openxmlformats.org/officeDocument/2006/relationships/hyperlink" Target="https://www.e-tar.lt/portal/legalAct.html?documentId=14ae30305ea811edbc04912defe897d1" TargetMode="External"/><Relationship Id="rId225" Type="http://schemas.openxmlformats.org/officeDocument/2006/relationships/hyperlink" Target="http://www3.lrs.lt/cgi-bin/preps2?a=374945&amp;b=" TargetMode="External"/><Relationship Id="rId241" Type="http://schemas.openxmlformats.org/officeDocument/2006/relationships/hyperlink" Target="https://www.e-tar.lt/portal/legalAct.html?documentId=6fbb0bd0aa2211e9964cdd77475976b0" TargetMode="External"/><Relationship Id="rId246" Type="http://schemas.openxmlformats.org/officeDocument/2006/relationships/hyperlink" Target="https://www.e-tar.lt/portal/legalAct.html?documentId=14ae30305ea811edbc04912defe897d1" TargetMode="External"/><Relationship Id="rId15" Type="http://schemas.openxmlformats.org/officeDocument/2006/relationships/hyperlink" Target="https://www.e-tar.lt/portal/legalAct.html?documentId=39961960696e11eca9ac839120d251c4" TargetMode="External"/><Relationship Id="rId36" Type="http://schemas.openxmlformats.org/officeDocument/2006/relationships/hyperlink" Target="https://www.e-tar.lt/portal/legalAct.html?documentId=39961960696e11eca9ac839120d251c4" TargetMode="External"/><Relationship Id="rId57" Type="http://schemas.openxmlformats.org/officeDocument/2006/relationships/hyperlink" Target="https://www.e-tar.lt/portal/legalAct.html?documentId=39961960696e11eca9ac839120d251c4" TargetMode="External"/><Relationship Id="rId106" Type="http://schemas.openxmlformats.org/officeDocument/2006/relationships/hyperlink" Target="https://www.e-tar.lt/portal/legalAct.html?documentId=6fbb0bd0aa2211e9964cdd77475976b0" TargetMode="External"/><Relationship Id="rId127" Type="http://schemas.openxmlformats.org/officeDocument/2006/relationships/hyperlink" Target="https://www.e-tar.lt/portal/legalAct.html?documentId=6fbb0bd0aa2211e9964cdd77475976b0" TargetMode="External"/><Relationship Id="rId10" Type="http://schemas.openxmlformats.org/officeDocument/2006/relationships/hyperlink" Target="https://www.e-tar.lt/portal/legalAct.html?documentId=4b3a37c0a19f11ea9515f752ff221ec9" TargetMode="External"/><Relationship Id="rId31" Type="http://schemas.openxmlformats.org/officeDocument/2006/relationships/hyperlink" Target="https://www.e-tar.lt/portal/legalAct.html?documentId=39961960696e11eca9ac839120d251c4" TargetMode="External"/><Relationship Id="rId52" Type="http://schemas.openxmlformats.org/officeDocument/2006/relationships/hyperlink" Target="https://www.e-tar.lt/portal/legalAct.html?documentId=39961960696e11eca9ac839120d251c4" TargetMode="External"/><Relationship Id="rId73" Type="http://schemas.openxmlformats.org/officeDocument/2006/relationships/hyperlink" Target="https://www.e-tar.lt/portal/legalAct.html?documentId=39961960696e11eca9ac839120d251c4" TargetMode="External"/><Relationship Id="rId78" Type="http://schemas.openxmlformats.org/officeDocument/2006/relationships/hyperlink" Target="https://www.e-tar.lt/portal/legalAct.html?documentId=39961960696e11eca9ac839120d251c4" TargetMode="External"/><Relationship Id="rId94" Type="http://schemas.openxmlformats.org/officeDocument/2006/relationships/hyperlink" Target="https://www.e-tar.lt/portal/legalAct.html?documentId=39961960696e11eca9ac839120d251c4" TargetMode="External"/><Relationship Id="rId99" Type="http://schemas.openxmlformats.org/officeDocument/2006/relationships/hyperlink" Target="https://www.e-tar.lt/portal/legalAct.html?documentId=e1ddc0a0131811e9b2b6e7cdb14007b4" TargetMode="External"/><Relationship Id="rId101" Type="http://schemas.openxmlformats.org/officeDocument/2006/relationships/hyperlink" Target="https://www.e-tar.lt/portal/legalAct.html?documentId=1a105440640311eca9ac839120d251c4" TargetMode="External"/><Relationship Id="rId122" Type="http://schemas.openxmlformats.org/officeDocument/2006/relationships/hyperlink" Target="https://www.e-tar.lt/portal/legalAct.html?documentId=6fbb0bd0aa2211e9964cdd77475976b0" TargetMode="External"/><Relationship Id="rId143" Type="http://schemas.openxmlformats.org/officeDocument/2006/relationships/hyperlink" Target="https://www.e-tar.lt/portal/legalAct.html?documentId=b3f79d409efb11e9878fc525390407ce" TargetMode="External"/><Relationship Id="rId148" Type="http://schemas.openxmlformats.org/officeDocument/2006/relationships/hyperlink" Target="https://www.e-tar.lt/portal/legalAct.html?documentId=14ae30305ea811edbc04912defe897d1" TargetMode="External"/><Relationship Id="rId164" Type="http://schemas.openxmlformats.org/officeDocument/2006/relationships/hyperlink" Target="https://www.e-tar.lt/portal/legalAct.html?documentId=39961960696e11eca9ac839120d251c4" TargetMode="External"/><Relationship Id="rId169" Type="http://schemas.openxmlformats.org/officeDocument/2006/relationships/hyperlink" Target="https://www.e-tar.lt/portal/legalAct.html?documentId=39961960696e11eca9ac839120d251c4" TargetMode="External"/><Relationship Id="rId185" Type="http://schemas.openxmlformats.org/officeDocument/2006/relationships/hyperlink" Target="https://www.e-tar.lt/portal/legalAct.html?documentId=7143c27055d211e9975f9c35aedfe438" TargetMode="External"/><Relationship Id="rId4" Type="http://schemas.openxmlformats.org/officeDocument/2006/relationships/footnotes" Target="footnotes.xml"/><Relationship Id="rId9" Type="http://schemas.openxmlformats.org/officeDocument/2006/relationships/hyperlink" Target="https://www.e-tar.lt/portal/legalAct.html?documentId=b3f79d409efb11e9878fc525390407ce" TargetMode="External"/><Relationship Id="rId180" Type="http://schemas.openxmlformats.org/officeDocument/2006/relationships/hyperlink" Target="https://www.e-tar.lt/portal/legalAct.html?documentId=b3f79d409efb11e9878fc525390407ce" TargetMode="External"/><Relationship Id="rId210" Type="http://schemas.openxmlformats.org/officeDocument/2006/relationships/hyperlink" Target="https://www.e-tar.lt/portal/legalAct.html?documentId=39961960696e11eca9ac839120d251c4" TargetMode="External"/><Relationship Id="rId215" Type="http://schemas.openxmlformats.org/officeDocument/2006/relationships/hyperlink" Target="https://www.e-tar.lt/portal/legalAct.html?documentId=39961960696e11eca9ac839120d251c4" TargetMode="External"/><Relationship Id="rId236" Type="http://schemas.openxmlformats.org/officeDocument/2006/relationships/hyperlink" Target="https://www.e-tar.lt/portal/legalAct.html?documentId=858ed6c05b3311e79198ffdb108a3753" TargetMode="External"/><Relationship Id="rId26" Type="http://schemas.openxmlformats.org/officeDocument/2006/relationships/hyperlink" Target="https://www.e-tar.lt/portal/legalAct.html?documentId=39961960696e11eca9ac839120d251c4" TargetMode="External"/><Relationship Id="rId231" Type="http://schemas.openxmlformats.org/officeDocument/2006/relationships/hyperlink" Target="https://www.e-tar.lt/portal/legalAct.html?documentId=14e4f91090b811e4bb408baba2bdddf3" TargetMode="External"/><Relationship Id="rId252" Type="http://schemas.openxmlformats.org/officeDocument/2006/relationships/theme" Target="theme/theme1.xml"/><Relationship Id="rId47" Type="http://schemas.openxmlformats.org/officeDocument/2006/relationships/hyperlink" Target="https://www.e-tar.lt/portal/legalAct.html?documentId=39961960696e11eca9ac839120d251c4" TargetMode="External"/><Relationship Id="rId68" Type="http://schemas.openxmlformats.org/officeDocument/2006/relationships/hyperlink" Target="https://www.e-tar.lt/portal/legalAct.html?documentId=3098dbb0a0aa11ea9515f752ff221ec9" TargetMode="External"/><Relationship Id="rId89" Type="http://schemas.openxmlformats.org/officeDocument/2006/relationships/hyperlink" Target="https://www.e-tar.lt/portal/legalAct.html?documentId=39961960696e11eca9ac839120d251c4" TargetMode="External"/><Relationship Id="rId112" Type="http://schemas.openxmlformats.org/officeDocument/2006/relationships/hyperlink" Target="https://www.e-tar.lt/portal/legalAct.html?documentId=b3f79d409efb11e9878fc525390407ce" TargetMode="External"/><Relationship Id="rId133" Type="http://schemas.openxmlformats.org/officeDocument/2006/relationships/hyperlink" Target="https://www.e-tar.lt/portal/legalAct.html?documentId=39961960696e11eca9ac839120d251c4" TargetMode="External"/><Relationship Id="rId154" Type="http://schemas.openxmlformats.org/officeDocument/2006/relationships/hyperlink" Target="https://www.e-tar.lt/portal/legalAct.html?documentId=14ae30305ea811edbc04912defe897d1" TargetMode="External"/><Relationship Id="rId175" Type="http://schemas.openxmlformats.org/officeDocument/2006/relationships/hyperlink" Target="https://www.e-tar.lt/portal/legalAct.html?documentId=39961960696e11eca9ac839120d251c4" TargetMode="External"/><Relationship Id="rId196" Type="http://schemas.openxmlformats.org/officeDocument/2006/relationships/hyperlink" Target="https://www.e-tar.lt/portal/legalAct.html?documentId=39961960696e11eca9ac839120d251c4" TargetMode="External"/><Relationship Id="rId200" Type="http://schemas.openxmlformats.org/officeDocument/2006/relationships/hyperlink" Target="https://www.e-tar.lt/portal/legalAct.html?documentId=39961960696e11eca9ac839120d251c4" TargetMode="External"/><Relationship Id="rId16" Type="http://schemas.openxmlformats.org/officeDocument/2006/relationships/hyperlink" Target="https://www.e-tar.lt/portal/legalAct.html?documentId=39961960696e11eca9ac839120d251c4" TargetMode="External"/><Relationship Id="rId221" Type="http://schemas.openxmlformats.org/officeDocument/2006/relationships/hyperlink" Target="https://www.e-tar.lt/portal/legalAct.html?documentId=70b4de3098f111e58fd1fc0b9bba68a7" TargetMode="External"/><Relationship Id="rId242" Type="http://schemas.openxmlformats.org/officeDocument/2006/relationships/hyperlink" Target="https://www.e-tar.lt/portal/legalAct.html?documentId=4b3a37c0a19f11ea9515f752ff221ec9" TargetMode="External"/><Relationship Id="rId37" Type="http://schemas.openxmlformats.org/officeDocument/2006/relationships/hyperlink" Target="https://www.e-tar.lt/portal/legalAct.html?documentId=b3f79d409efb11e9878fc525390407ce" TargetMode="External"/><Relationship Id="rId58" Type="http://schemas.openxmlformats.org/officeDocument/2006/relationships/hyperlink" Target="https://www.e-tar.lt/portal/legalAct.html?documentId=b3f79d409efb11e9878fc525390407ce" TargetMode="External"/><Relationship Id="rId79" Type="http://schemas.openxmlformats.org/officeDocument/2006/relationships/hyperlink" Target="https://www.e-tar.lt/portal/legalAct.html?documentId=39961960696e11eca9ac839120d251c4" TargetMode="External"/><Relationship Id="rId102" Type="http://schemas.openxmlformats.org/officeDocument/2006/relationships/hyperlink" Target="https://www.e-tar.lt/portal/legalAct.html?documentId=39961960696e11eca9ac839120d251c4" TargetMode="External"/><Relationship Id="rId123" Type="http://schemas.openxmlformats.org/officeDocument/2006/relationships/hyperlink" Target="https://www.e-tar.lt/portal/legalAct.html?documentId=6fbb0bd0aa2211e9964cdd77475976b0" TargetMode="External"/><Relationship Id="rId144" Type="http://schemas.openxmlformats.org/officeDocument/2006/relationships/hyperlink" Target="https://www.e-tar.lt/portal/legalAct.html?documentId=b3f79d409efb11e9878fc525390407ce" TargetMode="External"/><Relationship Id="rId90" Type="http://schemas.openxmlformats.org/officeDocument/2006/relationships/hyperlink" Target="https://www.e-tar.lt/portal/legalAct.html?documentId=6fbb0bd0aa2211e9964cdd77475976b0" TargetMode="External"/><Relationship Id="rId165" Type="http://schemas.openxmlformats.org/officeDocument/2006/relationships/hyperlink" Target="https://www.e-tar.lt/portal/legalAct.html?documentId=39961960696e11eca9ac839120d251c4" TargetMode="External"/><Relationship Id="rId186" Type="http://schemas.openxmlformats.org/officeDocument/2006/relationships/hyperlink" Target="https://www.e-tar.lt/portal/legalAct.html?documentId=39961960696e11eca9ac839120d251c4" TargetMode="External"/><Relationship Id="rId211" Type="http://schemas.openxmlformats.org/officeDocument/2006/relationships/hyperlink" Target="https://www.e-tar.lt/portal/legalAct.html?documentId=1a105440640311eca9ac839120d251c4" TargetMode="External"/><Relationship Id="rId232" Type="http://schemas.openxmlformats.org/officeDocument/2006/relationships/hyperlink" Target="https://www.e-tar.lt/portal/legalAct.html?documentId=0331afb0d79e11e4894f9bde45468d3f" TargetMode="External"/><Relationship Id="rId27" Type="http://schemas.openxmlformats.org/officeDocument/2006/relationships/hyperlink" Target="https://www.e-tar.lt/portal/legalAct.html?documentId=4b3a37c0a19f11ea9515f752ff221ec9" TargetMode="External"/><Relationship Id="rId48" Type="http://schemas.openxmlformats.org/officeDocument/2006/relationships/hyperlink" Target="https://www.e-tar.lt/portal/legalAct.html?documentId=39961960696e11eca9ac839120d251c4" TargetMode="External"/><Relationship Id="rId69" Type="http://schemas.openxmlformats.org/officeDocument/2006/relationships/hyperlink" Target="https://www.e-tar.lt/portal/legalAct.html?documentId=39961960696e11eca9ac839120d251c4" TargetMode="External"/><Relationship Id="rId113" Type="http://schemas.openxmlformats.org/officeDocument/2006/relationships/hyperlink" Target="https://www.e-tar.lt/portal/legalAct.html?documentId=b3f79d409efb11e9878fc525390407ce" TargetMode="External"/><Relationship Id="rId134" Type="http://schemas.openxmlformats.org/officeDocument/2006/relationships/hyperlink" Target="https://www.e-tar.lt/portal/legalAct.html?documentId=39961960696e11eca9ac839120d251c4" TargetMode="External"/><Relationship Id="rId80" Type="http://schemas.openxmlformats.org/officeDocument/2006/relationships/hyperlink" Target="https://www.e-tar.lt/portal/legalAct.html?documentId=39961960696e11eca9ac839120d251c4" TargetMode="External"/><Relationship Id="rId155" Type="http://schemas.openxmlformats.org/officeDocument/2006/relationships/hyperlink" Target="https://www.e-tar.lt/portal/legalAct.html?documentId=39961960696e11eca9ac839120d251c4" TargetMode="External"/><Relationship Id="rId176" Type="http://schemas.openxmlformats.org/officeDocument/2006/relationships/hyperlink" Target="https://www.e-tar.lt/portal/legalAct.html?documentId=1a105440640311eca9ac839120d251c4" TargetMode="External"/><Relationship Id="rId197" Type="http://schemas.openxmlformats.org/officeDocument/2006/relationships/hyperlink" Target="https://www.e-tar.lt/portal/legalAct.html?documentId=39961960696e11eca9ac839120d251c4" TargetMode="External"/><Relationship Id="rId201" Type="http://schemas.openxmlformats.org/officeDocument/2006/relationships/header" Target="header1.xml"/><Relationship Id="rId222" Type="http://schemas.openxmlformats.org/officeDocument/2006/relationships/hyperlink" Target="https://www.e-tar.lt/portal/legalAct.html?documentId=4b3a37c0a19f11ea9515f752ff221ec9" TargetMode="External"/><Relationship Id="rId243" Type="http://schemas.openxmlformats.org/officeDocument/2006/relationships/hyperlink" Target="https://www.e-tar.lt/portal/legalAct.html?documentId=3098dbb0a0aa11ea9515f752ff221ec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133</Pages>
  <Words>329106</Words>
  <Characters>187591</Characters>
  <Application>Microsoft Office Word</Application>
  <DocSecurity>0</DocSecurity>
  <Lines>1563</Lines>
  <Paragraphs>1031</Paragraphs>
  <ScaleCrop>false</ScaleCrop>
  <HeadingPairs>
    <vt:vector size="2" baseType="variant">
      <vt:variant>
        <vt:lpstr>Title</vt:lpstr>
      </vt:variant>
      <vt:variant>
        <vt:i4>1</vt:i4>
      </vt:variant>
    </vt:vector>
  </HeadingPairs>
  <TitlesOfParts>
    <vt:vector size="1" baseType="lpstr">
      <vt:lpstr>Consolidated version from 15-06-2018</vt:lpstr>
    </vt:vector>
  </TitlesOfParts>
  <Company>LR Seimas</Company>
  <LinksUpToDate>false</LinksUpToDate>
  <CharactersWithSpaces>515666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version from 15-06-2018</dc:title>
  <dc:subject/>
  <dc:creator>vimani</dc:creator>
  <cp:keywords/>
  <dc:description/>
  <cp:lastModifiedBy>Kamilė Stonytė</cp:lastModifiedBy>
  <cp:revision>2</cp:revision>
  <cp:lastPrinted>2004-12-10T06:45:00Z</cp:lastPrinted>
  <dcterms:created xsi:type="dcterms:W3CDTF">2023-03-05T16:40:00Z</dcterms:created>
  <dcterms:modified xsi:type="dcterms:W3CDTF">2023-03-05T16:40:00Z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2023-01-23T09:57:29Z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88d75237-1584-4a17-9940-3586920b1991</vt:lpwstr>
  </property>
  <property fmtid="{D5CDD505-2E9C-101B-9397-08002B2CF9AE}" pid="8" name="MSIP_Label_e5564178-1ca1-4992-b45e-fdaf9919e704_ContentBits">
    <vt:lpwstr>0</vt:lpwstr>
  </property>
</Properties>
</file>