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C1A05" w14:textId="77777777" w:rsidR="00344ED4" w:rsidRDefault="005A6A7B">
      <w:pPr>
        <w:jc w:val="center"/>
        <w:rPr>
          <w:rFonts w:eastAsia="Verdana"/>
          <w:b/>
          <w:bCs/>
          <w:color w:val="000000"/>
          <w:szCs w:val="24"/>
        </w:rPr>
      </w:pPr>
      <w:r>
        <w:rPr>
          <w:rFonts w:ascii="Verdana" w:hAnsi="Verdana"/>
          <w:noProof/>
          <w:sz w:val="20"/>
        </w:rPr>
        <w:drawing>
          <wp:inline distT="0" distB="0" distL="0" distR="0" wp14:anchorId="3B8C1A46" wp14:editId="3B8C1A47">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p w14:paraId="3B8C1A06" w14:textId="77777777" w:rsidR="00344ED4" w:rsidRDefault="005A6A7B">
      <w:pPr>
        <w:jc w:val="center"/>
        <w:rPr>
          <w:rFonts w:eastAsia="Verdana"/>
          <w:b/>
          <w:bCs/>
          <w:caps/>
          <w:color w:val="000000"/>
          <w:szCs w:val="24"/>
        </w:rPr>
      </w:pPr>
      <w:r>
        <w:rPr>
          <w:b/>
          <w:caps/>
          <w:color w:val="000000"/>
        </w:rPr>
        <w:t>BOARD OF LIETUVOS BANKAS</w:t>
      </w:r>
    </w:p>
    <w:p w14:paraId="3B8C1A07" w14:textId="77777777" w:rsidR="00344ED4" w:rsidRDefault="00344ED4">
      <w:pPr>
        <w:jc w:val="center"/>
        <w:rPr>
          <w:rFonts w:eastAsia="Verdana"/>
          <w:b/>
          <w:bCs/>
          <w:caps/>
          <w:color w:val="000000"/>
          <w:szCs w:val="24"/>
          <w:lang w:eastAsia="lt-LT"/>
        </w:rPr>
      </w:pPr>
    </w:p>
    <w:p w14:paraId="3B8C1A08" w14:textId="77777777" w:rsidR="00344ED4" w:rsidRDefault="005A6A7B">
      <w:pPr>
        <w:jc w:val="center"/>
        <w:rPr>
          <w:rFonts w:eastAsia="Verdana"/>
          <w:b/>
          <w:bCs/>
          <w:caps/>
          <w:color w:val="000000"/>
          <w:szCs w:val="24"/>
        </w:rPr>
      </w:pPr>
      <w:r>
        <w:rPr>
          <w:b/>
          <w:caps/>
          <w:color w:val="000000"/>
        </w:rPr>
        <w:t>RESOLUTION</w:t>
      </w:r>
    </w:p>
    <w:p w14:paraId="3B8C1A09" w14:textId="070C2215" w:rsidR="00344ED4" w:rsidRDefault="005A6A7B">
      <w:pPr>
        <w:jc w:val="center"/>
        <w:rPr>
          <w:rFonts w:eastAsia="Verdana"/>
          <w:b/>
          <w:bCs/>
          <w:caps/>
          <w:color w:val="000000"/>
          <w:szCs w:val="24"/>
        </w:rPr>
      </w:pPr>
      <w:r>
        <w:rPr>
          <w:b/>
          <w:caps/>
          <w:color w:val="000000"/>
        </w:rPr>
        <w:t>ON THE APPROVAL OF THE REQUIREMENTS FOR THE KNOWLEDGE, EXPERIENCE</w:t>
      </w:r>
      <w:r w:rsidR="00944670">
        <w:rPr>
          <w:b/>
          <w:caps/>
          <w:color w:val="000000"/>
        </w:rPr>
        <w:t>,</w:t>
      </w:r>
      <w:r>
        <w:rPr>
          <w:b/>
          <w:caps/>
          <w:color w:val="000000"/>
        </w:rPr>
        <w:t xml:space="preserve"> AND QUALIFICATIONS OF EMPLOYEES OF CRYPTO-ASSET SERVICE PROVIDERS</w:t>
      </w:r>
    </w:p>
    <w:p w14:paraId="3B8C1A0A" w14:textId="77777777" w:rsidR="00344ED4" w:rsidRDefault="00344ED4">
      <w:pPr>
        <w:jc w:val="center"/>
        <w:rPr>
          <w:rFonts w:eastAsia="Verdana"/>
          <w:b/>
          <w:bCs/>
          <w:caps/>
          <w:color w:val="000000"/>
          <w:szCs w:val="24"/>
          <w:lang w:eastAsia="lt-LT"/>
        </w:rPr>
      </w:pPr>
    </w:p>
    <w:p w14:paraId="3B8C1A0B" w14:textId="77777777" w:rsidR="00344ED4" w:rsidRDefault="005A6A7B">
      <w:pPr>
        <w:jc w:val="center"/>
        <w:rPr>
          <w:rFonts w:eastAsia="Verdana"/>
          <w:color w:val="000000"/>
          <w:kern w:val="2"/>
          <w:szCs w:val="24"/>
        </w:rPr>
      </w:pPr>
      <w:r>
        <w:rPr>
          <w:color w:val="000000"/>
        </w:rPr>
        <w:t>16 December 2025 No 2025/03-162</w:t>
      </w:r>
    </w:p>
    <w:p w14:paraId="3B8C1A0C" w14:textId="77777777" w:rsidR="00344ED4" w:rsidRDefault="005A6A7B">
      <w:pPr>
        <w:spacing w:line="259" w:lineRule="auto"/>
        <w:jc w:val="center"/>
        <w:rPr>
          <w:rFonts w:eastAsia="Verdana"/>
          <w:color w:val="000000"/>
          <w:kern w:val="2"/>
          <w:szCs w:val="24"/>
        </w:rPr>
      </w:pPr>
      <w:r>
        <w:rPr>
          <w:color w:val="000000"/>
        </w:rPr>
        <w:t>Vilnius</w:t>
      </w:r>
    </w:p>
    <w:p w14:paraId="3B8C1A0D" w14:textId="77777777" w:rsidR="00344ED4" w:rsidRDefault="00344ED4">
      <w:pPr>
        <w:jc w:val="center"/>
        <w:rPr>
          <w:rFonts w:eastAsia="Verdana"/>
          <w:b/>
          <w:bCs/>
          <w:caps/>
          <w:color w:val="000000"/>
          <w:szCs w:val="24"/>
          <w:lang w:eastAsia="lt-LT"/>
        </w:rPr>
      </w:pPr>
    </w:p>
    <w:p w14:paraId="3B8C1A0E" w14:textId="77777777" w:rsidR="00344ED4" w:rsidRDefault="005A6A7B">
      <w:pPr>
        <w:ind w:firstLine="567"/>
        <w:jc w:val="both"/>
        <w:rPr>
          <w:rFonts w:eastAsia="Verdana"/>
          <w:szCs w:val="24"/>
        </w:rPr>
      </w:pPr>
      <w:r>
        <w:t>Acting in accordance with Article 42(4)(1) of the Republic of Lithuania Law on the Bank of Lithuania and Article 3(8) of the Republic of Lithuania Law on Markets in Crypto-Assets, the Board of Lietuvos bankas has r e s o l v e d:</w:t>
      </w:r>
    </w:p>
    <w:p w14:paraId="3B8C1A0F" w14:textId="77843101" w:rsidR="00344ED4" w:rsidRDefault="005A6A7B">
      <w:pPr>
        <w:ind w:firstLine="567"/>
        <w:jc w:val="both"/>
        <w:rPr>
          <w:rFonts w:eastAsia="Verdana"/>
          <w:kern w:val="2"/>
          <w:szCs w:val="24"/>
        </w:rPr>
      </w:pPr>
      <w:r>
        <w:t>1. To approve the Requirements for the Knowledge, Experience</w:t>
      </w:r>
      <w:r w:rsidR="00944670">
        <w:t>,</w:t>
      </w:r>
      <w:r>
        <w:t xml:space="preserve"> and Qualifications of Employees of Crypto-Asset Service Providers (attached).</w:t>
      </w:r>
    </w:p>
    <w:p w14:paraId="3B8C1A10" w14:textId="53025E85" w:rsidR="00344ED4" w:rsidRDefault="005A6A7B">
      <w:pPr>
        <w:ind w:firstLine="567"/>
        <w:jc w:val="both"/>
        <w:rPr>
          <w:rFonts w:eastAsia="Verdana"/>
          <w:szCs w:val="24"/>
        </w:rPr>
      </w:pPr>
      <w:r>
        <w:t>2. To establish that employees of crypto-asset service providers who, prior to the date of entry into force of this resolution, have been providing advice on crypto-assets or crypto-asset portfolio management services or providing information on crypto-assets, crypto-asset services</w:t>
      </w:r>
      <w:r w:rsidR="00944670">
        <w:t>,</w:t>
      </w:r>
      <w:r>
        <w:t xml:space="preserve"> or ancillary services to clients or potential clients for at least one year while working full-time, shall be deemed to meet the requirements for the knowledge, experience, and qualifications necessary to perform their functions, as set out in the Requirements for the Knowledge, Experience</w:t>
      </w:r>
      <w:r w:rsidR="00944670">
        <w:t>,</w:t>
      </w:r>
      <w:r>
        <w:t xml:space="preserve"> and Qualifications of Employees of Crypto-Asset Service Providers approved by this resolution.</w:t>
      </w:r>
    </w:p>
    <w:p w14:paraId="3B8C1A11" w14:textId="77777777" w:rsidR="00344ED4" w:rsidRDefault="00344ED4">
      <w:pPr>
        <w:ind w:firstLine="567"/>
        <w:jc w:val="both"/>
        <w:rPr>
          <w:rFonts w:eastAsia="Verdana"/>
          <w:szCs w:val="24"/>
        </w:rPr>
      </w:pPr>
    </w:p>
    <w:p w14:paraId="3B8C1A12" w14:textId="77777777" w:rsidR="00344ED4" w:rsidRDefault="00344ED4">
      <w:pPr>
        <w:ind w:firstLine="567"/>
        <w:jc w:val="both"/>
        <w:rPr>
          <w:rFonts w:eastAsia="Verdana"/>
          <w:szCs w:val="24"/>
        </w:rPr>
      </w:pPr>
    </w:p>
    <w:p w14:paraId="3B8C1A13" w14:textId="77777777" w:rsidR="00344ED4" w:rsidRDefault="00344ED4">
      <w:pPr>
        <w:ind w:firstLine="567"/>
        <w:jc w:val="both"/>
        <w:rPr>
          <w:rFonts w:eastAsia="Verdana"/>
          <w:szCs w:val="24"/>
        </w:rPr>
      </w:pPr>
    </w:p>
    <w:p w14:paraId="3B8C1A14" w14:textId="77777777" w:rsidR="005A6A7B" w:rsidRDefault="005A6A7B" w:rsidP="005A6A7B">
      <w:pPr>
        <w:spacing w:line="259" w:lineRule="auto"/>
        <w:rPr>
          <w:kern w:val="2"/>
          <w:szCs w:val="24"/>
        </w:rPr>
      </w:pPr>
      <w:r>
        <w:t xml:space="preserve">Deputy Chair of the Board, </w:t>
      </w:r>
    </w:p>
    <w:p w14:paraId="3B8C1A15" w14:textId="77777777" w:rsidR="00344ED4" w:rsidRDefault="005A6A7B" w:rsidP="0095408E">
      <w:pPr>
        <w:keepNext/>
        <w:widowControl w:val="0"/>
        <w:tabs>
          <w:tab w:val="left" w:pos="7513"/>
        </w:tabs>
        <w:spacing w:line="259" w:lineRule="auto"/>
        <w:outlineLvl w:val="2"/>
        <w:rPr>
          <w:sz w:val="14"/>
          <w:szCs w:val="14"/>
        </w:rPr>
      </w:pPr>
      <w:r>
        <w:t xml:space="preserve">deputising for the Chair of the Board </w:t>
      </w:r>
      <w:r>
        <w:tab/>
        <w:t>Julita Varanauskienė</w:t>
      </w:r>
    </w:p>
    <w:p w14:paraId="3B8C1A16" w14:textId="77777777" w:rsidR="005A6A7B" w:rsidRDefault="005A6A7B">
      <w:pPr>
        <w:widowControl w:val="0"/>
        <w:ind w:left="6480"/>
        <w:sectPr w:rsidR="005A6A7B" w:rsidSect="005A6A7B">
          <w:headerReference w:type="default" r:id="rId9"/>
          <w:pgSz w:w="11906" w:h="16838"/>
          <w:pgMar w:top="1701" w:right="567" w:bottom="1134" w:left="1701" w:header="567" w:footer="567" w:gutter="0"/>
          <w:cols w:space="1296"/>
          <w:titlePg/>
          <w:docGrid w:linePitch="360"/>
        </w:sectPr>
      </w:pPr>
    </w:p>
    <w:p w14:paraId="3B8C1A17" w14:textId="77777777" w:rsidR="00344ED4" w:rsidRDefault="005A6A7B">
      <w:pPr>
        <w:widowControl w:val="0"/>
        <w:ind w:left="6480"/>
        <w:rPr>
          <w:szCs w:val="24"/>
        </w:rPr>
      </w:pPr>
      <w:r>
        <w:lastRenderedPageBreak/>
        <w:t>APPROVED</w:t>
      </w:r>
    </w:p>
    <w:p w14:paraId="3B8C1A18" w14:textId="6C4B82E9" w:rsidR="00344ED4" w:rsidRDefault="005A6A7B">
      <w:pPr>
        <w:widowControl w:val="0"/>
        <w:ind w:left="6480"/>
        <w:rPr>
          <w:szCs w:val="24"/>
        </w:rPr>
      </w:pPr>
      <w:r>
        <w:t>by Resolution No 2025/03-162</w:t>
      </w:r>
    </w:p>
    <w:p w14:paraId="3B8C1A19" w14:textId="77777777" w:rsidR="00344ED4" w:rsidRDefault="005A6A7B">
      <w:pPr>
        <w:widowControl w:val="0"/>
        <w:ind w:left="6480"/>
        <w:rPr>
          <w:szCs w:val="24"/>
        </w:rPr>
      </w:pPr>
      <w:r>
        <w:t>of the Board of Lietuvos bankas</w:t>
      </w:r>
      <w:r>
        <w:br/>
        <w:t>of 16 December 2025</w:t>
      </w:r>
    </w:p>
    <w:p w14:paraId="3B8C1A1A" w14:textId="77777777" w:rsidR="00344ED4" w:rsidRDefault="00344ED4">
      <w:pPr>
        <w:jc w:val="center"/>
        <w:rPr>
          <w:rFonts w:eastAsia="Verdana"/>
          <w:b/>
          <w:bCs/>
          <w:caps/>
          <w:color w:val="000000"/>
          <w:szCs w:val="24"/>
          <w:lang w:eastAsia="lt-LT"/>
        </w:rPr>
      </w:pPr>
    </w:p>
    <w:p w14:paraId="3B8C1A1B" w14:textId="7A9D4D30" w:rsidR="00344ED4" w:rsidRDefault="005A6A7B">
      <w:pPr>
        <w:jc w:val="center"/>
        <w:rPr>
          <w:rFonts w:eastAsia="Verdana"/>
          <w:b/>
          <w:bCs/>
          <w:caps/>
          <w:color w:val="000000"/>
          <w:szCs w:val="24"/>
        </w:rPr>
      </w:pPr>
      <w:r>
        <w:rPr>
          <w:b/>
          <w:caps/>
          <w:color w:val="000000"/>
        </w:rPr>
        <w:t>REQUIREMENTS FOR THE KNOWLEDGE, EXPERIENCE</w:t>
      </w:r>
      <w:r w:rsidR="00944670">
        <w:rPr>
          <w:b/>
          <w:caps/>
          <w:color w:val="000000"/>
        </w:rPr>
        <w:t>,</w:t>
      </w:r>
      <w:r>
        <w:rPr>
          <w:b/>
          <w:caps/>
          <w:color w:val="000000"/>
        </w:rPr>
        <w:t xml:space="preserve"> AND QUALIFICATIONS OF EMPLOYEES OF CRYPTO-ASSET SERVICE PROVIDERS</w:t>
      </w:r>
    </w:p>
    <w:p w14:paraId="3B8C1A1C" w14:textId="77777777" w:rsidR="00344ED4" w:rsidRDefault="00344ED4">
      <w:pPr>
        <w:jc w:val="center"/>
        <w:rPr>
          <w:rFonts w:eastAsia="Verdana"/>
          <w:b/>
          <w:bCs/>
          <w:caps/>
          <w:color w:val="000000"/>
          <w:kern w:val="2"/>
          <w:szCs w:val="24"/>
          <w:lang w:eastAsia="lt-LT"/>
        </w:rPr>
      </w:pPr>
    </w:p>
    <w:p w14:paraId="3B8C1A1D" w14:textId="77777777" w:rsidR="00344ED4" w:rsidRDefault="005A6A7B">
      <w:pPr>
        <w:jc w:val="center"/>
        <w:rPr>
          <w:rFonts w:eastAsia="Verdana"/>
          <w:b/>
          <w:bCs/>
          <w:caps/>
          <w:color w:val="000000"/>
          <w:szCs w:val="24"/>
        </w:rPr>
      </w:pPr>
      <w:r>
        <w:rPr>
          <w:b/>
          <w:caps/>
          <w:color w:val="000000"/>
        </w:rPr>
        <w:t>CHAPTER I</w:t>
      </w:r>
    </w:p>
    <w:p w14:paraId="3B8C1A1E" w14:textId="77777777" w:rsidR="00344ED4" w:rsidRDefault="005A6A7B">
      <w:pPr>
        <w:jc w:val="center"/>
        <w:rPr>
          <w:rFonts w:eastAsia="Verdana"/>
          <w:b/>
          <w:bCs/>
          <w:caps/>
          <w:color w:val="000000"/>
          <w:szCs w:val="24"/>
        </w:rPr>
      </w:pPr>
      <w:r>
        <w:rPr>
          <w:b/>
          <w:caps/>
          <w:color w:val="000000"/>
        </w:rPr>
        <w:t>GENERAL PROVISIONS</w:t>
      </w:r>
    </w:p>
    <w:p w14:paraId="3B8C1A1F" w14:textId="77777777" w:rsidR="00344ED4" w:rsidRDefault="00344ED4">
      <w:pPr>
        <w:rPr>
          <w:rFonts w:eastAsia="Verdana"/>
          <w:b/>
          <w:bCs/>
          <w:caps/>
          <w:color w:val="000000"/>
          <w:szCs w:val="24"/>
          <w:lang w:eastAsia="lt-LT"/>
        </w:rPr>
      </w:pPr>
    </w:p>
    <w:p w14:paraId="3B8C1A20" w14:textId="4B0A681A" w:rsidR="00344ED4" w:rsidRDefault="005A6A7B">
      <w:pPr>
        <w:ind w:firstLine="709"/>
        <w:jc w:val="both"/>
        <w:rPr>
          <w:szCs w:val="24"/>
        </w:rPr>
      </w:pPr>
      <w:r>
        <w:t>1. The Requirements for the Knowledge, Experience</w:t>
      </w:r>
      <w:r w:rsidR="00944670">
        <w:t>,</w:t>
      </w:r>
      <w:r>
        <w:t xml:space="preserve"> and Qualifications of Employees of Crypto-Asset Service Providers (hereinafter, the Requirements) lay down the requirements </w:t>
      </w:r>
      <w:r>
        <w:rPr>
          <w:color w:val="000000"/>
        </w:rPr>
        <w:t>for the knowledge, experience, and qualifications</w:t>
      </w:r>
      <w:r>
        <w:t xml:space="preserve"> of employees of crypto-asset service providers who provide advice on crypto-assets or crypto-asset portfolio management </w:t>
      </w:r>
      <w:r>
        <w:rPr>
          <w:color w:val="000000"/>
        </w:rPr>
        <w:t>services</w:t>
      </w:r>
      <w:r>
        <w:t xml:space="preserve"> on behalf of the crypto-asset service provider, as well as employees who provide information on crypto-assets, crypto-asset services</w:t>
      </w:r>
      <w:r w:rsidR="00944670">
        <w:t>,</w:t>
      </w:r>
      <w:r>
        <w:t xml:space="preserve"> or ancillary services to clients or potential clients.</w:t>
      </w:r>
    </w:p>
    <w:p w14:paraId="3B8C1A21" w14:textId="6948803D" w:rsidR="00344ED4" w:rsidRDefault="005A6A7B">
      <w:pPr>
        <w:ind w:firstLine="709"/>
        <w:jc w:val="both"/>
        <w:rPr>
          <w:color w:val="000000"/>
          <w:szCs w:val="24"/>
        </w:rPr>
      </w:pPr>
      <w:r>
        <w:rPr>
          <w:color w:val="000000"/>
        </w:rPr>
        <w:t xml:space="preserve">2. </w:t>
      </w:r>
      <w:r>
        <w:t>The Requirements</w:t>
      </w:r>
      <w:r>
        <w:rPr>
          <w:color w:val="000000"/>
        </w:rPr>
        <w:t xml:space="preserve"> shall apply to crypto-asset service providers who have the right to provide advice on crypto-assets or crypto-asset portfolio management services, as well as to crypto-asset service providers whose employees provide information on crypto-assets, crypto-asset services</w:t>
      </w:r>
      <w:r w:rsidR="00944670">
        <w:rPr>
          <w:color w:val="000000"/>
        </w:rPr>
        <w:t>,</w:t>
      </w:r>
      <w:r>
        <w:rPr>
          <w:color w:val="000000"/>
        </w:rPr>
        <w:t xml:space="preserve"> or ancillary services to clients or potential clients (hereinafter, employees providing information on crypto-asset services). </w:t>
      </w:r>
    </w:p>
    <w:p w14:paraId="3B8C1A22" w14:textId="77777777" w:rsidR="00344ED4" w:rsidRDefault="005A6A7B">
      <w:pPr>
        <w:ind w:firstLine="709"/>
        <w:jc w:val="both"/>
        <w:rPr>
          <w:color w:val="000000"/>
          <w:kern w:val="2"/>
          <w:szCs w:val="24"/>
          <w:shd w:val="clear" w:color="auto" w:fill="FFFFFF"/>
        </w:rPr>
      </w:pPr>
      <w:r>
        <w:t>3. The terms used for the purpose of the Requirements</w:t>
      </w:r>
      <w:r>
        <w:rPr>
          <w:color w:val="000000"/>
          <w:shd w:val="clear" w:color="auto" w:fill="FFFFFF"/>
        </w:rPr>
        <w:t xml:space="preserve"> shall have the meaning defined in </w:t>
      </w:r>
      <w:r>
        <w:t xml:space="preserve">Regulation </w:t>
      </w:r>
      <w:hyperlink r:id="rId10" w:tgtFrame="_blank" w:history="1">
        <w:r>
          <w:rPr>
            <w:color w:val="0563C1" w:themeColor="hyperlink"/>
            <w:u w:val="single"/>
          </w:rPr>
          <w:t>(EU) 2023/1114</w:t>
        </w:r>
      </w:hyperlink>
      <w:r>
        <w:t xml:space="preserve"> of the European Parliament and of the Council of 31 May 2023 on markets in crypto-assets, and amending Regulations </w:t>
      </w:r>
      <w:hyperlink r:id="rId11" w:tgtFrame="_blank" w:history="1">
        <w:r>
          <w:rPr>
            <w:color w:val="0563C1" w:themeColor="hyperlink"/>
            <w:u w:val="single"/>
          </w:rPr>
          <w:t>(EU) No 1093/2010</w:t>
        </w:r>
      </w:hyperlink>
      <w:r>
        <w:t xml:space="preserve"> and </w:t>
      </w:r>
      <w:hyperlink r:id="rId12" w:tgtFrame="_blank" w:history="1">
        <w:r>
          <w:rPr>
            <w:color w:val="0563C1" w:themeColor="hyperlink"/>
            <w:u w:val="single"/>
          </w:rPr>
          <w:t>(EU) No 1095/2010</w:t>
        </w:r>
      </w:hyperlink>
      <w:r>
        <w:t xml:space="preserve"> and Directives </w:t>
      </w:r>
      <w:hyperlink r:id="rId13" w:tgtFrame="_blank" w:history="1">
        <w:r>
          <w:rPr>
            <w:color w:val="0563C1" w:themeColor="hyperlink"/>
            <w:u w:val="single"/>
          </w:rPr>
          <w:t>2013/36/EU</w:t>
        </w:r>
      </w:hyperlink>
      <w:r>
        <w:t xml:space="preserve"> and </w:t>
      </w:r>
      <w:hyperlink r:id="rId14" w:tgtFrame="_blank" w:history="1">
        <w:r>
          <w:rPr>
            <w:color w:val="0563C1" w:themeColor="hyperlink"/>
            <w:u w:val="single"/>
          </w:rPr>
          <w:t>(EU) 2019/1937</w:t>
        </w:r>
      </w:hyperlink>
      <w:r>
        <w:t xml:space="preserve">, as amended, </w:t>
      </w:r>
      <w:r>
        <w:rPr>
          <w:color w:val="000000"/>
          <w:shd w:val="clear" w:color="auto" w:fill="FFFFFF"/>
        </w:rPr>
        <w:t>and in the Republic of Lithuania Law on Markets in Crypto-Assets.</w:t>
      </w:r>
    </w:p>
    <w:p w14:paraId="3B8C1A23" w14:textId="77777777" w:rsidR="00344ED4" w:rsidRDefault="005A6A7B">
      <w:pPr>
        <w:ind w:firstLine="709"/>
        <w:jc w:val="both"/>
        <w:rPr>
          <w:color w:val="000000"/>
          <w:kern w:val="2"/>
          <w:szCs w:val="24"/>
          <w:shd w:val="clear" w:color="auto" w:fill="FFFFFF"/>
        </w:rPr>
      </w:pPr>
      <w:r>
        <w:rPr>
          <w:color w:val="000000"/>
          <w:shd w:val="clear" w:color="auto" w:fill="FFFFFF"/>
        </w:rPr>
        <w:t>4. The Requirements have been drawn up in accordance with the Guidelines for the criteria on the assessment of knowledge and competence under the Markets in Crypto Assets Regulation (MiCA) (ESMA35-24871704-2922) adopted by the European Securities and Markets Authority and shall apply in conjunction therewith.</w:t>
      </w:r>
    </w:p>
    <w:p w14:paraId="3B8C1A24" w14:textId="77777777" w:rsidR="00344ED4" w:rsidRDefault="00344ED4">
      <w:pPr>
        <w:jc w:val="both"/>
        <w:rPr>
          <w:color w:val="000000"/>
          <w:kern w:val="2"/>
          <w:szCs w:val="24"/>
          <w:shd w:val="clear" w:color="auto" w:fill="FFFFFF"/>
        </w:rPr>
      </w:pPr>
    </w:p>
    <w:p w14:paraId="3B8C1A25" w14:textId="77777777" w:rsidR="00344ED4" w:rsidRDefault="005A6A7B" w:rsidP="005A6A7B">
      <w:pPr>
        <w:jc w:val="center"/>
        <w:rPr>
          <w:b/>
          <w:bCs/>
          <w:color w:val="000000"/>
          <w:kern w:val="2"/>
          <w:szCs w:val="24"/>
          <w:shd w:val="clear" w:color="auto" w:fill="FFFFFF"/>
        </w:rPr>
      </w:pPr>
      <w:r>
        <w:rPr>
          <w:b/>
          <w:color w:val="000000"/>
          <w:shd w:val="clear" w:color="auto" w:fill="FFFFFF"/>
        </w:rPr>
        <w:t>CHAPTER II</w:t>
      </w:r>
    </w:p>
    <w:p w14:paraId="3B8C1A26" w14:textId="77777777" w:rsidR="00344ED4" w:rsidRDefault="005A6A7B" w:rsidP="005A6A7B">
      <w:pPr>
        <w:jc w:val="center"/>
        <w:rPr>
          <w:b/>
          <w:bCs/>
          <w:color w:val="000000"/>
          <w:kern w:val="2"/>
          <w:szCs w:val="24"/>
          <w:shd w:val="clear" w:color="auto" w:fill="FFFFFF"/>
        </w:rPr>
      </w:pPr>
      <w:r>
        <w:rPr>
          <w:b/>
          <w:color w:val="000000"/>
          <w:shd w:val="clear" w:color="auto" w:fill="FFFFFF"/>
        </w:rPr>
        <w:t>REQUIREMENTS FOR THE EMPLOYEES OF CRYPTO-ASSET SERVICE PROVIDERS</w:t>
      </w:r>
    </w:p>
    <w:p w14:paraId="3B8C1A27" w14:textId="77777777" w:rsidR="00344ED4" w:rsidRDefault="00344ED4">
      <w:pPr>
        <w:ind w:firstLine="709"/>
        <w:jc w:val="center"/>
        <w:rPr>
          <w:b/>
          <w:bCs/>
          <w:color w:val="000000"/>
          <w:kern w:val="2"/>
          <w:szCs w:val="24"/>
          <w:shd w:val="clear" w:color="auto" w:fill="FFFFFF"/>
        </w:rPr>
      </w:pPr>
    </w:p>
    <w:p w14:paraId="3B8C1A28" w14:textId="57FBCAE8" w:rsidR="00344ED4" w:rsidRDefault="005A6A7B">
      <w:pPr>
        <w:ind w:firstLine="709"/>
        <w:jc w:val="both"/>
        <w:rPr>
          <w:szCs w:val="24"/>
        </w:rPr>
      </w:pPr>
      <w:r>
        <w:rPr>
          <w:color w:val="000000"/>
          <w:shd w:val="clear" w:color="auto" w:fill="FFFFFF"/>
        </w:rPr>
        <w:t xml:space="preserve">5. </w:t>
      </w:r>
      <w:r>
        <w:t xml:space="preserve">A crypto-asset service provider must ensure and, at the request of the supervisory authority, prove that its employees providing advice on crypto-assets or crypto-asset portfolio management </w:t>
      </w:r>
      <w:r>
        <w:rPr>
          <w:color w:val="000000"/>
        </w:rPr>
        <w:t>services</w:t>
      </w:r>
      <w:r>
        <w:t xml:space="preserve"> on behalf of the crypto-asset service provider at the initiative of the client or the crypto-asset service provider, as well as employees providing information on crypto-asset services</w:t>
      </w:r>
      <w:r w:rsidR="00944670">
        <w:t>,</w:t>
      </w:r>
      <w:r>
        <w:t xml:space="preserve"> have the necessary knowledge, experience, and qualifications to perform their assigned functions and ensure compliance with the requirements of </w:t>
      </w:r>
      <w:r>
        <w:rPr>
          <w:color w:val="000000"/>
          <w:shd w:val="clear" w:color="auto" w:fill="FFFFFF"/>
        </w:rPr>
        <w:t>Regulation</w:t>
      </w:r>
      <w:r>
        <w:t xml:space="preserve"> </w:t>
      </w:r>
      <w:hyperlink r:id="rId15" w:tgtFrame="_blank" w:history="1">
        <w:r>
          <w:rPr>
            <w:color w:val="0563C1" w:themeColor="hyperlink"/>
            <w:u w:val="single"/>
            <w:shd w:val="clear" w:color="auto" w:fill="FFFFFF"/>
          </w:rPr>
          <w:t>(EU) 2023/1114</w:t>
        </w:r>
      </w:hyperlink>
      <w:r>
        <w:t>. In complying with the requirement set out herein, the crypto-asset service provider shall take into account the nature, scope, and complexity of its activities, as well as the nature and diversity of the crypto-asset services provided.</w:t>
      </w:r>
    </w:p>
    <w:p w14:paraId="3B8C1A29" w14:textId="77777777" w:rsidR="00344ED4" w:rsidRDefault="005A6A7B">
      <w:pPr>
        <w:ind w:firstLine="709"/>
        <w:jc w:val="both"/>
        <w:rPr>
          <w:szCs w:val="24"/>
        </w:rPr>
      </w:pPr>
      <w:r>
        <w:rPr>
          <w:color w:val="000000"/>
        </w:rPr>
        <w:t xml:space="preserve">6. A crypto-asset service provider must ensure that an employee providing advice on crypto-assets or crypto-asset portfolio management services on behalf of the crypto-asset service provider has </w:t>
      </w:r>
      <w:r>
        <w:t>the necessary knowledge and qualifications to:</w:t>
      </w:r>
    </w:p>
    <w:p w14:paraId="3B8C1A2A" w14:textId="429F8A18" w:rsidR="00344ED4" w:rsidRDefault="005A6A7B">
      <w:pPr>
        <w:ind w:firstLine="709"/>
        <w:jc w:val="both"/>
        <w:rPr>
          <w:szCs w:val="24"/>
        </w:rPr>
      </w:pPr>
      <w:r>
        <w:t xml:space="preserve">6.1. understand and be able to explain the key characteristics, risks, and features of the offered or recommended crypto-assets, including fees and other costs associated with entering into crypto-asset transactions; </w:t>
      </w:r>
    </w:p>
    <w:p w14:paraId="3B8C1A2B" w14:textId="6AB7D8A4" w:rsidR="00344ED4" w:rsidRDefault="005A6A7B">
      <w:pPr>
        <w:ind w:firstLine="709"/>
        <w:jc w:val="both"/>
        <w:rPr>
          <w:szCs w:val="24"/>
        </w:rPr>
      </w:pPr>
      <w:r>
        <w:lastRenderedPageBreak/>
        <w:t>6.2. understand and be able to explain all costs and other payments incurred by the client in connection with entering into a transaction on the offered or recommended crypto-assets, the provision of advice</w:t>
      </w:r>
      <w:r w:rsidR="00944670">
        <w:t>,</w:t>
      </w:r>
      <w:r>
        <w:t xml:space="preserve"> and other services</w:t>
      </w:r>
      <w:r w:rsidR="00944670">
        <w:t xml:space="preserve"> offered</w:t>
      </w:r>
      <w:r>
        <w:t xml:space="preserve"> by the crypto-asset service provider;</w:t>
      </w:r>
    </w:p>
    <w:p w14:paraId="3B8C1A2C" w14:textId="77777777" w:rsidR="00344ED4" w:rsidRDefault="005A6A7B">
      <w:pPr>
        <w:ind w:firstLine="709"/>
        <w:jc w:val="both"/>
        <w:rPr>
          <w:szCs w:val="24"/>
        </w:rPr>
      </w:pPr>
      <w:r>
        <w:t>6.3. be able to fulfil the obligations set by the crypto-asset service provider in relation to suitability assessment requirements;</w:t>
      </w:r>
    </w:p>
    <w:p w14:paraId="3B8C1A2D" w14:textId="160E43BF" w:rsidR="00344ED4" w:rsidRDefault="005A6A7B">
      <w:pPr>
        <w:ind w:firstLine="709"/>
        <w:jc w:val="both"/>
        <w:rPr>
          <w:szCs w:val="24"/>
        </w:rPr>
      </w:pPr>
      <w:r>
        <w:t>6.4. after assessing the information provided by the client and taking into account any changes therein, understand and be able to explain why a particular offered crypto-asset or crypto-asset service would not be suitable for the client;</w:t>
      </w:r>
    </w:p>
    <w:p w14:paraId="3B8C1A2E" w14:textId="77777777" w:rsidR="00344ED4" w:rsidRDefault="005A6A7B">
      <w:pPr>
        <w:ind w:firstLine="709"/>
        <w:jc w:val="both"/>
        <w:rPr>
          <w:szCs w:val="24"/>
        </w:rPr>
      </w:pPr>
      <w:r>
        <w:t>6.5. understand and be able to explain how crypto-asset and financial markets function and how they affect the value and pricing of the crypto-assets offered or recommended to clients;</w:t>
      </w:r>
    </w:p>
    <w:p w14:paraId="3B8C1A2F" w14:textId="21A7A078" w:rsidR="00344ED4" w:rsidRDefault="005A6A7B">
      <w:pPr>
        <w:ind w:firstLine="709"/>
        <w:jc w:val="both"/>
        <w:rPr>
          <w:szCs w:val="24"/>
        </w:rPr>
      </w:pPr>
      <w:r>
        <w:t>6.6. understand and be able to explain the impact of economic figures as well as national, regional, and global events on markets in crypto-assets and on the value of the crypto-assets offered or recommended to clients;</w:t>
      </w:r>
    </w:p>
    <w:p w14:paraId="3B8C1A30" w14:textId="77777777" w:rsidR="00344ED4" w:rsidRDefault="005A6A7B">
      <w:pPr>
        <w:ind w:firstLine="709"/>
        <w:jc w:val="both"/>
        <w:rPr>
          <w:szCs w:val="24"/>
        </w:rPr>
      </w:pPr>
      <w:r>
        <w:t>6.7. understand the differences between past and expected future performance, as well as the limits of predictive forecasting;</w:t>
      </w:r>
    </w:p>
    <w:p w14:paraId="3B8C1A31" w14:textId="77777777" w:rsidR="00344ED4" w:rsidRDefault="005A6A7B">
      <w:pPr>
        <w:ind w:firstLine="709"/>
        <w:jc w:val="both"/>
        <w:rPr>
          <w:szCs w:val="24"/>
        </w:rPr>
      </w:pPr>
      <w:r>
        <w:t>6.8. be familiar with the legal requirements relating to market abuse and anti-money laundering and terrorist financing, and be able to apply them in their activities;</w:t>
      </w:r>
    </w:p>
    <w:p w14:paraId="3B8C1A32" w14:textId="77777777" w:rsidR="00344ED4" w:rsidRDefault="005A6A7B">
      <w:pPr>
        <w:ind w:firstLine="709"/>
        <w:jc w:val="both"/>
        <w:rPr>
          <w:color w:val="000000"/>
          <w:szCs w:val="24"/>
        </w:rPr>
      </w:pPr>
      <w:r>
        <w:t xml:space="preserve">6.9. be able to assess the data related to the crypto-assets they offer or recommend to clients, </w:t>
      </w:r>
      <w:r>
        <w:rPr>
          <w:color w:val="000000"/>
        </w:rPr>
        <w:t>including, but not limited to, white papers,</w:t>
      </w:r>
      <w:r>
        <w:t xml:space="preserve"> </w:t>
      </w:r>
      <w:r>
        <w:rPr>
          <w:color w:val="000000"/>
        </w:rPr>
        <w:t>financial statements, or other financial data;</w:t>
      </w:r>
    </w:p>
    <w:p w14:paraId="3B8C1A33" w14:textId="0A193F9E" w:rsidR="00344ED4" w:rsidRDefault="005A6A7B">
      <w:pPr>
        <w:ind w:firstLine="709"/>
        <w:jc w:val="both"/>
        <w:rPr>
          <w:szCs w:val="24"/>
        </w:rPr>
      </w:pPr>
      <w:r>
        <w:t>6.10. be familiar with the specific market structures for the crypto-assets</w:t>
      </w:r>
      <w:r w:rsidR="00944670">
        <w:t xml:space="preserve">, </w:t>
      </w:r>
      <w:r>
        <w:t>trading platforms</w:t>
      </w:r>
      <w:r w:rsidR="00944670">
        <w:t>,</w:t>
      </w:r>
      <w:r>
        <w:t xml:space="preserve"> or secondary markets specific to the crypto-assets offered or recommended to clients,</w:t>
      </w:r>
      <w:r w:rsidR="00944670">
        <w:t xml:space="preserve"> where relevant, </w:t>
      </w:r>
      <w:r>
        <w:t>and be able to assess and explain their advantages and disadvantages;</w:t>
      </w:r>
    </w:p>
    <w:p w14:paraId="3B8C1A34" w14:textId="77777777" w:rsidR="00344ED4" w:rsidRDefault="005A6A7B">
      <w:pPr>
        <w:ind w:firstLine="709"/>
        <w:jc w:val="both"/>
        <w:rPr>
          <w:szCs w:val="24"/>
        </w:rPr>
      </w:pPr>
      <w:r>
        <w:t>6.11. understand and be able to explain the key valuation principles applied to the crypto-assets offered or recommended to clients;</w:t>
      </w:r>
    </w:p>
    <w:p w14:paraId="3B8C1A35" w14:textId="77777777" w:rsidR="00344ED4" w:rsidRDefault="005A6A7B">
      <w:pPr>
        <w:ind w:firstLine="709"/>
        <w:jc w:val="both"/>
        <w:rPr>
          <w:szCs w:val="24"/>
        </w:rPr>
      </w:pPr>
      <w:r>
        <w:t>6.12. understand and be able to explain the key principles of crypto-asset portfolio management, as well as the importance of diversifying individual investment alternatives and their impact on risk.</w:t>
      </w:r>
    </w:p>
    <w:p w14:paraId="3B8C1A36" w14:textId="77777777" w:rsidR="00344ED4" w:rsidRDefault="005A6A7B">
      <w:pPr>
        <w:ind w:firstLine="709"/>
        <w:jc w:val="both"/>
        <w:rPr>
          <w:szCs w:val="24"/>
        </w:rPr>
      </w:pPr>
      <w:r>
        <w:t xml:space="preserve">7. The necessary knowledge and qualifications in the areas specified in paragraph 6 shall be determined by an assessment carried out by the crypto-asset service provider itself or by an external service provider. An employee providing advice on crypto-assets or crypto-asset portfolio management </w:t>
      </w:r>
      <w:r>
        <w:rPr>
          <w:color w:val="000000"/>
        </w:rPr>
        <w:t>services</w:t>
      </w:r>
      <w:r>
        <w:t xml:space="preserve"> on behalf of the crypto-asset service provider shall be deemed to have the necessary knowledge, experience, and qualifications if they have obtained, for example:</w:t>
      </w:r>
    </w:p>
    <w:p w14:paraId="3B8C1A37" w14:textId="77777777" w:rsidR="00344ED4" w:rsidRDefault="005A6A7B">
      <w:pPr>
        <w:ind w:firstLine="709"/>
        <w:jc w:val="both"/>
        <w:rPr>
          <w:szCs w:val="24"/>
        </w:rPr>
      </w:pPr>
      <w:r>
        <w:t xml:space="preserve">7.1. a degree of higher education relevant for the provision of investment advice on crypto-assets or crypto-asset services and professional experience of at least 1 year in the provision of the relevant crypto-asset services under the supervision of a specialist with the necessary competences; </w:t>
      </w:r>
    </w:p>
    <w:p w14:paraId="3B8C1A38" w14:textId="77777777" w:rsidR="00344ED4" w:rsidRDefault="005A6A7B">
      <w:pPr>
        <w:ind w:firstLine="709"/>
        <w:jc w:val="both"/>
        <w:rPr>
          <w:szCs w:val="24"/>
        </w:rPr>
      </w:pPr>
      <w:r>
        <w:t xml:space="preserve">7.2. secondary education and a professional formation of at least 3 years and professional experience of at least 1 year in the provision of the relevant crypto-asset services under the supervision of a specialist with the necessary competences; </w:t>
      </w:r>
    </w:p>
    <w:p w14:paraId="3B8C1A39" w14:textId="77777777" w:rsidR="00344ED4" w:rsidRDefault="005A6A7B">
      <w:pPr>
        <w:ind w:firstLine="709"/>
        <w:jc w:val="both"/>
        <w:rPr>
          <w:szCs w:val="24"/>
        </w:rPr>
      </w:pPr>
      <w:r>
        <w:t xml:space="preserve">7.3. a professional formation of at least 160 hours and professional experience of at least 1 year in the provision of the relevant crypto-asset services under the supervision of a specialist with the necessary competences; </w:t>
      </w:r>
    </w:p>
    <w:p w14:paraId="3B8C1A3A" w14:textId="77777777" w:rsidR="00344ED4" w:rsidRDefault="005A6A7B">
      <w:pPr>
        <w:ind w:firstLine="709"/>
        <w:jc w:val="both"/>
        <w:rPr>
          <w:szCs w:val="24"/>
        </w:rPr>
      </w:pPr>
      <w:r>
        <w:t>7.4. professional experience of at least 2 years which was acquired in the provision of investment advice in accordance with the procedure established by the Republic of Lithuania Law on Markets in Financial Instruments or the Republic of Lithuania Law on Insurance preceding the start of the provision of advice on crypto-assets and professional experience of at least 6 months in the provision of the relevant crypto-asset services under the supervision of a specialist with the necessary competences.</w:t>
      </w:r>
    </w:p>
    <w:p w14:paraId="3B8C1A3B" w14:textId="77777777" w:rsidR="00344ED4" w:rsidRDefault="005A6A7B">
      <w:pPr>
        <w:ind w:firstLine="709"/>
        <w:jc w:val="both"/>
        <w:rPr>
          <w:szCs w:val="24"/>
        </w:rPr>
      </w:pPr>
      <w:r>
        <w:t xml:space="preserve">8. A crypto-asset service provider must ensure that employees providing information on crypto-asset services have obtained professional experience of at least 12 months related to markets in crypto-assets or financial instruments at a financial institution or a professional formation of at </w:t>
      </w:r>
      <w:r>
        <w:lastRenderedPageBreak/>
        <w:t>least 80 hours and professional experience of at least 6 months under the supervision of a specialist with the necessary competences. The requirements for knowledge and qualifications set out in paragraph 6 of the Requirements, except for subparagraphs 6.3 and 6.12, shall apply mutatis mutandis to employees providing information on crypto-asset services.</w:t>
      </w:r>
    </w:p>
    <w:p w14:paraId="3B8C1A3C" w14:textId="5FA72929" w:rsidR="00344ED4" w:rsidRDefault="005A6A7B">
      <w:pPr>
        <w:ind w:firstLine="709"/>
        <w:jc w:val="both"/>
        <w:rPr>
          <w:szCs w:val="24"/>
        </w:rPr>
      </w:pPr>
      <w:r>
        <w:t>9. Where information or advice on crypto-assets or crypto-asset portfolio management services is provided in an automated or semi-automated manner, crypto-asset service providers must ensure that the Requirements apply to employees responsible for the content of information or advice on crypto-assets or crypto-asset portfolio management services provided to clients. Employees who set the parameters and are responsible for the setting</w:t>
      </w:r>
      <w:r w:rsidR="00944670">
        <w:t xml:space="preserve"> of</w:t>
      </w:r>
      <w:r>
        <w:t xml:space="preserve"> such information and advice on crypto-assets and crypto-asset portfolio management services to be provided should also have the necessary knowledge and qualifications to ensure that appropriate information or advice is provided accurately, in adequate circumstances</w:t>
      </w:r>
      <w:r w:rsidR="00944670">
        <w:t>,</w:t>
      </w:r>
      <w:r>
        <w:t xml:space="preserve"> and to the right clients.</w:t>
      </w:r>
    </w:p>
    <w:p w14:paraId="3B8C1A3D" w14:textId="77777777" w:rsidR="00344ED4" w:rsidRDefault="00344ED4">
      <w:pPr>
        <w:ind w:firstLine="709"/>
        <w:jc w:val="both"/>
        <w:rPr>
          <w:szCs w:val="24"/>
          <w:lang w:eastAsia="lt-LT"/>
        </w:rPr>
      </w:pPr>
    </w:p>
    <w:p w14:paraId="3B8C1A3E" w14:textId="77777777" w:rsidR="00344ED4" w:rsidRDefault="005A6A7B">
      <w:pPr>
        <w:ind w:firstLine="709"/>
        <w:jc w:val="center"/>
        <w:rPr>
          <w:b/>
          <w:bCs/>
          <w:color w:val="000000"/>
          <w:kern w:val="2"/>
          <w:szCs w:val="24"/>
          <w:shd w:val="clear" w:color="auto" w:fill="FFFFFF"/>
        </w:rPr>
      </w:pPr>
      <w:r>
        <w:rPr>
          <w:b/>
          <w:color w:val="000000"/>
          <w:shd w:val="clear" w:color="auto" w:fill="FFFFFF"/>
        </w:rPr>
        <w:t>CHAPTER III</w:t>
      </w:r>
    </w:p>
    <w:p w14:paraId="3B8C1A3F" w14:textId="77777777" w:rsidR="00344ED4" w:rsidRDefault="005A6A7B">
      <w:pPr>
        <w:ind w:firstLine="709"/>
        <w:jc w:val="center"/>
        <w:rPr>
          <w:b/>
          <w:bCs/>
          <w:color w:val="000000"/>
          <w:kern w:val="2"/>
          <w:szCs w:val="24"/>
          <w:shd w:val="clear" w:color="auto" w:fill="FFFFFF"/>
        </w:rPr>
      </w:pPr>
      <w:r>
        <w:rPr>
          <w:b/>
          <w:color w:val="000000"/>
          <w:shd w:val="clear" w:color="auto" w:fill="FFFFFF"/>
        </w:rPr>
        <w:t>FINAL PROVISIONS</w:t>
      </w:r>
    </w:p>
    <w:p w14:paraId="3B8C1A40" w14:textId="77777777" w:rsidR="00344ED4" w:rsidRDefault="00344ED4">
      <w:pPr>
        <w:ind w:firstLine="709"/>
        <w:jc w:val="both"/>
        <w:rPr>
          <w:kern w:val="2"/>
          <w:szCs w:val="24"/>
        </w:rPr>
      </w:pPr>
    </w:p>
    <w:p w14:paraId="3B8C1A41" w14:textId="2C089E6A" w:rsidR="00344ED4" w:rsidRDefault="005A6A7B">
      <w:pPr>
        <w:ind w:firstLine="709"/>
        <w:jc w:val="both"/>
        <w:rPr>
          <w:kern w:val="2"/>
          <w:szCs w:val="24"/>
        </w:rPr>
      </w:pPr>
      <w:r>
        <w:t xml:space="preserve">10. A crypto-asset service provider must ensure that employees </w:t>
      </w:r>
      <w:r>
        <w:rPr>
          <w:color w:val="000000"/>
        </w:rPr>
        <w:t>providing advice on crypto-assets or crypto-asset portfolio management services on behalf of the crypto-asset service provider</w:t>
      </w:r>
      <w:r>
        <w:t xml:space="preserve"> and employees providing information on crypto-asset services are familiar with the company’s internal procedures and policies designed to ensure compliance with the requirements set out in </w:t>
      </w:r>
      <w:r>
        <w:rPr>
          <w:color w:val="000000"/>
          <w:shd w:val="clear" w:color="auto" w:fill="FFFFFF"/>
        </w:rPr>
        <w:t>Regulation</w:t>
      </w:r>
      <w:r>
        <w:t xml:space="preserve"> </w:t>
      </w:r>
      <w:hyperlink r:id="rId16" w:tgtFrame="_blank" w:history="1">
        <w:r>
          <w:rPr>
            <w:color w:val="0563C1" w:themeColor="hyperlink"/>
            <w:u w:val="single"/>
            <w:shd w:val="clear" w:color="auto" w:fill="FFFFFF"/>
          </w:rPr>
          <w:t>(EU) 2023/1114</w:t>
        </w:r>
      </w:hyperlink>
      <w:r>
        <w:t xml:space="preserve">, </w:t>
      </w:r>
      <w:r w:rsidR="00944670">
        <w:t xml:space="preserve">and </w:t>
      </w:r>
      <w:r>
        <w:t>understand and comply with them in the proper performance of their duties.</w:t>
      </w:r>
    </w:p>
    <w:p w14:paraId="3B8C1A42" w14:textId="77777777" w:rsidR="00344ED4" w:rsidRDefault="005A6A7B">
      <w:pPr>
        <w:ind w:firstLine="709"/>
        <w:jc w:val="both"/>
        <w:rPr>
          <w:color w:val="000000"/>
          <w:kern w:val="2"/>
          <w:szCs w:val="24"/>
        </w:rPr>
      </w:pPr>
      <w:r>
        <w:rPr>
          <w:color w:val="000000"/>
        </w:rPr>
        <w:t>11. A crypto-asset service provider must set out in its internal documents clear responsibilities of employees providing advice on crypto-assets or crypto-asset portfolio management services on behalf of the crypto-asset service provider and employees providing information on crypto-asset services, and ensure a clear distinction between the functions and responsibilities of these employees, where relevant, taking into account the nature and scope of the services provided by the crypto-asset service provider and the internal organisational structure of the crypto-asset service provider.</w:t>
      </w:r>
    </w:p>
    <w:p w14:paraId="3B8C1A43" w14:textId="77777777" w:rsidR="00344ED4" w:rsidRDefault="005A6A7B">
      <w:pPr>
        <w:ind w:firstLine="709"/>
        <w:jc w:val="both"/>
        <w:rPr>
          <w:kern w:val="2"/>
          <w:szCs w:val="24"/>
        </w:rPr>
      </w:pPr>
      <w:r>
        <w:t xml:space="preserve">12. A crypto-asset service provider must ensure that employees </w:t>
      </w:r>
      <w:r>
        <w:rPr>
          <w:color w:val="000000"/>
        </w:rPr>
        <w:t>providing advice on crypto-assets or crypto-asset portfolio management services on behalf of the crypto-asset service provider</w:t>
      </w:r>
      <w:r>
        <w:t xml:space="preserve"> and employees providing information on crypto-asset services continuously improve their qualifications by undertaking professional development, relevant qualification training, as well as specific training on new types of crypto-assets that the crypto-asset service provider intends to offer to clients. Employees providing </w:t>
      </w:r>
      <w:r>
        <w:rPr>
          <w:color w:val="000000"/>
        </w:rPr>
        <w:t>advice on crypto-assets or crypto-asset portfolio management services</w:t>
      </w:r>
      <w:r>
        <w:t xml:space="preserve"> on behalf of the crypto-asset service provider must undergo training and improve their qualifications for at least 20 hours per year. Employees providing information on crypto-asset services must undergo training and improve their qualifications for at least 10 hours per year.</w:t>
      </w:r>
    </w:p>
    <w:p w14:paraId="3B8C1A44" w14:textId="0627ECAF" w:rsidR="00344ED4" w:rsidRDefault="005A6A7B">
      <w:pPr>
        <w:ind w:firstLine="709"/>
        <w:jc w:val="both"/>
        <w:rPr>
          <w:color w:val="000000"/>
          <w:kern w:val="2"/>
          <w:szCs w:val="24"/>
          <w:shd w:val="clear" w:color="auto" w:fill="FFFFFF"/>
        </w:rPr>
      </w:pPr>
      <w:r>
        <w:rPr>
          <w:color w:val="000000"/>
          <w:shd w:val="clear" w:color="auto" w:fill="FFFFFF"/>
        </w:rPr>
        <w:t>13. A crypto-asset service provider must regularly, but at least once a year, check and assess whether employees providing advice on crypto-assets or providing crypto-asset portfolio management services on behalf of the crypto-asset service provider have the necessary knowledge to perform their assigned functions. The</w:t>
      </w:r>
      <w:r w:rsidR="00944670">
        <w:rPr>
          <w:color w:val="000000"/>
          <w:shd w:val="clear" w:color="auto" w:fill="FFFFFF"/>
        </w:rPr>
        <w:t>se</w:t>
      </w:r>
      <w:r>
        <w:rPr>
          <w:color w:val="000000"/>
          <w:shd w:val="clear" w:color="auto" w:fill="FFFFFF"/>
        </w:rPr>
        <w:t xml:space="preserve"> checks should also assess the need for development and experience of employees providing advice on crypto-assets or providing crypto-asset portfolio management services on behalf of the crypto-asset service provider</w:t>
      </w:r>
      <w:r>
        <w:rPr>
          <w:color w:val="000000"/>
        </w:rPr>
        <w:t xml:space="preserve"> and employees providing information on crypto-asset services</w:t>
      </w:r>
      <w:r>
        <w:rPr>
          <w:color w:val="000000"/>
          <w:shd w:val="clear" w:color="auto" w:fill="FFFFFF"/>
        </w:rPr>
        <w:t>, taking into account the nature and scope of the services provided or intended to be provided by the crypto-asset service provider and changes in legal requirements. A crypto-asset service provider must take appropriate measures to ensure that any deficiencies identified during checks are remedied without delay.</w:t>
      </w:r>
    </w:p>
    <w:p w14:paraId="3B8C1A45" w14:textId="77777777" w:rsidR="00344ED4" w:rsidRDefault="005A6A7B">
      <w:pPr>
        <w:spacing w:line="259" w:lineRule="auto"/>
        <w:jc w:val="center"/>
        <w:rPr>
          <w:kern w:val="2"/>
          <w:szCs w:val="24"/>
        </w:rPr>
      </w:pPr>
      <w:r>
        <w:t>_______________</w:t>
      </w:r>
    </w:p>
    <w:sectPr w:rsidR="00344ED4" w:rsidSect="005A6A7B">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48035" w14:textId="77777777" w:rsidR="00B250C5" w:rsidRDefault="00B250C5" w:rsidP="005A6A7B">
      <w:r>
        <w:separator/>
      </w:r>
    </w:p>
  </w:endnote>
  <w:endnote w:type="continuationSeparator" w:id="0">
    <w:p w14:paraId="413108B0" w14:textId="77777777" w:rsidR="00B250C5" w:rsidRDefault="00B250C5" w:rsidP="005A6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3BAF" w14:textId="77777777" w:rsidR="00B250C5" w:rsidRDefault="00B250C5" w:rsidP="005A6A7B">
      <w:r>
        <w:separator/>
      </w:r>
    </w:p>
  </w:footnote>
  <w:footnote w:type="continuationSeparator" w:id="0">
    <w:p w14:paraId="3885BE88" w14:textId="77777777" w:rsidR="00B250C5" w:rsidRDefault="00B250C5" w:rsidP="005A6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78930"/>
      <w:docPartObj>
        <w:docPartGallery w:val="Page Numbers (Top of Page)"/>
        <w:docPartUnique/>
      </w:docPartObj>
    </w:sdtPr>
    <w:sdtEndPr/>
    <w:sdtContent>
      <w:p w14:paraId="3B8C1A4D" w14:textId="77777777" w:rsidR="005A6A7B" w:rsidRDefault="005A6A7B">
        <w:pPr>
          <w:pStyle w:val="Header"/>
          <w:jc w:val="center"/>
        </w:pPr>
        <w:r>
          <w:fldChar w:fldCharType="begin"/>
        </w:r>
        <w:r>
          <w:instrText>PAGE   \* MERGEFORMAT</w:instrText>
        </w:r>
        <w:r>
          <w:fldChar w:fldCharType="separate"/>
        </w:r>
        <w:r>
          <w:t>3</w:t>
        </w:r>
        <w:r>
          <w:fldChar w:fldCharType="end"/>
        </w:r>
      </w:p>
    </w:sdtContent>
  </w:sdt>
  <w:p w14:paraId="3B8C1A4E" w14:textId="77777777" w:rsidR="005A6A7B" w:rsidRDefault="005A6A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5FF"/>
    <w:rsid w:val="00017FC6"/>
    <w:rsid w:val="000D3E85"/>
    <w:rsid w:val="00344ED4"/>
    <w:rsid w:val="005A6A7B"/>
    <w:rsid w:val="005F39BD"/>
    <w:rsid w:val="006820D7"/>
    <w:rsid w:val="007E2246"/>
    <w:rsid w:val="00944670"/>
    <w:rsid w:val="0095408E"/>
    <w:rsid w:val="0095604D"/>
    <w:rsid w:val="009C0784"/>
    <w:rsid w:val="009D0171"/>
    <w:rsid w:val="00AA7089"/>
    <w:rsid w:val="00AD05FF"/>
    <w:rsid w:val="00B07F51"/>
    <w:rsid w:val="00B250C5"/>
    <w:rsid w:val="00CE21D8"/>
    <w:rsid w:val="00E36949"/>
    <w:rsid w:val="00E853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8C1A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A6A7B"/>
    <w:rPr>
      <w:color w:val="808080"/>
    </w:rPr>
  </w:style>
  <w:style w:type="paragraph" w:styleId="Header">
    <w:name w:val="header"/>
    <w:basedOn w:val="Normal"/>
    <w:link w:val="HeaderChar"/>
    <w:uiPriority w:val="99"/>
    <w:unhideWhenUsed/>
    <w:rsid w:val="005A6A7B"/>
    <w:pPr>
      <w:tabs>
        <w:tab w:val="center" w:pos="4819"/>
        <w:tab w:val="right" w:pos="9638"/>
      </w:tabs>
    </w:pPr>
  </w:style>
  <w:style w:type="character" w:customStyle="1" w:styleId="HeaderChar">
    <w:name w:val="Header Char"/>
    <w:basedOn w:val="DefaultParagraphFont"/>
    <w:link w:val="Header"/>
    <w:uiPriority w:val="99"/>
    <w:rsid w:val="005A6A7B"/>
  </w:style>
  <w:style w:type="paragraph" w:styleId="Footer">
    <w:name w:val="footer"/>
    <w:basedOn w:val="Normal"/>
    <w:link w:val="FooterChar"/>
    <w:unhideWhenUsed/>
    <w:rsid w:val="005A6A7B"/>
    <w:pPr>
      <w:tabs>
        <w:tab w:val="center" w:pos="4819"/>
        <w:tab w:val="right" w:pos="9638"/>
      </w:tabs>
    </w:pPr>
  </w:style>
  <w:style w:type="character" w:customStyle="1" w:styleId="FooterChar">
    <w:name w:val="Footer Char"/>
    <w:basedOn w:val="DefaultParagraphFont"/>
    <w:link w:val="Footer"/>
    <w:rsid w:val="005A6A7B"/>
  </w:style>
  <w:style w:type="paragraph" w:styleId="Revision">
    <w:name w:val="Revision"/>
    <w:hidden/>
    <w:semiHidden/>
    <w:rsid w:val="00956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293873">
      <w:bodyDiv w:val="1"/>
      <w:marLeft w:val="0"/>
      <w:marRight w:val="0"/>
      <w:marTop w:val="0"/>
      <w:marBottom w:val="0"/>
      <w:divBdr>
        <w:top w:val="none" w:sz="0" w:space="0" w:color="auto"/>
        <w:left w:val="none" w:sz="0" w:space="0" w:color="auto"/>
        <w:bottom w:val="none" w:sz="0" w:space="0" w:color="auto"/>
        <w:right w:val="none" w:sz="0" w:space="0" w:color="auto"/>
      </w:divBdr>
    </w:div>
    <w:div w:id="1373191808">
      <w:bodyDiv w:val="1"/>
      <w:marLeft w:val="0"/>
      <w:marRight w:val="0"/>
      <w:marTop w:val="0"/>
      <w:marBottom w:val="0"/>
      <w:divBdr>
        <w:top w:val="none" w:sz="0" w:space="0" w:color="auto"/>
        <w:left w:val="none" w:sz="0" w:space="0" w:color="auto"/>
        <w:bottom w:val="none" w:sz="0" w:space="0" w:color="auto"/>
        <w:right w:val="none" w:sz="0" w:space="0" w:color="auto"/>
      </w:divBdr>
    </w:div>
    <w:div w:id="1455169647">
      <w:bodyDiv w:val="1"/>
      <w:marLeft w:val="0"/>
      <w:marRight w:val="0"/>
      <w:marTop w:val="0"/>
      <w:marBottom w:val="0"/>
      <w:divBdr>
        <w:top w:val="none" w:sz="0" w:space="0" w:color="auto"/>
        <w:left w:val="none" w:sz="0" w:space="0" w:color="auto"/>
        <w:bottom w:val="none" w:sz="0" w:space="0" w:color="auto"/>
        <w:right w:val="none" w:sz="0" w:space="0" w:color="auto"/>
      </w:divBdr>
    </w:div>
    <w:div w:id="1457143014">
      <w:bodyDiv w:val="1"/>
      <w:marLeft w:val="0"/>
      <w:marRight w:val="0"/>
      <w:marTop w:val="0"/>
      <w:marBottom w:val="0"/>
      <w:divBdr>
        <w:top w:val="none" w:sz="0" w:space="0" w:color="auto"/>
        <w:left w:val="none" w:sz="0" w:space="0" w:color="auto"/>
        <w:bottom w:val="none" w:sz="0" w:space="0" w:color="auto"/>
        <w:right w:val="none" w:sz="0" w:space="0" w:color="auto"/>
      </w:divBdr>
    </w:div>
    <w:div w:id="1736733846">
      <w:bodyDiv w:val="1"/>
      <w:marLeft w:val="0"/>
      <w:marRight w:val="0"/>
      <w:marTop w:val="0"/>
      <w:marBottom w:val="0"/>
      <w:divBdr>
        <w:top w:val="none" w:sz="0" w:space="0" w:color="auto"/>
        <w:left w:val="none" w:sz="0" w:space="0" w:color="auto"/>
        <w:bottom w:val="none" w:sz="0" w:space="0" w:color="auto"/>
        <w:right w:val="none" w:sz="0" w:space="0" w:color="auto"/>
      </w:divBdr>
    </w:div>
    <w:div w:id="2024891711">
      <w:bodyDiv w:val="1"/>
      <w:marLeft w:val="0"/>
      <w:marRight w:val="0"/>
      <w:marTop w:val="0"/>
      <w:marBottom w:val="0"/>
      <w:divBdr>
        <w:top w:val="none" w:sz="0" w:space="0" w:color="auto"/>
        <w:left w:val="none" w:sz="0" w:space="0" w:color="auto"/>
        <w:bottom w:val="none" w:sz="0" w:space="0" w:color="auto"/>
        <w:right w:val="none" w:sz="0" w:space="0" w:color="auto"/>
      </w:divBdr>
    </w:div>
    <w:div w:id="2076774548">
      <w:bodyDiv w:val="1"/>
      <w:marLeft w:val="0"/>
      <w:marRight w:val="0"/>
      <w:marTop w:val="0"/>
      <w:marBottom w:val="0"/>
      <w:divBdr>
        <w:top w:val="none" w:sz="0" w:space="0" w:color="auto"/>
        <w:left w:val="none" w:sz="0" w:space="0" w:color="auto"/>
        <w:bottom w:val="none" w:sz="0" w:space="0" w:color="auto"/>
        <w:right w:val="none" w:sz="0" w:space="0" w:color="auto"/>
      </w:divBdr>
      <w:divsChild>
        <w:div w:id="2129153871">
          <w:marLeft w:val="0"/>
          <w:marRight w:val="0"/>
          <w:marTop w:val="0"/>
          <w:marBottom w:val="0"/>
          <w:divBdr>
            <w:top w:val="none" w:sz="0" w:space="0" w:color="auto"/>
            <w:left w:val="none" w:sz="0" w:space="0" w:color="auto"/>
            <w:bottom w:val="none" w:sz="0" w:space="0" w:color="auto"/>
            <w:right w:val="none" w:sz="0" w:space="0" w:color="auto"/>
          </w:divBdr>
          <w:divsChild>
            <w:div w:id="440615445">
              <w:marLeft w:val="0"/>
              <w:marRight w:val="0"/>
              <w:marTop w:val="0"/>
              <w:marBottom w:val="0"/>
              <w:divBdr>
                <w:top w:val="none" w:sz="0" w:space="0" w:color="auto"/>
                <w:left w:val="none" w:sz="0" w:space="0" w:color="auto"/>
                <w:bottom w:val="none" w:sz="0" w:space="0" w:color="auto"/>
                <w:right w:val="none" w:sz="0" w:space="0" w:color="auto"/>
              </w:divBdr>
            </w:div>
            <w:div w:id="561867755">
              <w:marLeft w:val="0"/>
              <w:marRight w:val="0"/>
              <w:marTop w:val="0"/>
              <w:marBottom w:val="0"/>
              <w:divBdr>
                <w:top w:val="none" w:sz="0" w:space="0" w:color="auto"/>
                <w:left w:val="none" w:sz="0" w:space="0" w:color="auto"/>
                <w:bottom w:val="none" w:sz="0" w:space="0" w:color="auto"/>
                <w:right w:val="none" w:sz="0" w:space="0" w:color="auto"/>
              </w:divBdr>
              <w:divsChild>
                <w:div w:id="179467072">
                  <w:marLeft w:val="0"/>
                  <w:marRight w:val="0"/>
                  <w:marTop w:val="0"/>
                  <w:marBottom w:val="0"/>
                  <w:divBdr>
                    <w:top w:val="none" w:sz="0" w:space="0" w:color="auto"/>
                    <w:left w:val="none" w:sz="0" w:space="0" w:color="auto"/>
                    <w:bottom w:val="none" w:sz="0" w:space="0" w:color="auto"/>
                    <w:right w:val="none" w:sz="0" w:space="0" w:color="auto"/>
                  </w:divBdr>
                </w:div>
                <w:div w:id="229925419">
                  <w:marLeft w:val="0"/>
                  <w:marRight w:val="0"/>
                  <w:marTop w:val="0"/>
                  <w:marBottom w:val="0"/>
                  <w:divBdr>
                    <w:top w:val="none" w:sz="0" w:space="0" w:color="auto"/>
                    <w:left w:val="none" w:sz="0" w:space="0" w:color="auto"/>
                    <w:bottom w:val="none" w:sz="0" w:space="0" w:color="auto"/>
                    <w:right w:val="none" w:sz="0" w:space="0" w:color="auto"/>
                  </w:divBdr>
                </w:div>
                <w:div w:id="242842520">
                  <w:marLeft w:val="0"/>
                  <w:marRight w:val="0"/>
                  <w:marTop w:val="0"/>
                  <w:marBottom w:val="0"/>
                  <w:divBdr>
                    <w:top w:val="none" w:sz="0" w:space="0" w:color="auto"/>
                    <w:left w:val="none" w:sz="0" w:space="0" w:color="auto"/>
                    <w:bottom w:val="none" w:sz="0" w:space="0" w:color="auto"/>
                    <w:right w:val="none" w:sz="0" w:space="0" w:color="auto"/>
                  </w:divBdr>
                </w:div>
                <w:div w:id="357700363">
                  <w:marLeft w:val="0"/>
                  <w:marRight w:val="0"/>
                  <w:marTop w:val="0"/>
                  <w:marBottom w:val="0"/>
                  <w:divBdr>
                    <w:top w:val="none" w:sz="0" w:space="0" w:color="auto"/>
                    <w:left w:val="none" w:sz="0" w:space="0" w:color="auto"/>
                    <w:bottom w:val="none" w:sz="0" w:space="0" w:color="auto"/>
                    <w:right w:val="none" w:sz="0" w:space="0" w:color="auto"/>
                  </w:divBdr>
                </w:div>
                <w:div w:id="365639901">
                  <w:marLeft w:val="0"/>
                  <w:marRight w:val="0"/>
                  <w:marTop w:val="0"/>
                  <w:marBottom w:val="0"/>
                  <w:divBdr>
                    <w:top w:val="none" w:sz="0" w:space="0" w:color="auto"/>
                    <w:left w:val="none" w:sz="0" w:space="0" w:color="auto"/>
                    <w:bottom w:val="none" w:sz="0" w:space="0" w:color="auto"/>
                    <w:right w:val="none" w:sz="0" w:space="0" w:color="auto"/>
                  </w:divBdr>
                </w:div>
                <w:div w:id="384984384">
                  <w:marLeft w:val="0"/>
                  <w:marRight w:val="0"/>
                  <w:marTop w:val="0"/>
                  <w:marBottom w:val="0"/>
                  <w:divBdr>
                    <w:top w:val="none" w:sz="0" w:space="0" w:color="auto"/>
                    <w:left w:val="none" w:sz="0" w:space="0" w:color="auto"/>
                    <w:bottom w:val="none" w:sz="0" w:space="0" w:color="auto"/>
                    <w:right w:val="none" w:sz="0" w:space="0" w:color="auto"/>
                  </w:divBdr>
                </w:div>
                <w:div w:id="904027938">
                  <w:marLeft w:val="0"/>
                  <w:marRight w:val="0"/>
                  <w:marTop w:val="0"/>
                  <w:marBottom w:val="0"/>
                  <w:divBdr>
                    <w:top w:val="none" w:sz="0" w:space="0" w:color="auto"/>
                    <w:left w:val="none" w:sz="0" w:space="0" w:color="auto"/>
                    <w:bottom w:val="none" w:sz="0" w:space="0" w:color="auto"/>
                    <w:right w:val="none" w:sz="0" w:space="0" w:color="auto"/>
                  </w:divBdr>
                </w:div>
                <w:div w:id="927007504">
                  <w:marLeft w:val="0"/>
                  <w:marRight w:val="0"/>
                  <w:marTop w:val="0"/>
                  <w:marBottom w:val="0"/>
                  <w:divBdr>
                    <w:top w:val="none" w:sz="0" w:space="0" w:color="auto"/>
                    <w:left w:val="none" w:sz="0" w:space="0" w:color="auto"/>
                    <w:bottom w:val="none" w:sz="0" w:space="0" w:color="auto"/>
                    <w:right w:val="none" w:sz="0" w:space="0" w:color="auto"/>
                  </w:divBdr>
                </w:div>
                <w:div w:id="1046445881">
                  <w:marLeft w:val="0"/>
                  <w:marRight w:val="0"/>
                  <w:marTop w:val="0"/>
                  <w:marBottom w:val="0"/>
                  <w:divBdr>
                    <w:top w:val="none" w:sz="0" w:space="0" w:color="auto"/>
                    <w:left w:val="none" w:sz="0" w:space="0" w:color="auto"/>
                    <w:bottom w:val="none" w:sz="0" w:space="0" w:color="auto"/>
                    <w:right w:val="none" w:sz="0" w:space="0" w:color="auto"/>
                  </w:divBdr>
                </w:div>
                <w:div w:id="1199270817">
                  <w:marLeft w:val="0"/>
                  <w:marRight w:val="0"/>
                  <w:marTop w:val="0"/>
                  <w:marBottom w:val="0"/>
                  <w:divBdr>
                    <w:top w:val="none" w:sz="0" w:space="0" w:color="auto"/>
                    <w:left w:val="none" w:sz="0" w:space="0" w:color="auto"/>
                    <w:bottom w:val="none" w:sz="0" w:space="0" w:color="auto"/>
                    <w:right w:val="none" w:sz="0" w:space="0" w:color="auto"/>
                  </w:divBdr>
                </w:div>
                <w:div w:id="1448113861">
                  <w:marLeft w:val="0"/>
                  <w:marRight w:val="0"/>
                  <w:marTop w:val="0"/>
                  <w:marBottom w:val="0"/>
                  <w:divBdr>
                    <w:top w:val="none" w:sz="0" w:space="0" w:color="auto"/>
                    <w:left w:val="none" w:sz="0" w:space="0" w:color="auto"/>
                    <w:bottom w:val="none" w:sz="0" w:space="0" w:color="auto"/>
                    <w:right w:val="none" w:sz="0" w:space="0" w:color="auto"/>
                  </w:divBdr>
                </w:div>
                <w:div w:id="1847014641">
                  <w:marLeft w:val="0"/>
                  <w:marRight w:val="0"/>
                  <w:marTop w:val="0"/>
                  <w:marBottom w:val="0"/>
                  <w:divBdr>
                    <w:top w:val="none" w:sz="0" w:space="0" w:color="auto"/>
                    <w:left w:val="none" w:sz="0" w:space="0" w:color="auto"/>
                    <w:bottom w:val="none" w:sz="0" w:space="0" w:color="auto"/>
                    <w:right w:val="none" w:sz="0" w:space="0" w:color="auto"/>
                  </w:divBdr>
                </w:div>
              </w:divsChild>
            </w:div>
            <w:div w:id="698318404">
              <w:marLeft w:val="0"/>
              <w:marRight w:val="0"/>
              <w:marTop w:val="0"/>
              <w:marBottom w:val="0"/>
              <w:divBdr>
                <w:top w:val="none" w:sz="0" w:space="0" w:color="auto"/>
                <w:left w:val="none" w:sz="0" w:space="0" w:color="auto"/>
                <w:bottom w:val="none" w:sz="0" w:space="0" w:color="auto"/>
                <w:right w:val="none" w:sz="0" w:space="0" w:color="auto"/>
              </w:divBdr>
            </w:div>
            <w:div w:id="1048794947">
              <w:marLeft w:val="0"/>
              <w:marRight w:val="0"/>
              <w:marTop w:val="0"/>
              <w:marBottom w:val="0"/>
              <w:divBdr>
                <w:top w:val="none" w:sz="0" w:space="0" w:color="auto"/>
                <w:left w:val="none" w:sz="0" w:space="0" w:color="auto"/>
                <w:bottom w:val="none" w:sz="0" w:space="0" w:color="auto"/>
                <w:right w:val="none" w:sz="0" w:space="0" w:color="auto"/>
              </w:divBdr>
            </w:div>
            <w:div w:id="1471943571">
              <w:marLeft w:val="0"/>
              <w:marRight w:val="0"/>
              <w:marTop w:val="0"/>
              <w:marBottom w:val="0"/>
              <w:divBdr>
                <w:top w:val="none" w:sz="0" w:space="0" w:color="auto"/>
                <w:left w:val="none" w:sz="0" w:space="0" w:color="auto"/>
                <w:bottom w:val="none" w:sz="0" w:space="0" w:color="auto"/>
                <w:right w:val="none" w:sz="0" w:space="0" w:color="auto"/>
              </w:divBdr>
            </w:div>
            <w:div w:id="1475760925">
              <w:marLeft w:val="0"/>
              <w:marRight w:val="0"/>
              <w:marTop w:val="0"/>
              <w:marBottom w:val="0"/>
              <w:divBdr>
                <w:top w:val="none" w:sz="0" w:space="0" w:color="auto"/>
                <w:left w:val="none" w:sz="0" w:space="0" w:color="auto"/>
                <w:bottom w:val="none" w:sz="0" w:space="0" w:color="auto"/>
                <w:right w:val="none" w:sz="0" w:space="0" w:color="auto"/>
              </w:divBdr>
              <w:divsChild>
                <w:div w:id="13113957">
                  <w:marLeft w:val="0"/>
                  <w:marRight w:val="0"/>
                  <w:marTop w:val="0"/>
                  <w:marBottom w:val="0"/>
                  <w:divBdr>
                    <w:top w:val="none" w:sz="0" w:space="0" w:color="auto"/>
                    <w:left w:val="none" w:sz="0" w:space="0" w:color="auto"/>
                    <w:bottom w:val="none" w:sz="0" w:space="0" w:color="auto"/>
                    <w:right w:val="none" w:sz="0" w:space="0" w:color="auto"/>
                  </w:divBdr>
                </w:div>
                <w:div w:id="69011620">
                  <w:marLeft w:val="0"/>
                  <w:marRight w:val="0"/>
                  <w:marTop w:val="0"/>
                  <w:marBottom w:val="0"/>
                  <w:divBdr>
                    <w:top w:val="none" w:sz="0" w:space="0" w:color="auto"/>
                    <w:left w:val="none" w:sz="0" w:space="0" w:color="auto"/>
                    <w:bottom w:val="none" w:sz="0" w:space="0" w:color="auto"/>
                    <w:right w:val="none" w:sz="0" w:space="0" w:color="auto"/>
                  </w:divBdr>
                </w:div>
                <w:div w:id="336739328">
                  <w:marLeft w:val="0"/>
                  <w:marRight w:val="0"/>
                  <w:marTop w:val="0"/>
                  <w:marBottom w:val="0"/>
                  <w:divBdr>
                    <w:top w:val="none" w:sz="0" w:space="0" w:color="auto"/>
                    <w:left w:val="none" w:sz="0" w:space="0" w:color="auto"/>
                    <w:bottom w:val="none" w:sz="0" w:space="0" w:color="auto"/>
                    <w:right w:val="none" w:sz="0" w:space="0" w:color="auto"/>
                  </w:divBdr>
                </w:div>
                <w:div w:id="371659318">
                  <w:marLeft w:val="0"/>
                  <w:marRight w:val="0"/>
                  <w:marTop w:val="0"/>
                  <w:marBottom w:val="0"/>
                  <w:divBdr>
                    <w:top w:val="none" w:sz="0" w:space="0" w:color="auto"/>
                    <w:left w:val="none" w:sz="0" w:space="0" w:color="auto"/>
                    <w:bottom w:val="none" w:sz="0" w:space="0" w:color="auto"/>
                    <w:right w:val="none" w:sz="0" w:space="0" w:color="auto"/>
                  </w:divBdr>
                </w:div>
                <w:div w:id="604775114">
                  <w:marLeft w:val="0"/>
                  <w:marRight w:val="0"/>
                  <w:marTop w:val="0"/>
                  <w:marBottom w:val="0"/>
                  <w:divBdr>
                    <w:top w:val="none" w:sz="0" w:space="0" w:color="auto"/>
                    <w:left w:val="none" w:sz="0" w:space="0" w:color="auto"/>
                    <w:bottom w:val="none" w:sz="0" w:space="0" w:color="auto"/>
                    <w:right w:val="none" w:sz="0" w:space="0" w:color="auto"/>
                  </w:divBdr>
                </w:div>
                <w:div w:id="855315611">
                  <w:marLeft w:val="0"/>
                  <w:marRight w:val="0"/>
                  <w:marTop w:val="0"/>
                  <w:marBottom w:val="0"/>
                  <w:divBdr>
                    <w:top w:val="none" w:sz="0" w:space="0" w:color="auto"/>
                    <w:left w:val="none" w:sz="0" w:space="0" w:color="auto"/>
                    <w:bottom w:val="none" w:sz="0" w:space="0" w:color="auto"/>
                    <w:right w:val="none" w:sz="0" w:space="0" w:color="auto"/>
                  </w:divBdr>
                </w:div>
                <w:div w:id="1004091296">
                  <w:marLeft w:val="0"/>
                  <w:marRight w:val="0"/>
                  <w:marTop w:val="0"/>
                  <w:marBottom w:val="0"/>
                  <w:divBdr>
                    <w:top w:val="none" w:sz="0" w:space="0" w:color="auto"/>
                    <w:left w:val="none" w:sz="0" w:space="0" w:color="auto"/>
                    <w:bottom w:val="none" w:sz="0" w:space="0" w:color="auto"/>
                    <w:right w:val="none" w:sz="0" w:space="0" w:color="auto"/>
                  </w:divBdr>
                </w:div>
                <w:div w:id="1126505269">
                  <w:marLeft w:val="0"/>
                  <w:marRight w:val="0"/>
                  <w:marTop w:val="0"/>
                  <w:marBottom w:val="0"/>
                  <w:divBdr>
                    <w:top w:val="none" w:sz="0" w:space="0" w:color="auto"/>
                    <w:left w:val="none" w:sz="0" w:space="0" w:color="auto"/>
                    <w:bottom w:val="none" w:sz="0" w:space="0" w:color="auto"/>
                    <w:right w:val="none" w:sz="0" w:space="0" w:color="auto"/>
                  </w:divBdr>
                </w:div>
                <w:div w:id="1452433525">
                  <w:marLeft w:val="0"/>
                  <w:marRight w:val="0"/>
                  <w:marTop w:val="0"/>
                  <w:marBottom w:val="0"/>
                  <w:divBdr>
                    <w:top w:val="none" w:sz="0" w:space="0" w:color="auto"/>
                    <w:left w:val="none" w:sz="0" w:space="0" w:color="auto"/>
                    <w:bottom w:val="none" w:sz="0" w:space="0" w:color="auto"/>
                    <w:right w:val="none" w:sz="0" w:space="0" w:color="auto"/>
                  </w:divBdr>
                </w:div>
                <w:div w:id="1527869770">
                  <w:marLeft w:val="0"/>
                  <w:marRight w:val="0"/>
                  <w:marTop w:val="0"/>
                  <w:marBottom w:val="0"/>
                  <w:divBdr>
                    <w:top w:val="none" w:sz="0" w:space="0" w:color="auto"/>
                    <w:left w:val="none" w:sz="0" w:space="0" w:color="auto"/>
                    <w:bottom w:val="none" w:sz="0" w:space="0" w:color="auto"/>
                    <w:right w:val="none" w:sz="0" w:space="0" w:color="auto"/>
                  </w:divBdr>
                </w:div>
              </w:divsChild>
            </w:div>
            <w:div w:id="1488400395">
              <w:marLeft w:val="0"/>
              <w:marRight w:val="0"/>
              <w:marTop w:val="0"/>
              <w:marBottom w:val="0"/>
              <w:divBdr>
                <w:top w:val="none" w:sz="0" w:space="0" w:color="auto"/>
                <w:left w:val="none" w:sz="0" w:space="0" w:color="auto"/>
                <w:bottom w:val="none" w:sz="0" w:space="0" w:color="auto"/>
                <w:right w:val="none" w:sz="0" w:space="0" w:color="auto"/>
              </w:divBdr>
            </w:div>
            <w:div w:id="162110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lex.europa.eu/legal-content/EN/TXT/?uri=CELEX%3A32013L003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uri=CELEX%3A32010R109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lex.europa.eu/legal-content/EN/TXT/?uri=CELEX%3A32023R11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A32010R1093" TargetMode="External"/><Relationship Id="rId5" Type="http://schemas.openxmlformats.org/officeDocument/2006/relationships/webSettings" Target="webSettings.xml"/><Relationship Id="rId15" Type="http://schemas.openxmlformats.org/officeDocument/2006/relationships/hyperlink" Target="https://eur-lex.europa.eu/legal-content/EN/TXT/?uri=CELEX%3A32023R1114" TargetMode="External"/><Relationship Id="rId10" Type="http://schemas.openxmlformats.org/officeDocument/2006/relationships/hyperlink" Target="https://eur-lex.europa.eu/legal-content/EN/TXT/?uri=CELEX%3A32023R111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ur-lex.europa.eu/legal-content/EN/TXT/?uri=CELEX%3A32019L19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797D7-49D2-442D-B0E8-17A2E96C0716}">
  <ds:schemaRefs>
    <ds:schemaRef ds:uri="http://schemas.microsoft.com/sharepoint/v3/contenttype/forms"/>
  </ds:schemaRefs>
</ds:datastoreItem>
</file>

<file path=customXml/itemProps2.xml><?xml version="1.0" encoding="utf-8"?>
<ds:datastoreItem xmlns:ds="http://schemas.openxmlformats.org/officeDocument/2006/customXml" ds:itemID="{548E0F38-CD21-4880-A45D-8D73183E7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1824</Words>
  <Characters>11595</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2026-02-02T06:57:00Z</dcterms:created>
  <dcterms:modified xsi:type="dcterms:W3CDTF">2026-02-02T06:59:00Z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2026-02-02T06:57:17Z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05ca2a3b-30ef-4ff6-bd11-a6e5d4bb11cb</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ies>
</file>